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3636"/>
        <w:gridCol w:w="3162"/>
      </w:tblGrid>
      <w:tr w:rsidR="00962491" w:rsidRPr="00A51E75" w14:paraId="3CCD257D" w14:textId="77777777" w:rsidTr="00484EE5">
        <w:trPr>
          <w:jc w:val="center"/>
        </w:trPr>
        <w:tc>
          <w:tcPr>
            <w:tcW w:w="2562" w:type="dxa"/>
            <w:vAlign w:val="center"/>
          </w:tcPr>
          <w:p w14:paraId="796D3255" w14:textId="4B32B472" w:rsidR="00962491" w:rsidRPr="00A51E75" w:rsidRDefault="00A42B51" w:rsidP="00962491">
            <w:pPr>
              <w:spacing w:after="120"/>
              <w:jc w:val="center"/>
              <w:rPr>
                <w:rFonts w:asciiTheme="minorHAnsi" w:eastAsia="SimSun" w:hAnsiTheme="minorHAnsi" w:cstheme="minorHAnsi"/>
                <w:b/>
                <w:i/>
                <w:sz w:val="20"/>
              </w:rPr>
            </w:pPr>
            <w:bookmarkStart w:id="0" w:name="Annex1"/>
            <w:r w:rsidRPr="00A51E75">
              <w:rPr>
                <w:rFonts w:asciiTheme="minorHAnsi" w:eastAsia="SimSun" w:hAnsiTheme="minorHAnsi" w:cstheme="minorHAnsi"/>
                <w:b/>
                <w:i/>
                <w:noProof/>
                <w:sz w:val="20"/>
              </w:rPr>
              <w:drawing>
                <wp:inline distT="0" distB="0" distL="0" distR="0" wp14:anchorId="13569164" wp14:editId="7B146199">
                  <wp:extent cx="393720" cy="800141"/>
                  <wp:effectExtent l="0" t="0" r="6350" b="0"/>
                  <wp:docPr id="3"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513776" name="Imagen 1" descr="Icono&#10;&#10;El contenido generado por IA puede ser incorrecto."/>
                          <pic:cNvPicPr/>
                        </pic:nvPicPr>
                        <pic:blipFill>
                          <a:blip r:embed="rId11"/>
                          <a:stretch>
                            <a:fillRect/>
                          </a:stretch>
                        </pic:blipFill>
                        <pic:spPr>
                          <a:xfrm>
                            <a:off x="0" y="0"/>
                            <a:ext cx="393720" cy="800141"/>
                          </a:xfrm>
                          <a:prstGeom prst="rect">
                            <a:avLst/>
                          </a:prstGeom>
                        </pic:spPr>
                      </pic:pic>
                    </a:graphicData>
                  </a:graphic>
                </wp:inline>
              </w:drawing>
            </w:r>
            <w:r w:rsidR="00211737" w:rsidRPr="00A51E75">
              <w:rPr>
                <w:rFonts w:asciiTheme="minorHAnsi" w:eastAsia="SimSun" w:hAnsiTheme="minorHAnsi" w:cstheme="minorHAnsi"/>
                <w:noProof/>
                <w:sz w:val="20"/>
              </w:rPr>
              <w:t xml:space="preserve"> </w:t>
            </w:r>
            <w:bookmarkEnd w:id="0"/>
          </w:p>
        </w:tc>
        <w:tc>
          <w:tcPr>
            <w:tcW w:w="3636" w:type="dxa"/>
            <w:vAlign w:val="center"/>
          </w:tcPr>
          <w:p w14:paraId="6D30DBFD" w14:textId="037EA793" w:rsidR="00962491" w:rsidRPr="00A51E75" w:rsidRDefault="00A42B51" w:rsidP="00962491">
            <w:pPr>
              <w:spacing w:after="120"/>
              <w:jc w:val="center"/>
              <w:rPr>
                <w:rFonts w:asciiTheme="minorHAnsi" w:eastAsia="SimSun" w:hAnsiTheme="minorHAnsi" w:cstheme="minorHAnsi"/>
                <w:b/>
                <w:i/>
                <w:sz w:val="20"/>
              </w:rPr>
            </w:pPr>
            <w:r w:rsidRPr="00A51E75">
              <w:rPr>
                <w:rFonts w:asciiTheme="minorHAnsi" w:eastAsia="SimSun" w:hAnsiTheme="minorHAnsi" w:cstheme="minorHAnsi"/>
                <w:b/>
                <w:i/>
                <w:noProof/>
                <w:sz w:val="20"/>
              </w:rPr>
              <w:drawing>
                <wp:inline distT="0" distB="0" distL="0" distR="0" wp14:anchorId="2CEF7431" wp14:editId="794941B5">
                  <wp:extent cx="2171812" cy="609631"/>
                  <wp:effectExtent l="0" t="0" r="0" b="0"/>
                  <wp:docPr id="58337215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72155" name="Imagen 1" descr="Texto&#10;&#10;El contenido generado por IA puede ser incorrecto."/>
                          <pic:cNvPicPr/>
                        </pic:nvPicPr>
                        <pic:blipFill>
                          <a:blip r:embed="rId12"/>
                          <a:stretch>
                            <a:fillRect/>
                          </a:stretch>
                        </pic:blipFill>
                        <pic:spPr>
                          <a:xfrm>
                            <a:off x="0" y="0"/>
                            <a:ext cx="2171812" cy="609631"/>
                          </a:xfrm>
                          <a:prstGeom prst="rect">
                            <a:avLst/>
                          </a:prstGeom>
                        </pic:spPr>
                      </pic:pic>
                    </a:graphicData>
                  </a:graphic>
                </wp:inline>
              </w:drawing>
            </w:r>
          </w:p>
        </w:tc>
        <w:tc>
          <w:tcPr>
            <w:tcW w:w="3162" w:type="dxa"/>
            <w:vAlign w:val="center"/>
          </w:tcPr>
          <w:p w14:paraId="06747585" w14:textId="301EBDDA" w:rsidR="00962491" w:rsidRPr="00A51E75" w:rsidRDefault="00A42B51" w:rsidP="00962491">
            <w:pPr>
              <w:spacing w:after="120"/>
              <w:jc w:val="center"/>
              <w:rPr>
                <w:rFonts w:asciiTheme="minorHAnsi" w:eastAsia="SimSun" w:hAnsiTheme="minorHAnsi" w:cstheme="minorHAnsi"/>
                <w:b/>
                <w:i/>
                <w:sz w:val="20"/>
              </w:rPr>
            </w:pPr>
            <w:r w:rsidRPr="00A51E75">
              <w:rPr>
                <w:rFonts w:asciiTheme="minorHAnsi" w:eastAsia="SimSun" w:hAnsiTheme="minorHAnsi" w:cstheme="minorHAnsi"/>
                <w:b/>
                <w:i/>
                <w:noProof/>
                <w:sz w:val="20"/>
              </w:rPr>
              <w:drawing>
                <wp:anchor distT="0" distB="0" distL="114300" distR="114300" simplePos="0" relativeHeight="251658240" behindDoc="0" locked="0" layoutInCell="1" allowOverlap="1" wp14:anchorId="56A1F9C4" wp14:editId="1EF7C858">
                  <wp:simplePos x="0" y="0"/>
                  <wp:positionH relativeFrom="margin">
                    <wp:posOffset>1295400</wp:posOffset>
                  </wp:positionH>
                  <wp:positionV relativeFrom="margin">
                    <wp:posOffset>-57150</wp:posOffset>
                  </wp:positionV>
                  <wp:extent cx="556260" cy="666115"/>
                  <wp:effectExtent l="0" t="0" r="2540" b="0"/>
                  <wp:wrapSquare wrapText="bothSides"/>
                  <wp:docPr id="32" name="Google Shape;126;p2">
                    <a:extLst xmlns:a="http://schemas.openxmlformats.org/drawingml/2006/main">
                      <a:ext uri="{FF2B5EF4-FFF2-40B4-BE49-F238E27FC236}">
                        <a16:creationId xmlns:a16="http://schemas.microsoft.com/office/drawing/2014/main" id="{814E439D-87CC-C465-C10E-25CE2A6DE389}"/>
                      </a:ext>
                    </a:extLst>
                  </wp:docPr>
                  <wp:cNvGraphicFramePr/>
                  <a:graphic xmlns:a="http://schemas.openxmlformats.org/drawingml/2006/main">
                    <a:graphicData uri="http://schemas.openxmlformats.org/drawingml/2006/picture">
                      <pic:pic xmlns:pic="http://schemas.openxmlformats.org/drawingml/2006/picture">
                        <pic:nvPicPr>
                          <pic:cNvPr id="32" name="Google Shape;126;p2">
                            <a:extLst>
                              <a:ext uri="{FF2B5EF4-FFF2-40B4-BE49-F238E27FC236}">
                                <a16:creationId xmlns:a16="http://schemas.microsoft.com/office/drawing/2014/main" id="{814E439D-87CC-C465-C10E-25CE2A6DE389}"/>
                              </a:ext>
                            </a:extLst>
                          </pic:cNvPr>
                          <pic:cNvPicPr preferRelativeResize="0"/>
                        </pic:nvPicPr>
                        <pic:blipFill rotWithShape="1">
                          <a:blip r:embed="rId13">
                            <a:alphaModFix/>
                            <a:extLst>
                              <a:ext uri="{28A0092B-C50C-407E-A947-70E740481C1C}">
                                <a14:useLocalDpi xmlns:a14="http://schemas.microsoft.com/office/drawing/2010/main" val="0"/>
                              </a:ext>
                            </a:extLst>
                          </a:blip>
                          <a:srcRect/>
                          <a:stretch/>
                        </pic:blipFill>
                        <pic:spPr>
                          <a:xfrm>
                            <a:off x="0" y="0"/>
                            <a:ext cx="556260" cy="666115"/>
                          </a:xfrm>
                          <a:prstGeom prst="rect">
                            <a:avLst/>
                          </a:prstGeom>
                          <a:noFill/>
                          <a:ln>
                            <a:noFill/>
                          </a:ln>
                        </pic:spPr>
                      </pic:pic>
                    </a:graphicData>
                  </a:graphic>
                </wp:anchor>
              </w:drawing>
            </w:r>
          </w:p>
        </w:tc>
      </w:tr>
    </w:tbl>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981"/>
        <w:gridCol w:w="1821"/>
        <w:gridCol w:w="415"/>
        <w:gridCol w:w="1075"/>
        <w:gridCol w:w="4058"/>
      </w:tblGrid>
      <w:tr w:rsidR="00D055F9" w:rsidRPr="007D4F41" w14:paraId="61A9C989" w14:textId="77777777" w:rsidTr="315B12BA">
        <w:trPr>
          <w:trHeight w:val="548"/>
        </w:trPr>
        <w:tc>
          <w:tcPr>
            <w:tcW w:w="5000" w:type="pct"/>
            <w:gridSpan w:val="5"/>
          </w:tcPr>
          <w:p w14:paraId="080FCFF6" w14:textId="7EFC6BE8" w:rsidR="00D055F9" w:rsidRPr="00D830D9" w:rsidRDefault="00D055F9" w:rsidP="00A42B51">
            <w:p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Título del proyecto: Gestión integrada del paisaje en la cuenca del río Napo para un </w:t>
            </w:r>
            <w:r w:rsidR="000A54C4">
              <w:rPr>
                <w:rFonts w:asciiTheme="minorHAnsi" w:hAnsiTheme="minorHAnsi" w:cstheme="minorHAnsi"/>
                <w:b/>
                <w:sz w:val="18"/>
                <w:szCs w:val="18"/>
              </w:rPr>
              <w:t>Manejo Sostenible de la Tierra</w:t>
            </w:r>
            <w:r w:rsidRPr="00A51E75">
              <w:rPr>
                <w:rFonts w:asciiTheme="minorHAnsi" w:hAnsiTheme="minorHAnsi" w:cstheme="minorHAnsi"/>
                <w:b/>
                <w:sz w:val="18"/>
                <w:szCs w:val="18"/>
              </w:rPr>
              <w:t xml:space="preserve"> y conservación de la biodiversidad</w:t>
            </w:r>
            <w:r w:rsidRPr="00A51E75">
              <w:rPr>
                <w:rFonts w:asciiTheme="minorHAnsi" w:hAnsiTheme="minorHAnsi" w:cstheme="minorHAnsi"/>
                <w:sz w:val="18"/>
                <w:szCs w:val="18"/>
              </w:rPr>
              <w:t>.</w:t>
            </w:r>
          </w:p>
        </w:tc>
      </w:tr>
      <w:tr w:rsidR="00D055F9" w:rsidRPr="00A51E75" w14:paraId="0DE7B415" w14:textId="77777777" w:rsidTr="315B12BA">
        <w:trPr>
          <w:trHeight w:val="1007"/>
        </w:trPr>
        <w:tc>
          <w:tcPr>
            <w:tcW w:w="105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57D50" w14:textId="476E032D" w:rsidR="00D055F9" w:rsidRPr="00A51E75" w:rsidRDefault="00D055F9" w:rsidP="00A42B51">
            <w:pPr>
              <w:spacing w:after="240"/>
              <w:jc w:val="both"/>
              <w:rPr>
                <w:rFonts w:asciiTheme="minorHAnsi" w:hAnsiTheme="minorHAnsi" w:cstheme="minorHAnsi"/>
                <w:b/>
                <w:sz w:val="18"/>
                <w:szCs w:val="18"/>
              </w:rPr>
            </w:pPr>
            <w:r w:rsidRPr="00A51E75">
              <w:rPr>
                <w:rFonts w:asciiTheme="minorHAnsi" w:hAnsiTheme="minorHAnsi" w:cstheme="minorHAnsi"/>
                <w:b/>
                <w:sz w:val="18"/>
                <w:szCs w:val="18"/>
              </w:rPr>
              <w:t xml:space="preserve">País(es): </w:t>
            </w:r>
            <w:r w:rsidRPr="007E49E0">
              <w:rPr>
                <w:rFonts w:asciiTheme="minorHAnsi" w:hAnsiTheme="minorHAnsi" w:cstheme="minorHAnsi"/>
                <w:bCs/>
                <w:sz w:val="18"/>
                <w:szCs w:val="18"/>
              </w:rPr>
              <w:t>Ecuador</w:t>
            </w:r>
            <w:r w:rsidR="00A60D5B" w:rsidRPr="007E49E0">
              <w:rPr>
                <w:rFonts w:asciiTheme="minorHAnsi" w:hAnsiTheme="minorHAnsi" w:cstheme="minorHAnsi"/>
                <w:bCs/>
                <w:sz w:val="18"/>
                <w:szCs w:val="18"/>
              </w:rPr>
              <w:t xml:space="preserve"> </w:t>
            </w:r>
          </w:p>
          <w:p w14:paraId="6CC53928" w14:textId="77777777" w:rsidR="00D055F9" w:rsidRPr="00A51E75" w:rsidRDefault="00D055F9" w:rsidP="00A42B51">
            <w:pPr>
              <w:spacing w:after="240"/>
              <w:jc w:val="both"/>
              <w:rPr>
                <w:rFonts w:asciiTheme="minorHAnsi" w:hAnsiTheme="minorHAnsi" w:cstheme="minorHAnsi"/>
                <w:b/>
                <w:sz w:val="18"/>
                <w:szCs w:val="18"/>
              </w:rPr>
            </w:pPr>
          </w:p>
        </w:tc>
        <w:tc>
          <w:tcPr>
            <w:tcW w:w="177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E9E3A" w14:textId="617E992D" w:rsidR="00D055F9" w:rsidRPr="00D830D9" w:rsidRDefault="00D055F9" w:rsidP="315B12BA">
            <w:pPr>
              <w:rPr>
                <w:rFonts w:asciiTheme="minorHAnsi" w:hAnsiTheme="minorHAnsi" w:cstheme="minorBidi"/>
                <w:sz w:val="18"/>
                <w:szCs w:val="18"/>
                <w:lang w:val="es-EC"/>
              </w:rPr>
            </w:pPr>
            <w:r w:rsidRPr="315B12BA">
              <w:rPr>
                <w:rFonts w:asciiTheme="minorHAnsi" w:hAnsiTheme="minorHAnsi" w:cstheme="minorBidi"/>
                <w:b/>
                <w:bCs/>
                <w:sz w:val="18"/>
                <w:szCs w:val="18"/>
              </w:rPr>
              <w:t xml:space="preserve">Socio Ejecutor (Entidad Ejecutora del GEF): </w:t>
            </w:r>
            <w:r w:rsidR="001F48AE" w:rsidRPr="007E49E0">
              <w:rPr>
                <w:rFonts w:asciiTheme="minorHAnsi" w:hAnsiTheme="minorHAnsi" w:cstheme="minorBidi"/>
                <w:sz w:val="18"/>
                <w:szCs w:val="18"/>
              </w:rPr>
              <w:t>Ministerio de Medio Ambiente y Energía</w:t>
            </w:r>
            <w:r w:rsidRPr="007E49E0">
              <w:rPr>
                <w:rFonts w:asciiTheme="minorHAnsi" w:hAnsiTheme="minorHAnsi" w:cstheme="minorBidi"/>
                <w:sz w:val="18"/>
                <w:szCs w:val="18"/>
              </w:rPr>
              <w:t xml:space="preserve"> (</w:t>
            </w:r>
            <w:r w:rsidR="009E221F" w:rsidRPr="007E49E0">
              <w:rPr>
                <w:rFonts w:asciiTheme="minorHAnsi" w:hAnsiTheme="minorHAnsi" w:cstheme="minorBidi"/>
                <w:sz w:val="18"/>
                <w:szCs w:val="18"/>
              </w:rPr>
              <w:t>MAE</w:t>
            </w:r>
            <w:r w:rsidRPr="007E49E0">
              <w:rPr>
                <w:rFonts w:asciiTheme="minorHAnsi" w:hAnsiTheme="minorHAnsi" w:cstheme="minorBidi"/>
                <w:sz w:val="18"/>
                <w:szCs w:val="18"/>
              </w:rPr>
              <w:t>)</w:t>
            </w:r>
          </w:p>
        </w:tc>
        <w:tc>
          <w:tcPr>
            <w:tcW w:w="21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90A16" w14:textId="77777777" w:rsidR="00D055F9" w:rsidRPr="00D830D9" w:rsidRDefault="00D055F9" w:rsidP="00A42B51">
            <w:pPr>
              <w:jc w:val="both"/>
              <w:rPr>
                <w:rFonts w:asciiTheme="minorHAnsi" w:hAnsiTheme="minorHAnsi" w:cstheme="minorHAnsi"/>
                <w:sz w:val="18"/>
                <w:szCs w:val="18"/>
                <w:lang w:val="es-EC"/>
              </w:rPr>
            </w:pPr>
            <w:r w:rsidRPr="00A51E75">
              <w:rPr>
                <w:rFonts w:asciiTheme="minorHAnsi" w:hAnsiTheme="minorHAnsi" w:cstheme="minorHAnsi"/>
                <w:b/>
                <w:sz w:val="18"/>
                <w:szCs w:val="18"/>
              </w:rPr>
              <w:t>Modalidad de ejecución</w:t>
            </w:r>
          </w:p>
          <w:p w14:paraId="6684C0DC" w14:textId="4AB6BCA1" w:rsidR="00D055F9" w:rsidRPr="007E49E0" w:rsidRDefault="00D055F9" w:rsidP="00A42B51">
            <w:pPr>
              <w:jc w:val="both"/>
              <w:rPr>
                <w:rFonts w:asciiTheme="minorHAnsi" w:hAnsiTheme="minorHAnsi" w:cstheme="minorHAnsi"/>
                <w:bCs/>
                <w:sz w:val="18"/>
                <w:szCs w:val="18"/>
                <w:lang w:val="es-EC"/>
              </w:rPr>
            </w:pPr>
            <w:r w:rsidRPr="007E49E0">
              <w:rPr>
                <w:rFonts w:asciiTheme="minorHAnsi" w:hAnsiTheme="minorHAnsi" w:cstheme="minorHAnsi"/>
                <w:bCs/>
                <w:sz w:val="18"/>
                <w:szCs w:val="18"/>
              </w:rPr>
              <w:t xml:space="preserve">Modalidad Nacional de Implementación (NIM) </w:t>
            </w:r>
          </w:p>
        </w:tc>
      </w:tr>
      <w:tr w:rsidR="00D055F9" w:rsidRPr="007D4F41" w14:paraId="10B967E8" w14:textId="77777777" w:rsidTr="315B12BA">
        <w:tc>
          <w:tcPr>
            <w:tcW w:w="5000" w:type="pct"/>
            <w:gridSpan w:val="5"/>
          </w:tcPr>
          <w:p w14:paraId="0CF43C49" w14:textId="70D7661D" w:rsidR="00D055F9" w:rsidRPr="00D830D9" w:rsidRDefault="00D055F9" w:rsidP="315B12BA">
            <w:pPr>
              <w:spacing w:after="240"/>
              <w:jc w:val="both"/>
              <w:rPr>
                <w:rFonts w:asciiTheme="minorHAnsi" w:hAnsiTheme="minorHAnsi" w:cstheme="minorBidi"/>
                <w:i/>
                <w:iCs/>
                <w:sz w:val="18"/>
                <w:szCs w:val="18"/>
                <w:lang w:val="es-EC"/>
              </w:rPr>
            </w:pPr>
            <w:r w:rsidRPr="315B12BA">
              <w:rPr>
                <w:rFonts w:asciiTheme="minorHAnsi" w:hAnsiTheme="minorHAnsi" w:cstheme="minorBidi"/>
                <w:b/>
                <w:bCs/>
                <w:sz w:val="18"/>
                <w:szCs w:val="18"/>
              </w:rPr>
              <w:t>Resultados contribuyentes (UNSDCF/CPD, RPD, GPD):</w:t>
            </w:r>
            <w:r w:rsidRPr="315B12BA">
              <w:rPr>
                <w:rFonts w:asciiTheme="minorHAnsi" w:hAnsiTheme="minorHAnsi" w:cstheme="minorBidi"/>
                <w:i/>
                <w:iCs/>
                <w:sz w:val="18"/>
                <w:szCs w:val="18"/>
              </w:rPr>
              <w:t xml:space="preserve"> </w:t>
            </w:r>
            <w:r w:rsidRPr="315B12BA">
              <w:rPr>
                <w:rFonts w:asciiTheme="minorHAnsi" w:hAnsiTheme="minorHAnsi" w:cstheme="minorBidi"/>
                <w:sz w:val="18"/>
                <w:szCs w:val="18"/>
              </w:rPr>
              <w:t>2.3 UNSDCF: Las agencias estatales, organizaciones sociales, en particular nacion</w:t>
            </w:r>
            <w:r w:rsidR="00D37634" w:rsidRPr="315B12BA">
              <w:rPr>
                <w:rFonts w:asciiTheme="minorHAnsi" w:hAnsiTheme="minorHAnsi" w:cstheme="minorBidi"/>
                <w:sz w:val="18"/>
                <w:szCs w:val="18"/>
              </w:rPr>
              <w:t xml:space="preserve">alidades </w:t>
            </w:r>
            <w:r w:rsidRPr="315B12BA">
              <w:rPr>
                <w:rFonts w:asciiTheme="minorHAnsi" w:hAnsiTheme="minorHAnsi" w:cstheme="minorBidi"/>
                <w:sz w:val="18"/>
                <w:szCs w:val="18"/>
              </w:rPr>
              <w:t>y pueblos indígenas rurales y comunidades afrodescendientes, gestionan el territorio, los recursos naturales, el medio ambiente, los riesgos de desastres y la transición energética mediante mecanismos de gobernanza inclusivos, multinivel y multisectorial</w:t>
            </w:r>
          </w:p>
        </w:tc>
      </w:tr>
      <w:tr w:rsidR="00D055F9" w:rsidRPr="007D4F41" w14:paraId="6846CDAE" w14:textId="77777777" w:rsidTr="315B12BA">
        <w:trPr>
          <w:trHeight w:val="542"/>
        </w:trPr>
        <w:tc>
          <w:tcPr>
            <w:tcW w:w="2255" w:type="pct"/>
            <w:gridSpan w:val="3"/>
          </w:tcPr>
          <w:p w14:paraId="33D3E947" w14:textId="23E0C1A6" w:rsidR="00D055F9" w:rsidRPr="00D830D9" w:rsidRDefault="00D055F9" w:rsidP="00A42B51">
            <w:p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Categoría de Evaluación Social y Ambiental del PNUD: </w:t>
            </w:r>
            <w:r w:rsidRPr="007E49E0">
              <w:rPr>
                <w:rFonts w:asciiTheme="minorHAnsi" w:hAnsiTheme="minorHAnsi" w:cstheme="minorHAnsi"/>
                <w:bCs/>
                <w:sz w:val="18"/>
                <w:szCs w:val="18"/>
              </w:rPr>
              <w:t>Sustancial (Anexo 5)</w:t>
            </w:r>
          </w:p>
        </w:tc>
        <w:tc>
          <w:tcPr>
            <w:tcW w:w="2745" w:type="pct"/>
            <w:gridSpan w:val="2"/>
          </w:tcPr>
          <w:p w14:paraId="63A912E5" w14:textId="7966F6ED" w:rsidR="00D055F9" w:rsidRPr="00D830D9" w:rsidRDefault="00D055F9" w:rsidP="00A42B51">
            <w:pPr>
              <w:spacing w:after="240"/>
              <w:jc w:val="both"/>
              <w:rPr>
                <w:rFonts w:asciiTheme="minorHAnsi" w:hAnsiTheme="minorHAnsi" w:cstheme="minorHAnsi"/>
                <w:i/>
                <w:sz w:val="18"/>
                <w:szCs w:val="18"/>
                <w:lang w:val="es-EC"/>
              </w:rPr>
            </w:pPr>
            <w:r w:rsidRPr="00A51E75">
              <w:rPr>
                <w:rFonts w:asciiTheme="minorHAnsi" w:hAnsiTheme="minorHAnsi" w:cstheme="minorHAnsi"/>
                <w:b/>
                <w:sz w:val="18"/>
                <w:szCs w:val="18"/>
              </w:rPr>
              <w:t xml:space="preserve">Marcador de Género del PNUD: </w:t>
            </w:r>
            <w:r w:rsidRPr="007E49E0">
              <w:rPr>
                <w:rFonts w:asciiTheme="minorHAnsi" w:hAnsiTheme="minorHAnsi" w:cstheme="minorHAnsi"/>
                <w:bCs/>
                <w:sz w:val="18"/>
                <w:szCs w:val="18"/>
              </w:rPr>
              <w:t>GEN2 (Igualdad de género como objetivo importante).</w:t>
            </w:r>
            <w:r w:rsidRPr="00A51E75">
              <w:rPr>
                <w:rFonts w:asciiTheme="minorHAnsi" w:hAnsiTheme="minorHAnsi" w:cstheme="minorHAnsi"/>
                <w:b/>
                <w:sz w:val="18"/>
                <w:szCs w:val="18"/>
              </w:rPr>
              <w:t xml:space="preserve"> </w:t>
            </w:r>
          </w:p>
        </w:tc>
      </w:tr>
      <w:tr w:rsidR="00D055F9" w:rsidRPr="00A51E75" w14:paraId="6FA8179D" w14:textId="77777777" w:rsidTr="315B12BA">
        <w:tc>
          <w:tcPr>
            <w:tcW w:w="2255" w:type="pct"/>
            <w:gridSpan w:val="3"/>
          </w:tcPr>
          <w:p w14:paraId="7F4D7B07" w14:textId="3F03237E" w:rsidR="00E87FE5" w:rsidRPr="007974F9" w:rsidRDefault="00D37634" w:rsidP="315B12BA">
            <w:pPr>
              <w:spacing w:after="240"/>
              <w:jc w:val="both"/>
              <w:rPr>
                <w:rFonts w:asciiTheme="minorHAnsi" w:hAnsiTheme="minorHAnsi" w:cstheme="minorBidi"/>
                <w:sz w:val="18"/>
                <w:szCs w:val="18"/>
                <w:lang w:val="pt-BR"/>
              </w:rPr>
            </w:pPr>
            <w:r w:rsidRPr="315B12BA">
              <w:rPr>
                <w:rFonts w:asciiTheme="minorHAnsi" w:hAnsiTheme="minorHAnsi" w:cstheme="minorBidi"/>
                <w:b/>
                <w:bCs/>
                <w:sz w:val="18"/>
                <w:szCs w:val="18"/>
                <w:lang w:val="pt-BR"/>
              </w:rPr>
              <w:t xml:space="preserve">Quantum Award </w:t>
            </w:r>
            <w:r w:rsidR="00D055F9" w:rsidRPr="315B12BA">
              <w:rPr>
                <w:rFonts w:asciiTheme="minorHAnsi" w:hAnsiTheme="minorHAnsi" w:cstheme="minorBidi"/>
                <w:b/>
                <w:bCs/>
                <w:sz w:val="18"/>
                <w:szCs w:val="18"/>
                <w:lang w:val="pt-BR"/>
              </w:rPr>
              <w:t>ID:</w:t>
            </w:r>
            <w:r w:rsidR="00D055F9" w:rsidRPr="315B12BA">
              <w:rPr>
                <w:rFonts w:asciiTheme="minorHAnsi" w:hAnsiTheme="minorHAnsi" w:cstheme="minorBidi"/>
                <w:sz w:val="18"/>
                <w:szCs w:val="18"/>
                <w:lang w:val="pt-BR"/>
              </w:rPr>
              <w:t xml:space="preserve"> </w:t>
            </w:r>
            <w:r w:rsidR="007E49E0">
              <w:rPr>
                <w:rFonts w:asciiTheme="minorHAnsi" w:hAnsiTheme="minorHAnsi" w:cstheme="minorBidi"/>
                <w:sz w:val="18"/>
                <w:szCs w:val="18"/>
                <w:lang w:val="pt-BR"/>
              </w:rPr>
              <w:t>1542456</w:t>
            </w:r>
          </w:p>
        </w:tc>
        <w:tc>
          <w:tcPr>
            <w:tcW w:w="2745" w:type="pct"/>
            <w:gridSpan w:val="2"/>
          </w:tcPr>
          <w:p w14:paraId="5A75AE2F" w14:textId="4B3A999A" w:rsidR="00D055F9" w:rsidRPr="00A51E75" w:rsidRDefault="00D37634" w:rsidP="315B12BA">
            <w:pPr>
              <w:jc w:val="both"/>
              <w:rPr>
                <w:rFonts w:asciiTheme="minorHAnsi" w:hAnsiTheme="minorHAnsi" w:cstheme="minorBidi"/>
                <w:i/>
                <w:iCs/>
                <w:sz w:val="18"/>
                <w:szCs w:val="18"/>
              </w:rPr>
            </w:pPr>
            <w:r w:rsidRPr="315B12BA">
              <w:rPr>
                <w:rFonts w:asciiTheme="minorHAnsi" w:hAnsiTheme="minorHAnsi" w:cstheme="minorBidi"/>
                <w:b/>
                <w:bCs/>
                <w:sz w:val="18"/>
                <w:szCs w:val="18"/>
              </w:rPr>
              <w:t xml:space="preserve">Quantum Project </w:t>
            </w:r>
            <w:r w:rsidR="00D055F9" w:rsidRPr="315B12BA">
              <w:rPr>
                <w:rFonts w:asciiTheme="minorHAnsi" w:hAnsiTheme="minorHAnsi" w:cstheme="minorBidi"/>
                <w:b/>
                <w:bCs/>
                <w:sz w:val="18"/>
                <w:szCs w:val="18"/>
              </w:rPr>
              <w:t xml:space="preserve">ID:   </w:t>
            </w:r>
            <w:r w:rsidR="00E87FE5" w:rsidRPr="315B12BA">
              <w:rPr>
                <w:rFonts w:asciiTheme="minorHAnsi" w:hAnsiTheme="minorHAnsi" w:cstheme="minorBidi"/>
                <w:sz w:val="18"/>
                <w:szCs w:val="18"/>
              </w:rPr>
              <w:t>0100</w:t>
            </w:r>
            <w:r w:rsidR="007E49E0">
              <w:rPr>
                <w:rFonts w:asciiTheme="minorHAnsi" w:hAnsiTheme="minorHAnsi" w:cstheme="minorBidi"/>
                <w:sz w:val="18"/>
                <w:szCs w:val="18"/>
              </w:rPr>
              <w:t>5420</w:t>
            </w:r>
          </w:p>
        </w:tc>
      </w:tr>
      <w:tr w:rsidR="00D055F9" w:rsidRPr="00A51E75" w14:paraId="6F4288FD" w14:textId="77777777" w:rsidTr="315B12BA">
        <w:trPr>
          <w:trHeight w:val="539"/>
        </w:trPr>
        <w:tc>
          <w:tcPr>
            <w:tcW w:w="2255" w:type="pct"/>
            <w:gridSpan w:val="3"/>
          </w:tcPr>
          <w:p w14:paraId="1E9EDA5F" w14:textId="02348D4E" w:rsidR="00D055F9" w:rsidRPr="00A51E75" w:rsidRDefault="00D055F9" w:rsidP="00A42B51">
            <w:pPr>
              <w:spacing w:after="240"/>
              <w:jc w:val="both"/>
              <w:rPr>
                <w:rFonts w:asciiTheme="minorHAnsi" w:hAnsiTheme="minorHAnsi" w:cstheme="minorHAnsi"/>
                <w:b/>
                <w:sz w:val="18"/>
                <w:szCs w:val="18"/>
              </w:rPr>
            </w:pPr>
            <w:r w:rsidRPr="00A51E75">
              <w:rPr>
                <w:rFonts w:asciiTheme="minorHAnsi" w:hAnsiTheme="minorHAnsi" w:cstheme="minorHAnsi"/>
                <w:b/>
                <w:sz w:val="18"/>
                <w:szCs w:val="18"/>
              </w:rPr>
              <w:t xml:space="preserve">Número de identificación PIMS del </w:t>
            </w:r>
            <w:r w:rsidR="007E49E0">
              <w:rPr>
                <w:rFonts w:asciiTheme="minorHAnsi" w:hAnsiTheme="minorHAnsi" w:cstheme="minorHAnsi"/>
                <w:b/>
                <w:sz w:val="18"/>
                <w:szCs w:val="18"/>
              </w:rPr>
              <w:t xml:space="preserve">GEF - </w:t>
            </w:r>
            <w:r w:rsidRPr="00A51E75">
              <w:rPr>
                <w:rFonts w:asciiTheme="minorHAnsi" w:hAnsiTheme="minorHAnsi" w:cstheme="minorHAnsi"/>
                <w:b/>
                <w:sz w:val="18"/>
                <w:szCs w:val="18"/>
              </w:rPr>
              <w:t xml:space="preserve">PNUD: </w:t>
            </w:r>
            <w:r w:rsidRPr="00A51E75">
              <w:rPr>
                <w:rFonts w:asciiTheme="minorHAnsi" w:hAnsiTheme="minorHAnsi" w:cstheme="minorHAnsi"/>
                <w:sz w:val="18"/>
                <w:szCs w:val="18"/>
              </w:rPr>
              <w:t>9648</w:t>
            </w:r>
          </w:p>
        </w:tc>
        <w:tc>
          <w:tcPr>
            <w:tcW w:w="2745" w:type="pct"/>
            <w:gridSpan w:val="2"/>
          </w:tcPr>
          <w:p w14:paraId="4F2C3D8F" w14:textId="77777777" w:rsidR="00D055F9" w:rsidRPr="00A51E75" w:rsidRDefault="00D055F9" w:rsidP="00A42B51">
            <w:pPr>
              <w:spacing w:after="240"/>
              <w:jc w:val="both"/>
              <w:rPr>
                <w:rFonts w:asciiTheme="minorHAnsi" w:hAnsiTheme="minorHAnsi" w:cstheme="minorHAnsi"/>
                <w:b/>
                <w:sz w:val="18"/>
                <w:szCs w:val="18"/>
              </w:rPr>
            </w:pPr>
            <w:r w:rsidRPr="00A51E75">
              <w:rPr>
                <w:rFonts w:asciiTheme="minorHAnsi" w:hAnsiTheme="minorHAnsi" w:cstheme="minorHAnsi"/>
                <w:b/>
                <w:sz w:val="18"/>
                <w:szCs w:val="18"/>
              </w:rPr>
              <w:t xml:space="preserve">Número de ID del proyecto GEF: </w:t>
            </w:r>
            <w:r w:rsidRPr="00A51E75">
              <w:rPr>
                <w:rFonts w:asciiTheme="minorHAnsi" w:hAnsiTheme="minorHAnsi" w:cstheme="minorHAnsi"/>
                <w:sz w:val="18"/>
                <w:szCs w:val="18"/>
              </w:rPr>
              <w:t>11333</w:t>
            </w:r>
          </w:p>
        </w:tc>
      </w:tr>
      <w:tr w:rsidR="00D055F9" w:rsidRPr="00A51E75" w14:paraId="79D1D83B" w14:textId="77777777" w:rsidTr="315B12BA">
        <w:trPr>
          <w:trHeight w:val="350"/>
        </w:trPr>
        <w:tc>
          <w:tcPr>
            <w:tcW w:w="5000" w:type="pct"/>
            <w:gridSpan w:val="5"/>
          </w:tcPr>
          <w:p w14:paraId="668E3D48" w14:textId="4CC35DAC" w:rsidR="00D055F9" w:rsidRPr="00D830D9" w:rsidRDefault="00D055F9" w:rsidP="00A42B51">
            <w:p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Fecha de la reunión de LPAC: </w:t>
            </w:r>
            <w:r w:rsidR="00A70A8E" w:rsidRPr="00A51E75">
              <w:rPr>
                <w:rFonts w:asciiTheme="minorHAnsi" w:hAnsiTheme="minorHAnsi" w:cstheme="minorHAnsi"/>
                <w:bCs/>
                <w:sz w:val="18"/>
                <w:szCs w:val="18"/>
              </w:rPr>
              <w:t>Por determinar</w:t>
            </w:r>
          </w:p>
        </w:tc>
      </w:tr>
      <w:tr w:rsidR="00D055F9" w:rsidRPr="007D4F41" w14:paraId="6A69CFB0" w14:textId="77777777" w:rsidTr="315B12BA">
        <w:trPr>
          <w:trHeight w:val="350"/>
        </w:trPr>
        <w:tc>
          <w:tcPr>
            <w:tcW w:w="5000" w:type="pct"/>
            <w:gridSpan w:val="5"/>
          </w:tcPr>
          <w:p w14:paraId="026150EA" w14:textId="0F457A13" w:rsidR="00C15440" w:rsidRPr="0063505D" w:rsidRDefault="6ADC0E6E" w:rsidP="0063505D">
            <w:pPr>
              <w:jc w:val="both"/>
              <w:rPr>
                <w:rFonts w:asciiTheme="minorHAnsi" w:hAnsiTheme="minorHAnsi" w:cstheme="minorBidi"/>
                <w:sz w:val="18"/>
                <w:szCs w:val="18"/>
                <w:lang w:val="es-EC"/>
              </w:rPr>
            </w:pPr>
            <w:r w:rsidRPr="00A51E75">
              <w:rPr>
                <w:rFonts w:asciiTheme="minorHAnsi" w:hAnsiTheme="minorHAnsi" w:cstheme="minorBidi"/>
                <w:b/>
                <w:bCs/>
                <w:sz w:val="18"/>
                <w:szCs w:val="18"/>
              </w:rPr>
              <w:t xml:space="preserve">Fecha límite para presentar al GEF: </w:t>
            </w:r>
            <w:r w:rsidR="07936CD7" w:rsidRPr="00A51E75">
              <w:rPr>
                <w:rFonts w:asciiTheme="minorHAnsi" w:hAnsiTheme="minorHAnsi" w:cstheme="minorBidi"/>
                <w:sz w:val="18"/>
                <w:szCs w:val="18"/>
              </w:rPr>
              <w:t>20 de junio de 2025</w:t>
            </w:r>
          </w:p>
        </w:tc>
      </w:tr>
      <w:tr w:rsidR="00D055F9" w:rsidRPr="007D4F41" w14:paraId="67B58C3B" w14:textId="77777777" w:rsidTr="315B12BA">
        <w:trPr>
          <w:trHeight w:val="350"/>
        </w:trPr>
        <w:tc>
          <w:tcPr>
            <w:tcW w:w="5000" w:type="pct"/>
            <w:gridSpan w:val="5"/>
          </w:tcPr>
          <w:p w14:paraId="785172FF" w14:textId="31FE3F21" w:rsidR="00D055F9" w:rsidRPr="00D830D9" w:rsidRDefault="00DD4C66" w:rsidP="315B12BA">
            <w:pPr>
              <w:spacing w:after="240"/>
              <w:jc w:val="both"/>
              <w:rPr>
                <w:rFonts w:asciiTheme="minorHAnsi" w:hAnsiTheme="minorHAnsi" w:cstheme="minorBidi"/>
                <w:b/>
                <w:bCs/>
                <w:sz w:val="18"/>
                <w:szCs w:val="18"/>
                <w:lang w:val="es-EC"/>
              </w:rPr>
            </w:pPr>
            <w:r w:rsidRPr="315B12BA">
              <w:rPr>
                <w:rFonts w:asciiTheme="minorHAnsi" w:hAnsiTheme="minorHAnsi" w:cstheme="minorBidi"/>
                <w:b/>
                <w:bCs/>
                <w:sz w:val="18"/>
                <w:szCs w:val="18"/>
              </w:rPr>
              <w:t xml:space="preserve">Fecha más tardía </w:t>
            </w:r>
            <w:r w:rsidR="00D37634" w:rsidRPr="315B12BA">
              <w:rPr>
                <w:rFonts w:asciiTheme="minorHAnsi" w:hAnsiTheme="minorHAnsi" w:cstheme="minorBidi"/>
                <w:b/>
                <w:bCs/>
                <w:sz w:val="18"/>
                <w:szCs w:val="18"/>
              </w:rPr>
              <w:t>para el</w:t>
            </w:r>
            <w:r w:rsidRPr="315B12BA">
              <w:rPr>
                <w:rFonts w:asciiTheme="minorHAnsi" w:hAnsiTheme="minorHAnsi" w:cstheme="minorBidi"/>
                <w:b/>
                <w:bCs/>
                <w:sz w:val="18"/>
                <w:szCs w:val="18"/>
              </w:rPr>
              <w:t xml:space="preserve"> CEO</w:t>
            </w:r>
            <w:r w:rsidR="00D37634" w:rsidRPr="315B12BA">
              <w:rPr>
                <w:rFonts w:asciiTheme="minorHAnsi" w:hAnsiTheme="minorHAnsi" w:cstheme="minorBidi"/>
                <w:b/>
                <w:bCs/>
                <w:sz w:val="18"/>
                <w:szCs w:val="18"/>
              </w:rPr>
              <w:t xml:space="preserve"> endorsement</w:t>
            </w:r>
            <w:r w:rsidRPr="315B12BA">
              <w:rPr>
                <w:rFonts w:asciiTheme="minorHAnsi" w:hAnsiTheme="minorHAnsi" w:cstheme="minorBidi"/>
                <w:b/>
                <w:bCs/>
                <w:sz w:val="18"/>
                <w:szCs w:val="18"/>
              </w:rPr>
              <w:t xml:space="preserve">: </w:t>
            </w:r>
            <w:r w:rsidR="20B0DBA1" w:rsidRPr="315B12BA">
              <w:rPr>
                <w:rFonts w:asciiTheme="minorHAnsi" w:hAnsiTheme="minorHAnsi" w:cstheme="minorBidi"/>
                <w:sz w:val="18"/>
                <w:szCs w:val="18"/>
              </w:rPr>
              <w:t>20 de diciembre de 2025</w:t>
            </w:r>
          </w:p>
        </w:tc>
      </w:tr>
      <w:tr w:rsidR="00D055F9" w:rsidRPr="00A51E75" w14:paraId="18F3D0C1" w14:textId="77777777" w:rsidTr="315B12BA">
        <w:trPr>
          <w:trHeight w:val="350"/>
        </w:trPr>
        <w:tc>
          <w:tcPr>
            <w:tcW w:w="5000" w:type="pct"/>
            <w:gridSpan w:val="5"/>
          </w:tcPr>
          <w:p w14:paraId="3AD1AD58" w14:textId="77777777" w:rsidR="00D055F9" w:rsidRPr="00A51E75" w:rsidRDefault="00D055F9" w:rsidP="00A42B51">
            <w:pPr>
              <w:spacing w:after="240"/>
              <w:jc w:val="both"/>
              <w:rPr>
                <w:rFonts w:asciiTheme="minorHAnsi" w:hAnsiTheme="minorHAnsi" w:cstheme="minorHAnsi"/>
                <w:b/>
                <w:sz w:val="18"/>
                <w:szCs w:val="18"/>
              </w:rPr>
            </w:pPr>
            <w:r w:rsidRPr="00A51E75">
              <w:rPr>
                <w:rFonts w:asciiTheme="minorHAnsi" w:hAnsiTheme="minorHAnsi" w:cstheme="minorHAnsi"/>
                <w:b/>
                <w:sz w:val="18"/>
                <w:szCs w:val="18"/>
              </w:rPr>
              <w:t xml:space="preserve">Duración del proyecto en meses: </w:t>
            </w:r>
            <w:r w:rsidRPr="00A51E75">
              <w:rPr>
                <w:rFonts w:asciiTheme="minorHAnsi" w:hAnsiTheme="minorHAnsi" w:cstheme="minorHAnsi"/>
                <w:sz w:val="18"/>
                <w:szCs w:val="18"/>
              </w:rPr>
              <w:t>60</w:t>
            </w:r>
          </w:p>
        </w:tc>
      </w:tr>
      <w:tr w:rsidR="00D055F9" w:rsidRPr="00A51E75" w14:paraId="2124D610" w14:textId="77777777" w:rsidTr="315B12BA">
        <w:trPr>
          <w:trHeight w:val="710"/>
        </w:trPr>
        <w:tc>
          <w:tcPr>
            <w:tcW w:w="2255" w:type="pct"/>
            <w:gridSpan w:val="3"/>
          </w:tcPr>
          <w:p w14:paraId="6EEBC4C0" w14:textId="7311EF1A" w:rsidR="00D055F9" w:rsidRPr="00D830D9" w:rsidRDefault="00D055F9" w:rsidP="00A350A8">
            <w:p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Fecha prevista de inicio: </w:t>
            </w:r>
            <w:r w:rsidR="00DB6C8A" w:rsidRPr="00A51E75">
              <w:rPr>
                <w:rFonts w:asciiTheme="minorHAnsi" w:hAnsiTheme="minorHAnsi" w:cstheme="minorHAnsi"/>
                <w:bCs/>
                <w:sz w:val="18"/>
                <w:szCs w:val="18"/>
              </w:rPr>
              <w:t xml:space="preserve">junio </w:t>
            </w:r>
            <w:r w:rsidR="00064211" w:rsidRPr="00A51E75">
              <w:rPr>
                <w:rFonts w:asciiTheme="minorHAnsi" w:eastAsia="SimSun" w:hAnsiTheme="minorHAnsi" w:cstheme="minorHAnsi"/>
                <w:sz w:val="18"/>
                <w:szCs w:val="18"/>
              </w:rPr>
              <w:t xml:space="preserve">de 2026 </w:t>
            </w:r>
          </w:p>
        </w:tc>
        <w:tc>
          <w:tcPr>
            <w:tcW w:w="2745" w:type="pct"/>
            <w:gridSpan w:val="2"/>
          </w:tcPr>
          <w:p w14:paraId="0BA702D8" w14:textId="2ED9E1FC" w:rsidR="00D055F9" w:rsidRPr="00D830D9" w:rsidRDefault="00DD4C66" w:rsidP="315B12BA">
            <w:pPr>
              <w:jc w:val="both"/>
              <w:rPr>
                <w:rFonts w:asciiTheme="minorHAnsi" w:hAnsiTheme="minorHAnsi" w:cstheme="minorBidi"/>
                <w:i/>
                <w:iCs/>
                <w:sz w:val="18"/>
                <w:szCs w:val="18"/>
                <w:lang w:val="es-EC"/>
              </w:rPr>
            </w:pPr>
            <w:r w:rsidRPr="315B12BA">
              <w:rPr>
                <w:rFonts w:asciiTheme="minorHAnsi" w:hAnsiTheme="minorHAnsi" w:cstheme="minorBidi"/>
                <w:b/>
                <w:bCs/>
                <w:sz w:val="18"/>
                <w:szCs w:val="18"/>
              </w:rPr>
              <w:t xml:space="preserve">Fecha prevista de finalización: </w:t>
            </w:r>
            <w:r w:rsidR="7FFF0EAA" w:rsidRPr="315B12BA">
              <w:rPr>
                <w:rFonts w:asciiTheme="minorHAnsi" w:hAnsiTheme="minorHAnsi" w:cstheme="minorBidi"/>
                <w:sz w:val="18"/>
                <w:szCs w:val="18"/>
              </w:rPr>
              <w:t>junio de 2031</w:t>
            </w:r>
          </w:p>
        </w:tc>
      </w:tr>
      <w:tr w:rsidR="00D055F9" w:rsidRPr="007D4F41" w14:paraId="509BC46A" w14:textId="77777777" w:rsidTr="315B12BA">
        <w:tc>
          <w:tcPr>
            <w:tcW w:w="2255" w:type="pct"/>
            <w:gridSpan w:val="3"/>
          </w:tcPr>
          <w:p w14:paraId="10FA2F20" w14:textId="3E13499E" w:rsidR="00D055F9" w:rsidRPr="00D830D9" w:rsidRDefault="00D055F9" w:rsidP="001B61A6">
            <w:pPr>
              <w:spacing w:after="240"/>
              <w:jc w:val="both"/>
              <w:rPr>
                <w:rFonts w:asciiTheme="minorHAnsi" w:hAnsiTheme="minorHAnsi" w:cstheme="minorHAnsi"/>
                <w:i/>
                <w:sz w:val="18"/>
                <w:szCs w:val="18"/>
                <w:lang w:val="es-EC"/>
              </w:rPr>
            </w:pPr>
            <w:r w:rsidRPr="00A51E75">
              <w:rPr>
                <w:rFonts w:asciiTheme="minorHAnsi" w:hAnsiTheme="minorHAnsi" w:cstheme="minorHAnsi"/>
                <w:b/>
                <w:sz w:val="18"/>
                <w:szCs w:val="18"/>
              </w:rPr>
              <w:t xml:space="preserve">Fecha prevista para la presentación de la Revisión a Medio </w:t>
            </w:r>
            <w:r w:rsidR="003057B2">
              <w:rPr>
                <w:rFonts w:asciiTheme="minorHAnsi" w:hAnsiTheme="minorHAnsi" w:cstheme="minorHAnsi"/>
                <w:b/>
                <w:sz w:val="18"/>
                <w:szCs w:val="18"/>
              </w:rPr>
              <w:t>Termino</w:t>
            </w:r>
            <w:r w:rsidRPr="00A51E75">
              <w:rPr>
                <w:rFonts w:asciiTheme="minorHAnsi" w:hAnsiTheme="minorHAnsi" w:cstheme="minorHAnsi"/>
                <w:b/>
                <w:sz w:val="18"/>
                <w:szCs w:val="18"/>
              </w:rPr>
              <w:t xml:space="preserve"> (</w:t>
            </w:r>
            <w:r w:rsidR="003057B2">
              <w:rPr>
                <w:rFonts w:asciiTheme="minorHAnsi" w:hAnsiTheme="minorHAnsi" w:cstheme="minorHAnsi"/>
                <w:b/>
                <w:sz w:val="18"/>
                <w:szCs w:val="18"/>
              </w:rPr>
              <w:t>RMT</w:t>
            </w:r>
            <w:r w:rsidRPr="00A51E75">
              <w:rPr>
                <w:rFonts w:asciiTheme="minorHAnsi" w:hAnsiTheme="minorHAnsi" w:cstheme="minorHAnsi"/>
                <w:b/>
                <w:sz w:val="18"/>
                <w:szCs w:val="18"/>
              </w:rPr>
              <w:t xml:space="preserve">) al </w:t>
            </w:r>
            <w:r w:rsidR="003057B2">
              <w:rPr>
                <w:rFonts w:asciiTheme="minorHAnsi" w:hAnsiTheme="minorHAnsi" w:cstheme="minorHAnsi"/>
                <w:b/>
                <w:sz w:val="18"/>
                <w:szCs w:val="18"/>
              </w:rPr>
              <w:t>FMAM</w:t>
            </w:r>
            <w:r w:rsidRPr="00A51E75">
              <w:rPr>
                <w:rFonts w:asciiTheme="minorHAnsi" w:hAnsiTheme="minorHAnsi" w:cstheme="minorHAnsi"/>
                <w:b/>
                <w:sz w:val="18"/>
                <w:szCs w:val="18"/>
              </w:rPr>
              <w:t xml:space="preserve">: </w:t>
            </w:r>
            <w:r w:rsidR="00BC6952" w:rsidRPr="00A51E75">
              <w:rPr>
                <w:rFonts w:asciiTheme="minorHAnsi" w:eastAsia="SimSun" w:hAnsiTheme="minorHAnsi" w:cstheme="minorHAnsi"/>
                <w:bCs/>
                <w:sz w:val="18"/>
                <w:szCs w:val="18"/>
              </w:rPr>
              <w:t>diciembre de 2028</w:t>
            </w:r>
          </w:p>
        </w:tc>
        <w:tc>
          <w:tcPr>
            <w:tcW w:w="2745" w:type="pct"/>
            <w:gridSpan w:val="2"/>
          </w:tcPr>
          <w:p w14:paraId="237EC016" w14:textId="6842D9AF" w:rsidR="00064211" w:rsidRPr="00D830D9" w:rsidRDefault="00DD4C66" w:rsidP="05DB8549">
            <w:pPr>
              <w:spacing w:after="240"/>
              <w:jc w:val="both"/>
              <w:rPr>
                <w:rFonts w:asciiTheme="minorHAnsi" w:hAnsiTheme="minorHAnsi" w:cstheme="minorBidi"/>
                <w:b/>
                <w:bCs/>
                <w:i/>
                <w:iCs/>
                <w:sz w:val="18"/>
                <w:szCs w:val="18"/>
                <w:lang w:val="es-EC"/>
              </w:rPr>
            </w:pPr>
            <w:r w:rsidRPr="00A51E75">
              <w:rPr>
                <w:rFonts w:asciiTheme="minorHAnsi" w:hAnsiTheme="minorHAnsi" w:cstheme="minorBidi"/>
                <w:b/>
                <w:bCs/>
                <w:sz w:val="18"/>
                <w:szCs w:val="18"/>
              </w:rPr>
              <w:t xml:space="preserve">Fecha prevista para la presentación de la evaluación </w:t>
            </w:r>
            <w:r w:rsidR="003057B2">
              <w:rPr>
                <w:rFonts w:asciiTheme="minorHAnsi" w:hAnsiTheme="minorHAnsi" w:cstheme="minorBidi"/>
                <w:b/>
                <w:bCs/>
                <w:sz w:val="18"/>
                <w:szCs w:val="18"/>
              </w:rPr>
              <w:t>final independiente</w:t>
            </w:r>
            <w:r w:rsidRPr="00A51E75">
              <w:rPr>
                <w:rFonts w:asciiTheme="minorHAnsi" w:hAnsiTheme="minorHAnsi" w:cstheme="minorBidi"/>
                <w:b/>
                <w:bCs/>
                <w:sz w:val="18"/>
                <w:szCs w:val="18"/>
              </w:rPr>
              <w:t xml:space="preserve"> (</w:t>
            </w:r>
            <w:r w:rsidR="003057B2">
              <w:rPr>
                <w:rFonts w:asciiTheme="minorHAnsi" w:hAnsiTheme="minorHAnsi" w:cstheme="minorBidi"/>
                <w:b/>
                <w:bCs/>
                <w:sz w:val="18"/>
                <w:szCs w:val="18"/>
              </w:rPr>
              <w:t>EFI</w:t>
            </w:r>
            <w:r w:rsidRPr="00A51E75">
              <w:rPr>
                <w:rFonts w:asciiTheme="minorHAnsi" w:hAnsiTheme="minorHAnsi" w:cstheme="minorBidi"/>
                <w:b/>
                <w:bCs/>
                <w:sz w:val="18"/>
                <w:szCs w:val="18"/>
              </w:rPr>
              <w:t xml:space="preserve">) al </w:t>
            </w:r>
            <w:r w:rsidR="003057B2">
              <w:rPr>
                <w:rFonts w:asciiTheme="minorHAnsi" w:hAnsiTheme="minorHAnsi" w:cstheme="minorBidi"/>
                <w:b/>
                <w:bCs/>
                <w:sz w:val="18"/>
                <w:szCs w:val="18"/>
              </w:rPr>
              <w:t>FMAM</w:t>
            </w:r>
            <w:r w:rsidRPr="00A51E75">
              <w:rPr>
                <w:rFonts w:asciiTheme="minorHAnsi" w:hAnsiTheme="minorHAnsi" w:cstheme="minorBidi"/>
                <w:b/>
                <w:bCs/>
                <w:sz w:val="18"/>
                <w:szCs w:val="18"/>
              </w:rPr>
              <w:t xml:space="preserve">:  </w:t>
            </w:r>
            <w:r w:rsidR="00BC6952" w:rsidRPr="00A51E75">
              <w:rPr>
                <w:rFonts w:asciiTheme="minorHAnsi" w:hAnsiTheme="minorHAnsi" w:cstheme="minorBidi"/>
                <w:sz w:val="18"/>
                <w:szCs w:val="18"/>
              </w:rPr>
              <w:t xml:space="preserve">diciembre </w:t>
            </w:r>
            <w:r w:rsidR="2A0347D4" w:rsidRPr="00A51E75">
              <w:rPr>
                <w:rFonts w:asciiTheme="minorHAnsi" w:eastAsia="SimSun" w:hAnsiTheme="minorHAnsi" w:cstheme="minorBidi"/>
                <w:sz w:val="18"/>
                <w:szCs w:val="18"/>
              </w:rPr>
              <w:t>de 2031</w:t>
            </w:r>
          </w:p>
        </w:tc>
      </w:tr>
      <w:tr w:rsidR="00D055F9" w:rsidRPr="007D4F41" w14:paraId="60626654" w14:textId="77777777" w:rsidTr="315B12BA">
        <w:trPr>
          <w:trHeight w:val="300"/>
        </w:trPr>
        <w:tc>
          <w:tcPr>
            <w:tcW w:w="2255" w:type="pct"/>
            <w:gridSpan w:val="3"/>
          </w:tcPr>
          <w:p w14:paraId="02CAE7BC" w14:textId="3BCE616A" w:rsidR="00D055F9" w:rsidRPr="00D830D9" w:rsidRDefault="00DD4C66" w:rsidP="05DB8549">
            <w:pPr>
              <w:spacing w:after="240"/>
              <w:jc w:val="both"/>
              <w:rPr>
                <w:rFonts w:asciiTheme="minorHAnsi" w:hAnsiTheme="minorHAnsi" w:cstheme="minorBidi"/>
                <w:i/>
                <w:iCs/>
                <w:sz w:val="18"/>
                <w:szCs w:val="18"/>
                <w:lang w:val="es-EC"/>
              </w:rPr>
            </w:pPr>
            <w:r w:rsidRPr="00A51E75">
              <w:rPr>
                <w:rFonts w:asciiTheme="minorHAnsi" w:hAnsiTheme="minorHAnsi" w:cstheme="minorBidi"/>
                <w:b/>
                <w:bCs/>
                <w:sz w:val="18"/>
                <w:szCs w:val="18"/>
              </w:rPr>
              <w:t xml:space="preserve">Fecha prevista de cierre operativo: </w:t>
            </w:r>
            <w:r w:rsidR="009B5D03" w:rsidRPr="00A51E75">
              <w:rPr>
                <w:rFonts w:asciiTheme="minorHAnsi" w:eastAsia="SimSun" w:hAnsiTheme="minorHAnsi" w:cstheme="minorBidi"/>
                <w:sz w:val="18"/>
                <w:szCs w:val="18"/>
              </w:rPr>
              <w:t>marzo de 2032</w:t>
            </w:r>
          </w:p>
        </w:tc>
        <w:tc>
          <w:tcPr>
            <w:tcW w:w="2745" w:type="pct"/>
            <w:gridSpan w:val="2"/>
          </w:tcPr>
          <w:p w14:paraId="3D28C6E0" w14:textId="454680E6" w:rsidR="00D055F9" w:rsidRPr="00D830D9" w:rsidRDefault="00DD4C66" w:rsidP="05DB8549">
            <w:pPr>
              <w:spacing w:after="240"/>
              <w:jc w:val="both"/>
              <w:rPr>
                <w:rFonts w:asciiTheme="minorHAnsi" w:hAnsiTheme="minorHAnsi" w:cstheme="minorBidi"/>
                <w:b/>
                <w:bCs/>
                <w:sz w:val="18"/>
                <w:szCs w:val="18"/>
                <w:lang w:val="es-EC"/>
              </w:rPr>
            </w:pPr>
            <w:r w:rsidRPr="00A51E75">
              <w:rPr>
                <w:rFonts w:asciiTheme="minorHAnsi" w:hAnsiTheme="minorHAnsi" w:cstheme="minorBidi"/>
                <w:b/>
                <w:bCs/>
                <w:sz w:val="18"/>
                <w:szCs w:val="18"/>
              </w:rPr>
              <w:t xml:space="preserve">Fecha prevista de cierre financiero: </w:t>
            </w:r>
            <w:r w:rsidR="009B5D03" w:rsidRPr="00A51E75">
              <w:rPr>
                <w:rFonts w:asciiTheme="minorHAnsi" w:hAnsiTheme="minorHAnsi" w:cstheme="minorBidi"/>
                <w:sz w:val="18"/>
                <w:szCs w:val="18"/>
              </w:rPr>
              <w:t>septiembre de 2032</w:t>
            </w:r>
          </w:p>
        </w:tc>
      </w:tr>
      <w:tr w:rsidR="00D055F9" w:rsidRPr="007D4F41" w14:paraId="27880F39" w14:textId="77777777" w:rsidTr="315B12BA">
        <w:trPr>
          <w:trHeight w:val="530"/>
        </w:trPr>
        <w:tc>
          <w:tcPr>
            <w:tcW w:w="5000"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D86630" w14:textId="6D47FC09" w:rsidR="007E3B5B" w:rsidRPr="00D830D9" w:rsidRDefault="00DD4C66" w:rsidP="315B12BA">
            <w:pPr>
              <w:contextualSpacing/>
              <w:jc w:val="both"/>
              <w:rPr>
                <w:rFonts w:asciiTheme="minorHAnsi" w:hAnsiTheme="minorHAnsi" w:cstheme="minorBidi"/>
                <w:color w:val="000000"/>
                <w:sz w:val="18"/>
                <w:szCs w:val="18"/>
                <w:lang w:val="es-EC"/>
              </w:rPr>
            </w:pPr>
            <w:r w:rsidRPr="315B12BA">
              <w:rPr>
                <w:rFonts w:asciiTheme="minorHAnsi" w:hAnsiTheme="minorHAnsi" w:cstheme="minorBidi"/>
                <w:b/>
                <w:bCs/>
                <w:sz w:val="18"/>
                <w:szCs w:val="18"/>
              </w:rPr>
              <w:t xml:space="preserve">Breve descripción del proyecto:  </w:t>
            </w:r>
            <w:r w:rsidR="399C11AB" w:rsidRPr="315B12BA">
              <w:rPr>
                <w:rFonts w:asciiTheme="minorHAnsi" w:hAnsiTheme="minorHAnsi" w:cstheme="minorBidi"/>
                <w:color w:val="000000" w:themeColor="text1"/>
                <w:sz w:val="18"/>
                <w:szCs w:val="18"/>
              </w:rPr>
              <w:t>La cuenca del río Napo, que abarca más de 6,5 millones de hectáreas, es un ecosistema estratégico para Ecuador debido a su alto nivel de cobertura natural (83,8%), su papel en la conservación (67% bajo mecanismos de protección) y su porcentaje significativo de territorios indígenas (63,1%). Esta región enfrenta graves amenazas derivadas de la degradación de la tierra, la deforestación y el cambio climático, que afectan a la biodiversidad, la regulación del agua</w:t>
            </w:r>
            <w:r w:rsidR="00D37634" w:rsidRPr="315B12BA">
              <w:rPr>
                <w:rFonts w:asciiTheme="minorHAnsi" w:hAnsiTheme="minorHAnsi" w:cstheme="minorBidi"/>
                <w:color w:val="000000" w:themeColor="text1"/>
                <w:sz w:val="18"/>
                <w:szCs w:val="18"/>
              </w:rPr>
              <w:t>, así como</w:t>
            </w:r>
            <w:r w:rsidR="00E26F5E">
              <w:rPr>
                <w:rFonts w:asciiTheme="minorHAnsi" w:hAnsiTheme="minorHAnsi" w:cstheme="minorBidi"/>
                <w:color w:val="000000" w:themeColor="text1"/>
                <w:sz w:val="18"/>
                <w:szCs w:val="18"/>
              </w:rPr>
              <w:t xml:space="preserve"> </w:t>
            </w:r>
            <w:r w:rsidR="399C11AB" w:rsidRPr="315B12BA">
              <w:rPr>
                <w:rFonts w:asciiTheme="minorHAnsi" w:hAnsiTheme="minorHAnsi" w:cstheme="minorBidi"/>
                <w:color w:val="000000" w:themeColor="text1"/>
                <w:sz w:val="18"/>
                <w:szCs w:val="18"/>
              </w:rPr>
              <w:t>la subsistencia y la seguridad ambiental de más de 200.000 familias. Las áreas prioritarias contienen ecosistemas frágiles y múltiples designaciones de conservación (SNAP, ACUS, APH).</w:t>
            </w:r>
          </w:p>
          <w:p w14:paraId="56390A31" w14:textId="1F4A320E" w:rsidR="007E3B5B" w:rsidRPr="00D830D9" w:rsidRDefault="007E3B5B" w:rsidP="315B12BA">
            <w:pPr>
              <w:contextualSpacing/>
              <w:jc w:val="both"/>
              <w:rPr>
                <w:rFonts w:asciiTheme="minorHAnsi" w:hAnsiTheme="minorHAnsi" w:cstheme="minorBidi"/>
                <w:color w:val="000000"/>
                <w:sz w:val="18"/>
                <w:szCs w:val="18"/>
                <w:lang w:val="es-EC"/>
              </w:rPr>
            </w:pPr>
            <w:r w:rsidRPr="315B12BA">
              <w:rPr>
                <w:rFonts w:asciiTheme="minorHAnsi" w:hAnsiTheme="minorHAnsi" w:cstheme="minorBidi"/>
                <w:color w:val="000000" w:themeColor="text1"/>
                <w:sz w:val="18"/>
                <w:szCs w:val="18"/>
              </w:rPr>
              <w:t xml:space="preserve">El proyecto tiene como objetivo implementar una estrategia de Gestión Integrada del Paisaje que combine la </w:t>
            </w:r>
            <w:r w:rsidR="000A54C4">
              <w:rPr>
                <w:rFonts w:asciiTheme="minorHAnsi" w:hAnsiTheme="minorHAnsi" w:cstheme="minorBidi"/>
                <w:color w:val="000000" w:themeColor="text1"/>
                <w:sz w:val="18"/>
                <w:szCs w:val="18"/>
              </w:rPr>
              <w:t>Manejo Sostenible de la Tierra</w:t>
            </w:r>
            <w:r w:rsidRPr="315B12BA">
              <w:rPr>
                <w:rFonts w:asciiTheme="minorHAnsi" w:hAnsiTheme="minorHAnsi" w:cstheme="minorBidi"/>
                <w:color w:val="000000" w:themeColor="text1"/>
                <w:sz w:val="18"/>
                <w:szCs w:val="18"/>
              </w:rPr>
              <w:t xml:space="preserve"> (</w:t>
            </w:r>
            <w:r w:rsidR="00E26F5E">
              <w:rPr>
                <w:rFonts w:asciiTheme="minorHAnsi" w:hAnsiTheme="minorHAnsi" w:cstheme="minorBidi"/>
                <w:color w:val="000000" w:themeColor="text1"/>
                <w:sz w:val="18"/>
                <w:szCs w:val="18"/>
              </w:rPr>
              <w:t>MST</w:t>
            </w:r>
            <w:r w:rsidRPr="315B12BA">
              <w:rPr>
                <w:rFonts w:asciiTheme="minorHAnsi" w:hAnsiTheme="minorHAnsi" w:cstheme="minorBidi"/>
                <w:color w:val="000000" w:themeColor="text1"/>
                <w:sz w:val="18"/>
                <w:szCs w:val="18"/>
              </w:rPr>
              <w:t xml:space="preserve">), la </w:t>
            </w:r>
            <w:r w:rsidR="000A54C4">
              <w:rPr>
                <w:rFonts w:asciiTheme="minorHAnsi" w:hAnsiTheme="minorHAnsi" w:cstheme="minorBidi"/>
                <w:color w:val="000000" w:themeColor="text1"/>
                <w:sz w:val="18"/>
                <w:szCs w:val="18"/>
              </w:rPr>
              <w:t xml:space="preserve">Manejo Forestal Sostenible </w:t>
            </w:r>
            <w:r w:rsidRPr="315B12BA">
              <w:rPr>
                <w:rFonts w:asciiTheme="minorHAnsi" w:hAnsiTheme="minorHAnsi" w:cstheme="minorBidi"/>
                <w:color w:val="000000" w:themeColor="text1"/>
                <w:sz w:val="18"/>
                <w:szCs w:val="18"/>
              </w:rPr>
              <w:t>(</w:t>
            </w:r>
            <w:r w:rsidR="00E26F5E">
              <w:rPr>
                <w:rFonts w:asciiTheme="minorHAnsi" w:hAnsiTheme="minorHAnsi" w:cstheme="minorBidi"/>
                <w:color w:val="000000" w:themeColor="text1"/>
                <w:sz w:val="18"/>
                <w:szCs w:val="18"/>
              </w:rPr>
              <w:t>MFS</w:t>
            </w:r>
            <w:r w:rsidRPr="315B12BA">
              <w:rPr>
                <w:rFonts w:asciiTheme="minorHAnsi" w:hAnsiTheme="minorHAnsi" w:cstheme="minorBidi"/>
                <w:color w:val="000000" w:themeColor="text1"/>
                <w:sz w:val="18"/>
                <w:szCs w:val="18"/>
              </w:rPr>
              <w:t>), la restauración ecológica, la diversificación productiva y el fortalecimiento de la gobernanza ambiental mediante un enfoque inclusivo. Abordará barreras estructurales como la débil planificación territorial, la baja adopción de prácticas sostenibles y el acceso limitado a la financiación.</w:t>
            </w:r>
          </w:p>
          <w:p w14:paraId="45C7A818" w14:textId="0FD4FB81" w:rsidR="00D055F9" w:rsidRPr="00D830D9" w:rsidRDefault="399C11AB" w:rsidP="05DB8549">
            <w:pPr>
              <w:contextualSpacing/>
              <w:jc w:val="both"/>
              <w:rPr>
                <w:rFonts w:asciiTheme="minorHAnsi" w:hAnsiTheme="minorHAnsi" w:cstheme="minorBidi"/>
                <w:color w:val="000000" w:themeColor="text1"/>
                <w:sz w:val="18"/>
                <w:szCs w:val="18"/>
                <w:lang w:val="es-EC"/>
              </w:rPr>
            </w:pPr>
            <w:r w:rsidRPr="00A51E75">
              <w:rPr>
                <w:rFonts w:asciiTheme="minorHAnsi" w:hAnsiTheme="minorHAnsi" w:cstheme="minorBidi"/>
                <w:color w:val="000000" w:themeColor="text1"/>
                <w:sz w:val="18"/>
                <w:szCs w:val="18"/>
              </w:rPr>
              <w:t>Se espera que el proyecto beneficie a 7.676 personas (3.070 mujeres y 4.606 hombres) y genere los siguientes Beneficios Ambientales Globales (</w:t>
            </w:r>
            <w:proofErr w:type="spellStart"/>
            <w:r w:rsidR="00E26F5E">
              <w:rPr>
                <w:rFonts w:asciiTheme="minorHAnsi" w:hAnsiTheme="minorHAnsi" w:cstheme="minorBidi"/>
                <w:color w:val="000000" w:themeColor="text1"/>
                <w:sz w:val="18"/>
                <w:szCs w:val="18"/>
              </w:rPr>
              <w:t>BAGs</w:t>
            </w:r>
            <w:proofErr w:type="spellEnd"/>
            <w:r w:rsidRPr="00A51E75">
              <w:rPr>
                <w:rFonts w:asciiTheme="minorHAnsi" w:hAnsiTheme="minorHAnsi" w:cstheme="minorBidi"/>
                <w:color w:val="000000" w:themeColor="text1"/>
                <w:sz w:val="18"/>
                <w:szCs w:val="18"/>
              </w:rPr>
              <w:t xml:space="preserve">): 125.000 hectáreas bajo una gestión mejorada, 4.020 hectáreas restauradas, 45.178 hectáreas bajo prácticas mejoradas y 605.643 </w:t>
            </w:r>
            <w:proofErr w:type="spellStart"/>
            <w:r w:rsidRPr="00A51E75">
              <w:rPr>
                <w:rFonts w:asciiTheme="minorHAnsi" w:hAnsiTheme="minorHAnsi" w:cstheme="minorBidi"/>
                <w:color w:val="000000" w:themeColor="text1"/>
                <w:sz w:val="18"/>
                <w:szCs w:val="18"/>
              </w:rPr>
              <w:t>tCO₂e</w:t>
            </w:r>
            <w:proofErr w:type="spellEnd"/>
            <w:r w:rsidRPr="00A51E75">
              <w:rPr>
                <w:rFonts w:asciiTheme="minorHAnsi" w:hAnsiTheme="minorHAnsi" w:cstheme="minorBidi"/>
                <w:color w:val="000000" w:themeColor="text1"/>
                <w:sz w:val="18"/>
                <w:szCs w:val="18"/>
              </w:rPr>
              <w:t xml:space="preserve"> mitigadas.</w:t>
            </w:r>
          </w:p>
          <w:p w14:paraId="39FC8506" w14:textId="6BC1BA86" w:rsidR="00E541C5" w:rsidRPr="00D830D9" w:rsidRDefault="00E541C5" w:rsidP="05DB8549">
            <w:pPr>
              <w:contextualSpacing/>
              <w:jc w:val="both"/>
              <w:rPr>
                <w:rFonts w:asciiTheme="minorHAnsi" w:hAnsiTheme="minorHAnsi" w:cstheme="minorBidi"/>
                <w:color w:val="000000" w:themeColor="text1"/>
                <w:sz w:val="18"/>
                <w:szCs w:val="18"/>
                <w:lang w:val="es-EC"/>
              </w:rPr>
            </w:pPr>
          </w:p>
        </w:tc>
      </w:tr>
      <w:tr w:rsidR="00D055F9" w:rsidRPr="00A51E75" w14:paraId="495BAD6C" w14:textId="77777777" w:rsidTr="315B12BA">
        <w:trPr>
          <w:trHeight w:val="377"/>
        </w:trPr>
        <w:tc>
          <w:tcPr>
            <w:tcW w:w="5000" w:type="pct"/>
            <w:gridSpan w:val="5"/>
            <w:shd w:val="clear" w:color="auto" w:fill="D9D9D9" w:themeFill="background1" w:themeFillShade="D9"/>
          </w:tcPr>
          <w:p w14:paraId="29BCC198" w14:textId="49CB7FD3" w:rsidR="00D055F9" w:rsidRPr="00A51E75" w:rsidRDefault="00D055F9" w:rsidP="00A42B51">
            <w:pPr>
              <w:spacing w:after="60"/>
              <w:jc w:val="both"/>
              <w:rPr>
                <w:rFonts w:asciiTheme="minorHAnsi" w:hAnsiTheme="minorHAnsi" w:cstheme="minorHAnsi"/>
                <w:b/>
                <w:smallCaps/>
                <w:sz w:val="18"/>
                <w:szCs w:val="18"/>
                <w:lang w:val="en-US"/>
              </w:rPr>
            </w:pPr>
            <w:r w:rsidRPr="00A51E75">
              <w:rPr>
                <w:rFonts w:asciiTheme="minorHAnsi" w:hAnsiTheme="minorHAnsi" w:cstheme="minorHAnsi"/>
                <w:b/>
                <w:smallCaps/>
                <w:sz w:val="18"/>
                <w:szCs w:val="18"/>
              </w:rPr>
              <w:lastRenderedPageBreak/>
              <w:t xml:space="preserve">Plan de Financiación </w:t>
            </w:r>
          </w:p>
        </w:tc>
      </w:tr>
      <w:tr w:rsidR="00D055F9" w:rsidRPr="00A51E75" w14:paraId="6FA31CE0" w14:textId="77777777" w:rsidTr="315B12BA">
        <w:tc>
          <w:tcPr>
            <w:tcW w:w="2255" w:type="pct"/>
            <w:gridSpan w:val="3"/>
          </w:tcPr>
          <w:p w14:paraId="5D18F3D4" w14:textId="04D6BBDF" w:rsidR="00D055F9" w:rsidRPr="00D830D9" w:rsidRDefault="00D055F9" w:rsidP="00A42B51">
            <w:pPr>
              <w:spacing w:after="240"/>
              <w:jc w:val="both"/>
              <w:rPr>
                <w:rFonts w:asciiTheme="minorHAnsi" w:hAnsiTheme="minorHAnsi" w:cstheme="minorHAnsi"/>
                <w:sz w:val="18"/>
                <w:szCs w:val="18"/>
                <w:lang w:val="es-EC"/>
              </w:rPr>
            </w:pPr>
            <w:r w:rsidRPr="00A51E75">
              <w:rPr>
                <w:rFonts w:asciiTheme="minorHAnsi" w:hAnsiTheme="minorHAnsi" w:cstheme="minorHAnsi"/>
                <w:sz w:val="18"/>
                <w:szCs w:val="18"/>
              </w:rPr>
              <w:t xml:space="preserve">Subvención del Fondo Fiduciario del </w:t>
            </w:r>
            <w:r w:rsidR="0078696E">
              <w:rPr>
                <w:rFonts w:asciiTheme="minorHAnsi" w:hAnsiTheme="minorHAnsi" w:cstheme="minorHAnsi"/>
                <w:sz w:val="18"/>
                <w:szCs w:val="18"/>
              </w:rPr>
              <w:t>FMAM</w:t>
            </w:r>
            <w:r w:rsidRPr="00A51E75">
              <w:rPr>
                <w:rFonts w:asciiTheme="minorHAnsi" w:hAnsiTheme="minorHAnsi" w:cstheme="minorHAnsi"/>
                <w:sz w:val="18"/>
                <w:szCs w:val="18"/>
              </w:rPr>
              <w:t xml:space="preserve"> </w:t>
            </w:r>
          </w:p>
        </w:tc>
        <w:tc>
          <w:tcPr>
            <w:tcW w:w="2745" w:type="pct"/>
            <w:gridSpan w:val="2"/>
          </w:tcPr>
          <w:p w14:paraId="214F05ED" w14:textId="77777777" w:rsidR="00D055F9" w:rsidRPr="00A51E75" w:rsidRDefault="00D055F9" w:rsidP="315B12BA">
            <w:pPr>
              <w:spacing w:after="240"/>
              <w:jc w:val="both"/>
              <w:rPr>
                <w:rFonts w:asciiTheme="minorHAnsi" w:hAnsiTheme="minorHAnsi" w:cstheme="minorBidi"/>
                <w:b/>
                <w:bCs/>
                <w:sz w:val="18"/>
                <w:szCs w:val="18"/>
              </w:rPr>
            </w:pPr>
            <w:r w:rsidRPr="315B12BA">
              <w:rPr>
                <w:rFonts w:asciiTheme="minorHAnsi" w:hAnsiTheme="minorHAnsi" w:cstheme="minorBidi"/>
                <w:b/>
                <w:bCs/>
                <w:sz w:val="18"/>
                <w:szCs w:val="18"/>
              </w:rPr>
              <w:t xml:space="preserve">USD 8.982.420 </w:t>
            </w:r>
          </w:p>
        </w:tc>
      </w:tr>
      <w:tr w:rsidR="00D055F9" w:rsidRPr="00A51E75" w14:paraId="5604054A" w14:textId="77777777" w:rsidTr="315B12BA">
        <w:tc>
          <w:tcPr>
            <w:tcW w:w="2255" w:type="pct"/>
            <w:gridSpan w:val="3"/>
          </w:tcPr>
          <w:p w14:paraId="5F97BE06" w14:textId="4178F5CB" w:rsidR="00D055F9" w:rsidRPr="00A51E75" w:rsidRDefault="00D055F9" w:rsidP="00A42B51">
            <w:pPr>
              <w:spacing w:after="240"/>
              <w:jc w:val="both"/>
              <w:rPr>
                <w:rFonts w:asciiTheme="minorHAnsi" w:hAnsiTheme="minorHAnsi" w:cstheme="minorHAnsi"/>
                <w:sz w:val="18"/>
                <w:szCs w:val="18"/>
                <w:lang w:val="en-US"/>
              </w:rPr>
            </w:pPr>
            <w:r w:rsidRPr="00A51E75">
              <w:rPr>
                <w:rFonts w:asciiTheme="minorHAnsi" w:hAnsiTheme="minorHAnsi" w:cstheme="minorHAnsi"/>
                <w:sz w:val="18"/>
                <w:szCs w:val="18"/>
              </w:rPr>
              <w:t xml:space="preserve">Recursos del PNUD TRAC </w:t>
            </w:r>
          </w:p>
        </w:tc>
        <w:tc>
          <w:tcPr>
            <w:tcW w:w="2745" w:type="pct"/>
            <w:gridSpan w:val="2"/>
          </w:tcPr>
          <w:p w14:paraId="5B61E7BC" w14:textId="12D85914" w:rsidR="00D055F9" w:rsidRPr="00A51E75" w:rsidRDefault="31AEFD85" w:rsidP="4D0299E8">
            <w:pPr>
              <w:spacing w:after="240"/>
              <w:jc w:val="both"/>
              <w:rPr>
                <w:rFonts w:asciiTheme="minorHAnsi" w:hAnsiTheme="minorHAnsi" w:cstheme="minorBidi"/>
                <w:sz w:val="18"/>
                <w:szCs w:val="18"/>
              </w:rPr>
            </w:pPr>
            <w:r w:rsidRPr="00A51E75">
              <w:rPr>
                <w:rFonts w:asciiTheme="minorHAnsi" w:hAnsiTheme="minorHAnsi" w:cstheme="minorBidi"/>
                <w:sz w:val="18"/>
                <w:szCs w:val="18"/>
              </w:rPr>
              <w:t>USD 0</w:t>
            </w:r>
          </w:p>
        </w:tc>
      </w:tr>
      <w:tr w:rsidR="00D055F9" w:rsidRPr="00A51E75" w14:paraId="73AD8FFA" w14:textId="77777777" w:rsidTr="315B12BA">
        <w:tc>
          <w:tcPr>
            <w:tcW w:w="2255" w:type="pct"/>
            <w:gridSpan w:val="3"/>
          </w:tcPr>
          <w:p w14:paraId="734BDA98" w14:textId="587A3ECB" w:rsidR="00D055F9" w:rsidRPr="00D830D9" w:rsidRDefault="00D055F9" w:rsidP="00A42B51">
            <w:pPr>
              <w:spacing w:after="240"/>
              <w:jc w:val="both"/>
              <w:rPr>
                <w:rFonts w:asciiTheme="minorHAnsi" w:hAnsiTheme="minorHAnsi" w:cstheme="minorHAnsi"/>
                <w:sz w:val="18"/>
                <w:szCs w:val="18"/>
                <w:lang w:val="es-EC"/>
              </w:rPr>
            </w:pPr>
            <w:r w:rsidRPr="00A51E75">
              <w:rPr>
                <w:rFonts w:asciiTheme="minorHAnsi" w:hAnsiTheme="minorHAnsi" w:cstheme="minorHAnsi"/>
                <w:sz w:val="18"/>
                <w:szCs w:val="18"/>
              </w:rPr>
              <w:t xml:space="preserve">Confirmación de la cofinanciación en efectivo que será administrada por el PNUD </w:t>
            </w:r>
          </w:p>
        </w:tc>
        <w:tc>
          <w:tcPr>
            <w:tcW w:w="2745" w:type="pct"/>
            <w:gridSpan w:val="2"/>
          </w:tcPr>
          <w:p w14:paraId="400DFCF1" w14:textId="717D23FD" w:rsidR="00D055F9" w:rsidRPr="00A51E75" w:rsidRDefault="748D7F6E" w:rsidP="05DB8549">
            <w:pPr>
              <w:spacing w:after="240"/>
              <w:jc w:val="both"/>
              <w:rPr>
                <w:rFonts w:asciiTheme="minorHAnsi" w:hAnsiTheme="minorHAnsi" w:cstheme="minorBidi"/>
                <w:sz w:val="18"/>
                <w:szCs w:val="18"/>
                <w:lang w:val="es-EC"/>
              </w:rPr>
            </w:pPr>
            <w:r w:rsidRPr="00A51E75">
              <w:rPr>
                <w:rFonts w:asciiTheme="minorHAnsi" w:hAnsiTheme="minorHAnsi" w:cstheme="minorBidi"/>
                <w:sz w:val="18"/>
                <w:szCs w:val="18"/>
              </w:rPr>
              <w:t>USD 0</w:t>
            </w:r>
          </w:p>
        </w:tc>
      </w:tr>
      <w:tr w:rsidR="00D055F9" w:rsidRPr="00A51E75" w14:paraId="3859E5B3" w14:textId="77777777" w:rsidTr="315B12BA">
        <w:tc>
          <w:tcPr>
            <w:tcW w:w="2255" w:type="pct"/>
            <w:gridSpan w:val="3"/>
          </w:tcPr>
          <w:p w14:paraId="1573F91D" w14:textId="77777777" w:rsidR="00D055F9" w:rsidRPr="00D830D9" w:rsidRDefault="00D055F9" w:rsidP="00EC2CBE">
            <w:pPr>
              <w:numPr>
                <w:ilvl w:val="0"/>
                <w:numId w:val="2"/>
              </w:num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Presupuesto total administrado por el PNUD </w:t>
            </w:r>
          </w:p>
        </w:tc>
        <w:tc>
          <w:tcPr>
            <w:tcW w:w="2745" w:type="pct"/>
            <w:gridSpan w:val="2"/>
          </w:tcPr>
          <w:p w14:paraId="1D289146" w14:textId="4CB36771" w:rsidR="00D055F9" w:rsidRPr="00A51E75" w:rsidRDefault="00D055F9" w:rsidP="00A42B51">
            <w:pPr>
              <w:spacing w:after="240"/>
              <w:jc w:val="both"/>
              <w:rPr>
                <w:rFonts w:asciiTheme="minorHAnsi" w:hAnsiTheme="minorHAnsi" w:cstheme="minorHAnsi"/>
                <w:bCs/>
                <w:sz w:val="18"/>
                <w:szCs w:val="18"/>
              </w:rPr>
            </w:pPr>
            <w:r w:rsidRPr="00A51E75">
              <w:rPr>
                <w:rFonts w:asciiTheme="minorHAnsi" w:hAnsiTheme="minorHAnsi" w:cstheme="minorHAnsi"/>
                <w:bCs/>
                <w:sz w:val="18"/>
                <w:szCs w:val="18"/>
              </w:rPr>
              <w:t>USD 8.982.420</w:t>
            </w:r>
          </w:p>
        </w:tc>
      </w:tr>
      <w:tr w:rsidR="00D055F9" w:rsidRPr="00A51E75" w14:paraId="51EB14A9" w14:textId="77777777" w:rsidTr="315B12BA">
        <w:tc>
          <w:tcPr>
            <w:tcW w:w="5000" w:type="pct"/>
            <w:gridSpan w:val="5"/>
            <w:shd w:val="clear" w:color="auto" w:fill="D9D9D9" w:themeFill="background1" w:themeFillShade="D9"/>
          </w:tcPr>
          <w:p w14:paraId="6BCDD180" w14:textId="77777777" w:rsidR="00D055F9" w:rsidRPr="00A51E75" w:rsidRDefault="00D055F9" w:rsidP="00A42B51">
            <w:pPr>
              <w:spacing w:after="60"/>
              <w:jc w:val="both"/>
              <w:rPr>
                <w:rFonts w:asciiTheme="minorHAnsi" w:hAnsiTheme="minorHAnsi" w:cstheme="minorHAnsi"/>
                <w:b/>
                <w:sz w:val="18"/>
                <w:szCs w:val="18"/>
              </w:rPr>
            </w:pPr>
          </w:p>
        </w:tc>
      </w:tr>
      <w:tr w:rsidR="00D055F9" w:rsidRPr="00A51E75" w14:paraId="1B065CF3" w14:textId="77777777" w:rsidTr="315B12BA">
        <w:tc>
          <w:tcPr>
            <w:tcW w:w="2255" w:type="pct"/>
            <w:gridSpan w:val="3"/>
          </w:tcPr>
          <w:p w14:paraId="4284664B" w14:textId="0AF6CAC9" w:rsidR="00D055F9" w:rsidRPr="00D830D9" w:rsidRDefault="00D055F9" w:rsidP="00EC2CBE">
            <w:pPr>
              <w:numPr>
                <w:ilvl w:val="0"/>
                <w:numId w:val="2"/>
              </w:num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Cofinanciación total confirmada a este proyecto no administrado por el PNUD</w:t>
            </w:r>
          </w:p>
        </w:tc>
        <w:tc>
          <w:tcPr>
            <w:tcW w:w="2745" w:type="pct"/>
            <w:gridSpan w:val="2"/>
          </w:tcPr>
          <w:p w14:paraId="7264C89C" w14:textId="5C996935" w:rsidR="00396E92" w:rsidRPr="00A51E75" w:rsidRDefault="00A42B51" w:rsidP="00396E92">
            <w:pPr>
              <w:spacing w:after="240"/>
              <w:jc w:val="both"/>
              <w:rPr>
                <w:rFonts w:asciiTheme="minorHAnsi" w:hAnsiTheme="minorHAnsi" w:cstheme="minorHAnsi"/>
                <w:bCs/>
                <w:sz w:val="18"/>
                <w:szCs w:val="18"/>
              </w:rPr>
            </w:pPr>
            <w:r w:rsidRPr="00A51E75">
              <w:rPr>
                <w:rFonts w:asciiTheme="minorHAnsi" w:hAnsiTheme="minorHAnsi" w:cstheme="minorHAnsi"/>
                <w:bCs/>
                <w:sz w:val="18"/>
                <w:szCs w:val="18"/>
              </w:rPr>
              <w:t xml:space="preserve">USD </w:t>
            </w:r>
            <w:r w:rsidR="00396E92" w:rsidRPr="00A51E75">
              <w:rPr>
                <w:rFonts w:ascii="Calibri" w:hAnsi="Calibri" w:cs="Calibri"/>
                <w:b/>
                <w:bCs/>
                <w:color w:val="000000"/>
                <w:sz w:val="18"/>
                <w:szCs w:val="18"/>
              </w:rPr>
              <w:t>69.111.918</w:t>
            </w:r>
          </w:p>
          <w:p w14:paraId="6C552F59" w14:textId="1179A4EE" w:rsidR="00D055F9" w:rsidRPr="00A51E75" w:rsidRDefault="00D055F9" w:rsidP="00A42B51">
            <w:pPr>
              <w:spacing w:after="240"/>
              <w:jc w:val="both"/>
              <w:rPr>
                <w:rFonts w:asciiTheme="minorHAnsi" w:hAnsiTheme="minorHAnsi" w:cstheme="minorHAnsi"/>
                <w:bCs/>
                <w:sz w:val="18"/>
                <w:szCs w:val="18"/>
              </w:rPr>
            </w:pPr>
          </w:p>
        </w:tc>
      </w:tr>
      <w:tr w:rsidR="00D055F9" w:rsidRPr="00A51E75" w14:paraId="0BDD1B1B" w14:textId="77777777" w:rsidTr="315B12BA">
        <w:tc>
          <w:tcPr>
            <w:tcW w:w="2255" w:type="pct"/>
            <w:gridSpan w:val="3"/>
          </w:tcPr>
          <w:p w14:paraId="5E28943E" w14:textId="77777777" w:rsidR="00D055F9" w:rsidRPr="00A51E75" w:rsidRDefault="00D055F9" w:rsidP="00EC2CBE">
            <w:pPr>
              <w:numPr>
                <w:ilvl w:val="0"/>
                <w:numId w:val="2"/>
              </w:numPr>
              <w:spacing w:after="240"/>
              <w:jc w:val="both"/>
              <w:rPr>
                <w:rFonts w:asciiTheme="minorHAnsi" w:hAnsiTheme="minorHAnsi" w:cstheme="minorHAnsi"/>
                <w:b/>
                <w:sz w:val="18"/>
                <w:szCs w:val="18"/>
              </w:rPr>
            </w:pPr>
            <w:r w:rsidRPr="00A51E75">
              <w:rPr>
                <w:rFonts w:asciiTheme="minorHAnsi" w:hAnsiTheme="minorHAnsi" w:cstheme="minorHAnsi"/>
                <w:b/>
                <w:sz w:val="18"/>
                <w:szCs w:val="18"/>
              </w:rPr>
              <w:t>Financiación Total del Proyecto (</w:t>
            </w:r>
            <w:proofErr w:type="gramStart"/>
            <w:r w:rsidRPr="00A51E75">
              <w:rPr>
                <w:rFonts w:asciiTheme="minorHAnsi" w:hAnsiTheme="minorHAnsi" w:cstheme="minorHAnsi"/>
                <w:b/>
                <w:sz w:val="18"/>
                <w:szCs w:val="18"/>
              </w:rPr>
              <w:t>1)+(</w:t>
            </w:r>
            <w:proofErr w:type="gramEnd"/>
            <w:r w:rsidRPr="00A51E75">
              <w:rPr>
                <w:rFonts w:asciiTheme="minorHAnsi" w:hAnsiTheme="minorHAnsi" w:cstheme="minorHAnsi"/>
                <w:b/>
                <w:sz w:val="18"/>
                <w:szCs w:val="18"/>
              </w:rPr>
              <w:t>2)</w:t>
            </w:r>
          </w:p>
        </w:tc>
        <w:tc>
          <w:tcPr>
            <w:tcW w:w="2745" w:type="pct"/>
            <w:gridSpan w:val="2"/>
          </w:tcPr>
          <w:p w14:paraId="55CBF0AE" w14:textId="285DBFC4" w:rsidR="00D055F9" w:rsidRPr="00A51E75" w:rsidRDefault="00D055F9" w:rsidP="00A42B51">
            <w:pPr>
              <w:spacing w:after="240"/>
              <w:jc w:val="both"/>
              <w:rPr>
                <w:rFonts w:asciiTheme="minorHAnsi" w:hAnsiTheme="minorHAnsi" w:cstheme="minorHAnsi"/>
                <w:bCs/>
                <w:sz w:val="18"/>
                <w:szCs w:val="18"/>
              </w:rPr>
            </w:pPr>
            <w:r w:rsidRPr="00A51E75">
              <w:rPr>
                <w:rFonts w:asciiTheme="minorHAnsi" w:hAnsiTheme="minorHAnsi" w:cstheme="minorHAnsi"/>
                <w:bCs/>
                <w:sz w:val="18"/>
                <w:szCs w:val="18"/>
              </w:rPr>
              <w:t>USD 78.094.338</w:t>
            </w:r>
          </w:p>
        </w:tc>
      </w:tr>
      <w:tr w:rsidR="00D055F9" w:rsidRPr="00A51E75" w14:paraId="0827CF96" w14:textId="77777777" w:rsidTr="315B12BA">
        <w:trPr>
          <w:trHeight w:val="692"/>
        </w:trPr>
        <w:tc>
          <w:tcPr>
            <w:tcW w:w="5000"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1F6F33ED" w14:textId="2CDC3217" w:rsidR="00D055F9" w:rsidRPr="00A51E75" w:rsidRDefault="00D055F9" w:rsidP="00A42B51">
            <w:pPr>
              <w:spacing w:after="240"/>
              <w:jc w:val="both"/>
              <w:rPr>
                <w:rFonts w:asciiTheme="minorHAnsi" w:hAnsiTheme="minorHAnsi" w:cstheme="minorHAnsi"/>
                <w:b/>
                <w:smallCaps/>
                <w:sz w:val="18"/>
                <w:szCs w:val="18"/>
              </w:rPr>
            </w:pPr>
            <w:r w:rsidRPr="00A51E75">
              <w:rPr>
                <w:rFonts w:asciiTheme="minorHAnsi" w:hAnsiTheme="minorHAnsi" w:cstheme="minorHAnsi"/>
                <w:b/>
                <w:smallCaps/>
                <w:sz w:val="18"/>
                <w:szCs w:val="18"/>
              </w:rPr>
              <w:t xml:space="preserve">Firmas: </w:t>
            </w:r>
          </w:p>
        </w:tc>
      </w:tr>
      <w:tr w:rsidR="00D055F9" w:rsidRPr="007D4F41" w14:paraId="7A9AC16C" w14:textId="77777777" w:rsidTr="315B12BA">
        <w:trPr>
          <w:trHeight w:val="1187"/>
        </w:trPr>
        <w:tc>
          <w:tcPr>
            <w:tcW w:w="203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361B7" w14:textId="49B35E2B" w:rsidR="00D055F9" w:rsidRPr="00A51E75" w:rsidRDefault="00D055F9" w:rsidP="315B12BA">
            <w:pPr>
              <w:spacing w:after="240"/>
              <w:jc w:val="both"/>
              <w:rPr>
                <w:rFonts w:asciiTheme="minorHAnsi" w:hAnsiTheme="minorHAnsi" w:cstheme="minorBidi"/>
                <w:i/>
                <w:iCs/>
                <w:sz w:val="18"/>
                <w:szCs w:val="18"/>
              </w:rPr>
            </w:pPr>
            <w:r w:rsidRPr="315B12BA">
              <w:rPr>
                <w:rFonts w:asciiTheme="minorHAnsi" w:hAnsiTheme="minorHAnsi" w:cstheme="minorBidi"/>
                <w:b/>
                <w:bCs/>
                <w:sz w:val="18"/>
                <w:szCs w:val="18"/>
              </w:rPr>
              <w:t xml:space="preserve">Firma: </w:t>
            </w:r>
          </w:p>
          <w:p w14:paraId="6BD89A78" w14:textId="77777777" w:rsidR="00D055F9" w:rsidRPr="00A51E75" w:rsidRDefault="00D055F9" w:rsidP="00A42B51">
            <w:pPr>
              <w:spacing w:after="240"/>
              <w:jc w:val="both"/>
              <w:rPr>
                <w:rFonts w:asciiTheme="minorHAnsi" w:hAnsiTheme="minorHAnsi" w:cstheme="minorHAnsi"/>
                <w:b/>
                <w:sz w:val="18"/>
                <w:szCs w:val="18"/>
              </w:rPr>
            </w:pPr>
          </w:p>
        </w:tc>
        <w:tc>
          <w:tcPr>
            <w:tcW w:w="79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AEA7F" w14:textId="77777777" w:rsidR="00D055F9" w:rsidRPr="00D830D9" w:rsidRDefault="00D055F9" w:rsidP="00A42B51">
            <w:pPr>
              <w:spacing w:after="240"/>
              <w:rPr>
                <w:rFonts w:asciiTheme="minorHAnsi" w:hAnsiTheme="minorHAnsi" w:cstheme="minorHAnsi"/>
                <w:b/>
                <w:sz w:val="18"/>
                <w:szCs w:val="18"/>
                <w:lang w:val="es-EC"/>
              </w:rPr>
            </w:pPr>
            <w:r w:rsidRPr="00A51E75">
              <w:rPr>
                <w:rFonts w:asciiTheme="minorHAnsi" w:hAnsiTheme="minorHAnsi" w:cstheme="minorHAnsi"/>
                <w:b/>
                <w:sz w:val="18"/>
                <w:szCs w:val="18"/>
              </w:rPr>
              <w:t>Acuerdo de la Autoridad de Coordinación del Desarrollo Gubernamental</w:t>
            </w:r>
          </w:p>
        </w:tc>
        <w:tc>
          <w:tcPr>
            <w:tcW w:w="21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3028D" w14:textId="2DC29D29" w:rsidR="00D055F9" w:rsidRPr="00D830D9" w:rsidRDefault="00D055F9" w:rsidP="315B12BA">
            <w:pPr>
              <w:spacing w:after="240"/>
              <w:jc w:val="both"/>
              <w:rPr>
                <w:rFonts w:asciiTheme="minorHAnsi" w:hAnsiTheme="minorHAnsi" w:cstheme="minorBidi"/>
                <w:b/>
                <w:bCs/>
                <w:i/>
                <w:iCs/>
                <w:sz w:val="18"/>
                <w:szCs w:val="18"/>
                <w:lang w:val="es-EC"/>
              </w:rPr>
            </w:pPr>
            <w:r w:rsidRPr="315B12BA">
              <w:rPr>
                <w:rFonts w:asciiTheme="minorHAnsi" w:hAnsiTheme="minorHAnsi" w:cstheme="minorBidi"/>
                <w:b/>
                <w:bCs/>
                <w:sz w:val="18"/>
                <w:szCs w:val="18"/>
              </w:rPr>
              <w:t xml:space="preserve">Fecha/Mes/Año: </w:t>
            </w:r>
            <w:r w:rsidRPr="315B12BA">
              <w:rPr>
                <w:rFonts w:asciiTheme="minorHAnsi" w:hAnsiTheme="minorHAnsi" w:cstheme="minorBidi"/>
                <w:i/>
                <w:iCs/>
                <w:sz w:val="18"/>
                <w:szCs w:val="18"/>
              </w:rPr>
              <w:t xml:space="preserve">dentro de los 6 meses posteriores a la aprobación del CEO del </w:t>
            </w:r>
            <w:r w:rsidR="0078696E">
              <w:rPr>
                <w:rFonts w:asciiTheme="minorHAnsi" w:hAnsiTheme="minorHAnsi" w:cstheme="minorBidi"/>
                <w:i/>
                <w:iCs/>
                <w:sz w:val="18"/>
                <w:szCs w:val="18"/>
              </w:rPr>
              <w:t>FMAM</w:t>
            </w:r>
          </w:p>
          <w:p w14:paraId="27B58ACE" w14:textId="77777777" w:rsidR="00D055F9" w:rsidRPr="00D830D9" w:rsidRDefault="00D055F9" w:rsidP="00A42B51">
            <w:pPr>
              <w:spacing w:after="240"/>
              <w:contextualSpacing/>
              <w:jc w:val="both"/>
              <w:rPr>
                <w:rFonts w:asciiTheme="minorHAnsi" w:hAnsiTheme="minorHAnsi" w:cstheme="minorHAnsi"/>
                <w:sz w:val="18"/>
                <w:szCs w:val="18"/>
                <w:lang w:val="es-EC"/>
              </w:rPr>
            </w:pPr>
          </w:p>
        </w:tc>
      </w:tr>
      <w:tr w:rsidR="00D055F9" w:rsidRPr="007D4F41" w14:paraId="6ECFD674" w14:textId="77777777" w:rsidTr="315B12BA">
        <w:tc>
          <w:tcPr>
            <w:tcW w:w="2033" w:type="pct"/>
            <w:gridSpan w:val="2"/>
          </w:tcPr>
          <w:p w14:paraId="1DFB3C1B" w14:textId="5F8AB8C5" w:rsidR="00D055F9" w:rsidRPr="00A51E75" w:rsidRDefault="00D055F9" w:rsidP="315B12BA">
            <w:pPr>
              <w:spacing w:after="240"/>
              <w:jc w:val="both"/>
              <w:rPr>
                <w:rFonts w:asciiTheme="minorHAnsi" w:hAnsiTheme="minorHAnsi" w:cstheme="minorBidi"/>
                <w:i/>
                <w:iCs/>
                <w:sz w:val="18"/>
                <w:szCs w:val="18"/>
              </w:rPr>
            </w:pPr>
            <w:r w:rsidRPr="315B12BA">
              <w:rPr>
                <w:rFonts w:asciiTheme="minorHAnsi" w:hAnsiTheme="minorHAnsi" w:cstheme="minorBidi"/>
                <w:b/>
                <w:bCs/>
                <w:sz w:val="18"/>
                <w:szCs w:val="18"/>
              </w:rPr>
              <w:t xml:space="preserve">Firma: </w:t>
            </w:r>
          </w:p>
          <w:p w14:paraId="4A3D92A1" w14:textId="77777777" w:rsidR="00D055F9" w:rsidRPr="00A51E75" w:rsidRDefault="00D055F9" w:rsidP="00A42B51">
            <w:pPr>
              <w:spacing w:after="240"/>
              <w:jc w:val="both"/>
              <w:rPr>
                <w:rFonts w:asciiTheme="minorHAnsi" w:hAnsiTheme="minorHAnsi" w:cstheme="minorHAnsi"/>
                <w:b/>
                <w:sz w:val="18"/>
                <w:szCs w:val="18"/>
              </w:rPr>
            </w:pPr>
          </w:p>
        </w:tc>
        <w:tc>
          <w:tcPr>
            <w:tcW w:w="797" w:type="pct"/>
            <w:gridSpan w:val="2"/>
          </w:tcPr>
          <w:p w14:paraId="372EF485" w14:textId="77777777" w:rsidR="00D055F9" w:rsidRPr="00A51E75" w:rsidRDefault="00D055F9" w:rsidP="315B12BA">
            <w:pPr>
              <w:spacing w:after="240"/>
              <w:rPr>
                <w:rFonts w:asciiTheme="minorHAnsi" w:hAnsiTheme="minorHAnsi" w:cstheme="minorBidi"/>
                <w:b/>
                <w:bCs/>
                <w:sz w:val="18"/>
                <w:szCs w:val="18"/>
              </w:rPr>
            </w:pPr>
            <w:r w:rsidRPr="315B12BA">
              <w:rPr>
                <w:rFonts w:asciiTheme="minorHAnsi" w:hAnsiTheme="minorHAnsi" w:cstheme="minorBidi"/>
                <w:b/>
                <w:bCs/>
                <w:sz w:val="18"/>
                <w:szCs w:val="18"/>
              </w:rPr>
              <w:t>Acuerdo del Socio Implementador</w:t>
            </w:r>
          </w:p>
        </w:tc>
        <w:tc>
          <w:tcPr>
            <w:tcW w:w="2170" w:type="pct"/>
          </w:tcPr>
          <w:p w14:paraId="1F67577A" w14:textId="7F09C507" w:rsidR="00D055F9" w:rsidRPr="00D830D9" w:rsidRDefault="00D055F9" w:rsidP="00A42B51">
            <w:pPr>
              <w:spacing w:after="240"/>
              <w:jc w:val="both"/>
              <w:rPr>
                <w:rFonts w:asciiTheme="minorHAnsi" w:hAnsiTheme="minorHAnsi" w:cstheme="minorHAnsi"/>
                <w:b/>
                <w:i/>
                <w:sz w:val="18"/>
                <w:szCs w:val="18"/>
                <w:lang w:val="es-EC"/>
              </w:rPr>
            </w:pPr>
            <w:r w:rsidRPr="00A51E75">
              <w:rPr>
                <w:rFonts w:asciiTheme="minorHAnsi" w:hAnsiTheme="minorHAnsi" w:cstheme="minorHAnsi"/>
                <w:b/>
                <w:sz w:val="18"/>
                <w:szCs w:val="18"/>
              </w:rPr>
              <w:t xml:space="preserve">Fecha/Mes/Año: </w:t>
            </w:r>
            <w:r w:rsidRPr="00A51E75">
              <w:rPr>
                <w:rFonts w:asciiTheme="minorHAnsi" w:hAnsiTheme="minorHAnsi" w:cstheme="minorHAnsi"/>
                <w:i/>
                <w:sz w:val="18"/>
                <w:szCs w:val="18"/>
              </w:rPr>
              <w:t xml:space="preserve">dentro de los 6 meses posteriores a la aprobación del CEO del </w:t>
            </w:r>
            <w:r w:rsidR="0078696E">
              <w:rPr>
                <w:rFonts w:asciiTheme="minorHAnsi" w:hAnsiTheme="minorHAnsi" w:cstheme="minorHAnsi"/>
                <w:i/>
                <w:sz w:val="18"/>
                <w:szCs w:val="18"/>
              </w:rPr>
              <w:t>FMAM</w:t>
            </w:r>
          </w:p>
          <w:p w14:paraId="5A93AFE5" w14:textId="77777777" w:rsidR="00D055F9" w:rsidRPr="00D830D9" w:rsidRDefault="00D055F9" w:rsidP="00A42B51">
            <w:pPr>
              <w:spacing w:after="240"/>
              <w:contextualSpacing/>
              <w:jc w:val="both"/>
              <w:rPr>
                <w:rFonts w:asciiTheme="minorHAnsi" w:hAnsiTheme="minorHAnsi" w:cstheme="minorHAnsi"/>
                <w:b/>
                <w:sz w:val="18"/>
                <w:szCs w:val="18"/>
                <w:lang w:val="es-EC"/>
              </w:rPr>
            </w:pPr>
          </w:p>
        </w:tc>
      </w:tr>
      <w:tr w:rsidR="00D055F9" w:rsidRPr="007D4F41" w14:paraId="2335ED86" w14:textId="77777777" w:rsidTr="315B12BA">
        <w:tc>
          <w:tcPr>
            <w:tcW w:w="2033" w:type="pct"/>
            <w:gridSpan w:val="2"/>
          </w:tcPr>
          <w:p w14:paraId="60129422" w14:textId="5E3486EA" w:rsidR="00D055F9" w:rsidRDefault="00D055F9" w:rsidP="315B12BA">
            <w:pPr>
              <w:spacing w:after="240"/>
              <w:jc w:val="both"/>
              <w:rPr>
                <w:rFonts w:asciiTheme="minorHAnsi" w:hAnsiTheme="minorHAnsi" w:cstheme="minorBidi"/>
                <w:i/>
                <w:iCs/>
                <w:sz w:val="18"/>
                <w:szCs w:val="18"/>
              </w:rPr>
            </w:pPr>
            <w:r w:rsidRPr="315B12BA">
              <w:rPr>
                <w:rFonts w:asciiTheme="minorHAnsi" w:hAnsiTheme="minorHAnsi" w:cstheme="minorBidi"/>
                <w:b/>
                <w:bCs/>
                <w:sz w:val="18"/>
                <w:szCs w:val="18"/>
              </w:rPr>
              <w:t xml:space="preserve">Firma: </w:t>
            </w:r>
          </w:p>
          <w:p w14:paraId="6994D547" w14:textId="77777777" w:rsidR="00D37634" w:rsidRDefault="00D37634" w:rsidP="315B12BA">
            <w:pPr>
              <w:spacing w:after="240"/>
              <w:jc w:val="both"/>
              <w:rPr>
                <w:rFonts w:asciiTheme="minorHAnsi" w:hAnsiTheme="minorHAnsi" w:cstheme="minorBidi"/>
                <w:i/>
                <w:iCs/>
                <w:sz w:val="18"/>
                <w:szCs w:val="18"/>
              </w:rPr>
            </w:pPr>
          </w:p>
          <w:p w14:paraId="4229BB97" w14:textId="77777777" w:rsidR="00D37634" w:rsidRDefault="00D37634" w:rsidP="315B12BA">
            <w:pPr>
              <w:spacing w:after="240"/>
              <w:jc w:val="both"/>
              <w:rPr>
                <w:rFonts w:asciiTheme="minorHAnsi" w:hAnsiTheme="minorHAnsi" w:cstheme="minorBidi"/>
                <w:i/>
                <w:iCs/>
                <w:sz w:val="18"/>
                <w:szCs w:val="18"/>
              </w:rPr>
            </w:pPr>
            <w:r w:rsidRPr="315B12BA">
              <w:rPr>
                <w:rFonts w:asciiTheme="minorHAnsi" w:hAnsiTheme="minorHAnsi" w:cstheme="minorBidi"/>
                <w:i/>
                <w:iCs/>
                <w:sz w:val="18"/>
                <w:szCs w:val="18"/>
              </w:rPr>
              <w:t>Inka Mattila</w:t>
            </w:r>
          </w:p>
          <w:p w14:paraId="3663206B" w14:textId="0B4005B0" w:rsidR="00D37634" w:rsidRPr="00A51E75" w:rsidRDefault="00D37634" w:rsidP="315B12BA">
            <w:pPr>
              <w:spacing w:after="240"/>
              <w:jc w:val="both"/>
              <w:rPr>
                <w:rFonts w:asciiTheme="minorHAnsi" w:hAnsiTheme="minorHAnsi" w:cstheme="minorBidi"/>
                <w:sz w:val="18"/>
                <w:szCs w:val="18"/>
              </w:rPr>
            </w:pPr>
            <w:r w:rsidRPr="315B12BA">
              <w:rPr>
                <w:rFonts w:asciiTheme="minorHAnsi" w:hAnsiTheme="minorHAnsi" w:cstheme="minorBidi"/>
                <w:i/>
                <w:iCs/>
                <w:sz w:val="18"/>
                <w:szCs w:val="18"/>
              </w:rPr>
              <w:t>Representante Residente PNUD Ecuador</w:t>
            </w:r>
          </w:p>
        </w:tc>
        <w:tc>
          <w:tcPr>
            <w:tcW w:w="797" w:type="pct"/>
            <w:gridSpan w:val="2"/>
          </w:tcPr>
          <w:p w14:paraId="13DF8184" w14:textId="77777777" w:rsidR="00D055F9" w:rsidRPr="00A51E75" w:rsidRDefault="00D055F9" w:rsidP="00A42B51">
            <w:pPr>
              <w:spacing w:after="240"/>
              <w:rPr>
                <w:rFonts w:asciiTheme="minorHAnsi" w:hAnsiTheme="minorHAnsi" w:cstheme="minorHAnsi"/>
                <w:b/>
                <w:sz w:val="18"/>
                <w:szCs w:val="18"/>
              </w:rPr>
            </w:pPr>
            <w:r w:rsidRPr="00A51E75">
              <w:rPr>
                <w:rFonts w:asciiTheme="minorHAnsi" w:hAnsiTheme="minorHAnsi" w:cstheme="minorHAnsi"/>
                <w:b/>
                <w:sz w:val="18"/>
                <w:szCs w:val="18"/>
              </w:rPr>
              <w:t>De acuerdo con el PNUD</w:t>
            </w:r>
          </w:p>
        </w:tc>
        <w:tc>
          <w:tcPr>
            <w:tcW w:w="2170" w:type="pct"/>
          </w:tcPr>
          <w:p w14:paraId="007853DD" w14:textId="76E04645" w:rsidR="00D055F9" w:rsidRPr="00D830D9" w:rsidRDefault="00D055F9" w:rsidP="00A42B51">
            <w:pPr>
              <w:spacing w:after="24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Fecha/Mes/Año: </w:t>
            </w:r>
            <w:r w:rsidRPr="00A51E75">
              <w:rPr>
                <w:rFonts w:asciiTheme="minorHAnsi" w:hAnsiTheme="minorHAnsi" w:cstheme="minorHAnsi"/>
                <w:i/>
                <w:sz w:val="18"/>
                <w:szCs w:val="18"/>
              </w:rPr>
              <w:t xml:space="preserve">dentro de los 6 meses posteriores a la aprobación del CEO del </w:t>
            </w:r>
            <w:r w:rsidR="0078696E">
              <w:rPr>
                <w:rFonts w:asciiTheme="minorHAnsi" w:hAnsiTheme="minorHAnsi" w:cstheme="minorHAnsi"/>
                <w:i/>
                <w:sz w:val="18"/>
                <w:szCs w:val="18"/>
              </w:rPr>
              <w:t>FMAM</w:t>
            </w:r>
          </w:p>
        </w:tc>
      </w:tr>
    </w:tbl>
    <w:p w14:paraId="367AD05A" w14:textId="6DD0B05C" w:rsidR="00D055F9" w:rsidRPr="00D830D9" w:rsidRDefault="00D055F9">
      <w:pPr>
        <w:rPr>
          <w:rFonts w:asciiTheme="minorHAnsi" w:eastAsia="SimSun" w:hAnsiTheme="minorHAnsi" w:cstheme="minorHAnsi"/>
          <w:b/>
          <w:i/>
          <w:sz w:val="20"/>
          <w:szCs w:val="20"/>
          <w:lang w:val="es-EC"/>
        </w:rPr>
      </w:pPr>
      <w:r w:rsidRPr="00A51E75">
        <w:rPr>
          <w:rFonts w:asciiTheme="minorHAnsi" w:eastAsia="SimSun" w:hAnsiTheme="minorHAnsi" w:cstheme="minorHAnsi"/>
          <w:b/>
          <w:i/>
          <w:sz w:val="20"/>
          <w:szCs w:val="20"/>
        </w:rPr>
        <w:br w:type="page"/>
      </w:r>
    </w:p>
    <w:p w14:paraId="26E715B8" w14:textId="77777777" w:rsidR="008B6F84" w:rsidRPr="00A51E75" w:rsidRDefault="00211737" w:rsidP="008B6F84">
      <w:pPr>
        <w:keepNext/>
        <w:pBdr>
          <w:top w:val="single" w:sz="4" w:space="1" w:color="auto"/>
        </w:pBdr>
        <w:tabs>
          <w:tab w:val="num" w:pos="720"/>
        </w:tabs>
        <w:suppressAutoHyphens/>
        <w:spacing w:before="104" w:after="226"/>
        <w:ind w:left="720" w:hanging="720"/>
        <w:jc w:val="both"/>
        <w:outlineLvl w:val="0"/>
        <w:rPr>
          <w:rFonts w:asciiTheme="minorHAnsi" w:eastAsia="SimSun" w:hAnsiTheme="minorHAnsi" w:cstheme="minorHAnsi"/>
          <w:b/>
          <w:smallCaps/>
          <w:spacing w:val="-2"/>
          <w:sz w:val="28"/>
          <w:szCs w:val="20"/>
        </w:rPr>
      </w:pPr>
      <w:bookmarkStart w:id="1" w:name="_Toc10117702"/>
      <w:bookmarkStart w:id="2" w:name="_Toc10449632"/>
      <w:bookmarkStart w:id="3" w:name="_Toc221696292"/>
      <w:r w:rsidRPr="00A51E75">
        <w:rPr>
          <w:rFonts w:asciiTheme="minorHAnsi" w:eastAsia="SimSun" w:hAnsiTheme="minorHAnsi" w:cstheme="minorHAnsi"/>
          <w:b/>
          <w:smallCaps/>
          <w:spacing w:val="-2"/>
          <w:sz w:val="28"/>
          <w:szCs w:val="20"/>
        </w:rPr>
        <w:lastRenderedPageBreak/>
        <w:t>Índice</w:t>
      </w:r>
      <w:bookmarkEnd w:id="1"/>
      <w:bookmarkEnd w:id="2"/>
      <w:bookmarkEnd w:id="3"/>
    </w:p>
    <w:p w14:paraId="0499BFC2" w14:textId="4CC43C15" w:rsidR="00DE7519" w:rsidRPr="00A8295E" w:rsidRDefault="00637F23">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r w:rsidRPr="00A8295E">
        <w:rPr>
          <w:rFonts w:asciiTheme="minorHAnsi" w:eastAsia="SimSun" w:hAnsiTheme="minorHAnsi" w:cstheme="minorBidi"/>
          <w:b w:val="0"/>
          <w:bCs w:val="0"/>
          <w:noProof/>
          <w:color w:val="2B579A"/>
          <w:shd w:val="clear" w:color="auto" w:fill="E6E6E6"/>
        </w:rPr>
        <w:fldChar w:fldCharType="begin"/>
      </w:r>
      <w:r w:rsidRPr="00A8295E">
        <w:rPr>
          <w:rFonts w:asciiTheme="minorHAnsi" w:eastAsia="SimSun" w:hAnsiTheme="minorHAnsi" w:cstheme="minorBidi"/>
          <w:b w:val="0"/>
          <w:bCs w:val="0"/>
          <w:noProof/>
          <w:color w:val="2B579A"/>
          <w:shd w:val="clear" w:color="auto" w:fill="E6E6E6"/>
        </w:rPr>
        <w:instrText xml:space="preserve"> TOC \o "1-2" \h \z \u </w:instrText>
      </w:r>
      <w:r w:rsidRPr="00A8295E">
        <w:rPr>
          <w:rFonts w:asciiTheme="minorHAnsi" w:eastAsia="SimSun" w:hAnsiTheme="minorHAnsi" w:cstheme="minorBidi"/>
          <w:b w:val="0"/>
          <w:bCs w:val="0"/>
          <w:noProof/>
          <w:color w:val="2B579A"/>
          <w:shd w:val="clear" w:color="auto" w:fill="E6E6E6"/>
        </w:rPr>
        <w:fldChar w:fldCharType="separate"/>
      </w:r>
      <w:hyperlink w:anchor="_Toc221696292" w:history="1">
        <w:r w:rsidR="00DE7519" w:rsidRPr="00A8295E">
          <w:rPr>
            <w:rStyle w:val="Hipervnculo"/>
            <w:rFonts w:eastAsia="SimSun"/>
            <w:b w:val="0"/>
            <w:bCs w:val="0"/>
            <w:smallCaps/>
            <w:noProof/>
            <w:spacing w:val="-2"/>
          </w:rPr>
          <w:t>Índice</w:t>
        </w:r>
        <w:r w:rsidR="00DE7519" w:rsidRPr="00A8295E">
          <w:rPr>
            <w:b w:val="0"/>
            <w:bCs w:val="0"/>
            <w:noProof/>
            <w:webHidden/>
          </w:rPr>
          <w:tab/>
        </w:r>
        <w:r w:rsidR="00DE7519" w:rsidRPr="00A8295E">
          <w:rPr>
            <w:b w:val="0"/>
            <w:bCs w:val="0"/>
            <w:noProof/>
            <w:webHidden/>
          </w:rPr>
          <w:fldChar w:fldCharType="begin"/>
        </w:r>
        <w:r w:rsidR="00DE7519" w:rsidRPr="00A8295E">
          <w:rPr>
            <w:b w:val="0"/>
            <w:bCs w:val="0"/>
            <w:noProof/>
            <w:webHidden/>
          </w:rPr>
          <w:instrText xml:space="preserve"> PAGEREF _Toc221696292 \h </w:instrText>
        </w:r>
        <w:r w:rsidR="00DE7519" w:rsidRPr="00A8295E">
          <w:rPr>
            <w:b w:val="0"/>
            <w:bCs w:val="0"/>
            <w:noProof/>
            <w:webHidden/>
          </w:rPr>
        </w:r>
        <w:r w:rsidR="00DE7519" w:rsidRPr="00A8295E">
          <w:rPr>
            <w:b w:val="0"/>
            <w:bCs w:val="0"/>
            <w:noProof/>
            <w:webHidden/>
          </w:rPr>
          <w:fldChar w:fldCharType="separate"/>
        </w:r>
        <w:r w:rsidR="00DE7519" w:rsidRPr="00A8295E">
          <w:rPr>
            <w:b w:val="0"/>
            <w:bCs w:val="0"/>
            <w:noProof/>
            <w:webHidden/>
          </w:rPr>
          <w:t>3</w:t>
        </w:r>
        <w:r w:rsidR="00DE7519" w:rsidRPr="00A8295E">
          <w:rPr>
            <w:b w:val="0"/>
            <w:bCs w:val="0"/>
            <w:noProof/>
            <w:webHidden/>
          </w:rPr>
          <w:fldChar w:fldCharType="end"/>
        </w:r>
      </w:hyperlink>
    </w:p>
    <w:p w14:paraId="195E2642" w14:textId="3C8EB097"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3" w:history="1">
        <w:r w:rsidRPr="00A8295E">
          <w:rPr>
            <w:rStyle w:val="Hipervnculo"/>
            <w:rFonts w:eastAsia="SimSun"/>
            <w:b w:val="0"/>
            <w:bCs w:val="0"/>
            <w:smallCaps/>
            <w:noProof/>
            <w:spacing w:val="-2"/>
          </w:rPr>
          <w:t>Desafío de Desarrollo</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_Toc221696293 \h </w:instrText>
        </w:r>
        <w:r w:rsidRPr="00A8295E">
          <w:rPr>
            <w:b w:val="0"/>
            <w:bCs w:val="0"/>
            <w:noProof/>
            <w:webHidden/>
          </w:rPr>
        </w:r>
        <w:r w:rsidRPr="00A8295E">
          <w:rPr>
            <w:b w:val="0"/>
            <w:bCs w:val="0"/>
            <w:noProof/>
            <w:webHidden/>
          </w:rPr>
          <w:fldChar w:fldCharType="separate"/>
        </w:r>
        <w:r w:rsidRPr="00A8295E">
          <w:rPr>
            <w:b w:val="0"/>
            <w:bCs w:val="0"/>
            <w:noProof/>
            <w:webHidden/>
          </w:rPr>
          <w:t>10</w:t>
        </w:r>
        <w:r w:rsidRPr="00A8295E">
          <w:rPr>
            <w:b w:val="0"/>
            <w:bCs w:val="0"/>
            <w:noProof/>
            <w:webHidden/>
          </w:rPr>
          <w:fldChar w:fldCharType="end"/>
        </w:r>
      </w:hyperlink>
    </w:p>
    <w:p w14:paraId="4BEE6EF8" w14:textId="6F1F0055"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4" w:history="1">
        <w:r w:rsidRPr="00A8295E">
          <w:rPr>
            <w:rStyle w:val="Hipervnculo"/>
            <w:rFonts w:eastAsia="SimSun"/>
            <w:b w:val="0"/>
            <w:bCs w:val="0"/>
            <w:smallCaps/>
            <w:noProof/>
            <w:spacing w:val="-2"/>
          </w:rPr>
          <w:t>Estrategia</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_Toc221696294 \h </w:instrText>
        </w:r>
        <w:r w:rsidRPr="00A8295E">
          <w:rPr>
            <w:b w:val="0"/>
            <w:bCs w:val="0"/>
            <w:noProof/>
            <w:webHidden/>
          </w:rPr>
        </w:r>
        <w:r w:rsidRPr="00A8295E">
          <w:rPr>
            <w:b w:val="0"/>
            <w:bCs w:val="0"/>
            <w:noProof/>
            <w:webHidden/>
          </w:rPr>
          <w:fldChar w:fldCharType="separate"/>
        </w:r>
        <w:r w:rsidRPr="00A8295E">
          <w:rPr>
            <w:b w:val="0"/>
            <w:bCs w:val="0"/>
            <w:noProof/>
            <w:webHidden/>
          </w:rPr>
          <w:t>14</w:t>
        </w:r>
        <w:r w:rsidRPr="00A8295E">
          <w:rPr>
            <w:b w:val="0"/>
            <w:bCs w:val="0"/>
            <w:noProof/>
            <w:webHidden/>
          </w:rPr>
          <w:fldChar w:fldCharType="end"/>
        </w:r>
      </w:hyperlink>
    </w:p>
    <w:p w14:paraId="1523F464" w14:textId="67BD6126"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5" w:history="1">
        <w:r w:rsidRPr="00A8295E">
          <w:rPr>
            <w:rStyle w:val="Hipervnculo"/>
            <w:rFonts w:eastAsia="SimSun"/>
            <w:b w:val="0"/>
            <w:bCs w:val="0"/>
            <w:smallCaps/>
            <w:noProof/>
            <w:spacing w:val="-2"/>
          </w:rPr>
          <w:t>Resultados y alianzas</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_Toc221696295 \h </w:instrText>
        </w:r>
        <w:r w:rsidRPr="00A8295E">
          <w:rPr>
            <w:b w:val="0"/>
            <w:bCs w:val="0"/>
            <w:noProof/>
            <w:webHidden/>
          </w:rPr>
        </w:r>
        <w:r w:rsidRPr="00A8295E">
          <w:rPr>
            <w:b w:val="0"/>
            <w:bCs w:val="0"/>
            <w:noProof/>
            <w:webHidden/>
          </w:rPr>
          <w:fldChar w:fldCharType="separate"/>
        </w:r>
        <w:r w:rsidRPr="00A8295E">
          <w:rPr>
            <w:b w:val="0"/>
            <w:bCs w:val="0"/>
            <w:noProof/>
            <w:webHidden/>
          </w:rPr>
          <w:t>18</w:t>
        </w:r>
        <w:r w:rsidRPr="00A8295E">
          <w:rPr>
            <w:b w:val="0"/>
            <w:bCs w:val="0"/>
            <w:noProof/>
            <w:webHidden/>
          </w:rPr>
          <w:fldChar w:fldCharType="end"/>
        </w:r>
      </w:hyperlink>
    </w:p>
    <w:p w14:paraId="1F636112" w14:textId="5980DDAF"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6" w:history="1">
        <w:r w:rsidRPr="00A8295E">
          <w:rPr>
            <w:rStyle w:val="Hipervnculo"/>
            <w:rFonts w:eastAsia="SimSun"/>
            <w:b w:val="0"/>
            <w:bCs w:val="0"/>
            <w:smallCaps/>
            <w:noProof/>
            <w:spacing w:val="-2"/>
          </w:rPr>
          <w:t>Gestión del proyecto</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_Toc221696296 \h </w:instrText>
        </w:r>
        <w:r w:rsidRPr="00A8295E">
          <w:rPr>
            <w:b w:val="0"/>
            <w:bCs w:val="0"/>
            <w:noProof/>
            <w:webHidden/>
          </w:rPr>
        </w:r>
        <w:r w:rsidRPr="00A8295E">
          <w:rPr>
            <w:b w:val="0"/>
            <w:bCs w:val="0"/>
            <w:noProof/>
            <w:webHidden/>
          </w:rPr>
          <w:fldChar w:fldCharType="separate"/>
        </w:r>
        <w:r w:rsidRPr="00A8295E">
          <w:rPr>
            <w:b w:val="0"/>
            <w:bCs w:val="0"/>
            <w:noProof/>
            <w:webHidden/>
          </w:rPr>
          <w:t>44</w:t>
        </w:r>
        <w:r w:rsidRPr="00A8295E">
          <w:rPr>
            <w:b w:val="0"/>
            <w:bCs w:val="0"/>
            <w:noProof/>
            <w:webHidden/>
          </w:rPr>
          <w:fldChar w:fldCharType="end"/>
        </w:r>
      </w:hyperlink>
    </w:p>
    <w:p w14:paraId="428FA09E" w14:textId="1293B361"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7" w:history="1">
        <w:r w:rsidRPr="00A8295E">
          <w:rPr>
            <w:rStyle w:val="Hipervnculo"/>
            <w:rFonts w:eastAsia="SimSun"/>
            <w:b w:val="0"/>
            <w:bCs w:val="0"/>
            <w:smallCaps/>
            <w:noProof/>
            <w:spacing w:val="-2"/>
          </w:rPr>
          <w:t>Marco de Resultados del Proyecto</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_Toc221696297 \h </w:instrText>
        </w:r>
        <w:r w:rsidRPr="00A8295E">
          <w:rPr>
            <w:b w:val="0"/>
            <w:bCs w:val="0"/>
            <w:noProof/>
            <w:webHidden/>
          </w:rPr>
        </w:r>
        <w:r w:rsidRPr="00A8295E">
          <w:rPr>
            <w:b w:val="0"/>
            <w:bCs w:val="0"/>
            <w:noProof/>
            <w:webHidden/>
          </w:rPr>
          <w:fldChar w:fldCharType="separate"/>
        </w:r>
        <w:r w:rsidRPr="00A8295E">
          <w:rPr>
            <w:b w:val="0"/>
            <w:bCs w:val="0"/>
            <w:noProof/>
            <w:webHidden/>
          </w:rPr>
          <w:t>47</w:t>
        </w:r>
        <w:r w:rsidRPr="00A8295E">
          <w:rPr>
            <w:b w:val="0"/>
            <w:bCs w:val="0"/>
            <w:noProof/>
            <w:webHidden/>
          </w:rPr>
          <w:fldChar w:fldCharType="end"/>
        </w:r>
      </w:hyperlink>
    </w:p>
    <w:p w14:paraId="1B11A644" w14:textId="2F1BDDBF"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8" w:history="1">
        <w:r w:rsidRPr="00A8295E">
          <w:rPr>
            <w:rStyle w:val="Hipervnculo"/>
            <w:rFonts w:eastAsia="SimSun"/>
            <w:b w:val="0"/>
            <w:bCs w:val="0"/>
            <w:smallCaps/>
            <w:noProof/>
            <w:spacing w:val="-2"/>
          </w:rPr>
          <w:t>PLAN DE MONITOREO Y EVALUACIÓN (M&amp;E)</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_Toc221696298 \h </w:instrText>
        </w:r>
        <w:r w:rsidRPr="00A8295E">
          <w:rPr>
            <w:b w:val="0"/>
            <w:bCs w:val="0"/>
            <w:noProof/>
            <w:webHidden/>
          </w:rPr>
        </w:r>
        <w:r w:rsidRPr="00A8295E">
          <w:rPr>
            <w:b w:val="0"/>
            <w:bCs w:val="0"/>
            <w:noProof/>
            <w:webHidden/>
          </w:rPr>
          <w:fldChar w:fldCharType="separate"/>
        </w:r>
        <w:r w:rsidRPr="00A8295E">
          <w:rPr>
            <w:b w:val="0"/>
            <w:bCs w:val="0"/>
            <w:noProof/>
            <w:webHidden/>
          </w:rPr>
          <w:t>61</w:t>
        </w:r>
        <w:r w:rsidRPr="00A8295E">
          <w:rPr>
            <w:b w:val="0"/>
            <w:bCs w:val="0"/>
            <w:noProof/>
            <w:webHidden/>
          </w:rPr>
          <w:fldChar w:fldCharType="end"/>
        </w:r>
      </w:hyperlink>
    </w:p>
    <w:p w14:paraId="0F244284" w14:textId="10883AE1"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299" w:history="1">
        <w:r w:rsidRPr="00A8295E">
          <w:rPr>
            <w:rStyle w:val="Hipervnculo"/>
            <w:rFonts w:eastAsia="SimSun"/>
            <w:b w:val="0"/>
            <w:bCs w:val="0"/>
            <w:smallCaps/>
            <w:noProof/>
            <w:spacing w:val="-2"/>
          </w:rPr>
          <w:t>Gobern</w:t>
        </w:r>
        <w:r w:rsidRPr="00A8295E">
          <w:rPr>
            <w:rStyle w:val="Hipervnculo"/>
            <w:rFonts w:eastAsia="SimSun"/>
            <w:b w:val="0"/>
            <w:bCs w:val="0"/>
            <w:smallCaps/>
            <w:noProof/>
            <w:spacing w:val="-2"/>
          </w:rPr>
          <w:t>a</w:t>
        </w:r>
        <w:r w:rsidRPr="00A8295E">
          <w:rPr>
            <w:rStyle w:val="Hipervnculo"/>
            <w:rFonts w:eastAsia="SimSun"/>
            <w:b w:val="0"/>
            <w:bCs w:val="0"/>
            <w:smallCaps/>
            <w:noProof/>
            <w:spacing w:val="-2"/>
          </w:rPr>
          <w:t>nza y Gestión</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_Toc221696299 \h </w:instrText>
        </w:r>
        <w:r w:rsidRPr="00A8295E">
          <w:rPr>
            <w:b w:val="0"/>
            <w:bCs w:val="0"/>
            <w:noProof/>
            <w:webHidden/>
          </w:rPr>
        </w:r>
        <w:r w:rsidRPr="00A8295E">
          <w:rPr>
            <w:b w:val="0"/>
            <w:bCs w:val="0"/>
            <w:noProof/>
            <w:webHidden/>
          </w:rPr>
          <w:fldChar w:fldCharType="separate"/>
        </w:r>
        <w:r w:rsidRPr="00A8295E">
          <w:rPr>
            <w:b w:val="0"/>
            <w:bCs w:val="0"/>
            <w:noProof/>
            <w:webHidden/>
          </w:rPr>
          <w:t>81</w:t>
        </w:r>
        <w:r w:rsidRPr="00A8295E">
          <w:rPr>
            <w:b w:val="0"/>
            <w:bCs w:val="0"/>
            <w:noProof/>
            <w:webHidden/>
          </w:rPr>
          <w:fldChar w:fldCharType="end"/>
        </w:r>
      </w:hyperlink>
    </w:p>
    <w:p w14:paraId="7D188430" w14:textId="32B5577D"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300" w:history="1">
        <w:r w:rsidRPr="00A8295E">
          <w:rPr>
            <w:rStyle w:val="Hipervnculo"/>
            <w:rFonts w:eastAsia="SimSun"/>
            <w:b w:val="0"/>
            <w:bCs w:val="0"/>
            <w:smallCaps/>
            <w:noProof/>
            <w:spacing w:val="-2"/>
          </w:rPr>
          <w:t>Planificación y gestión financiera</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_Toc221696300 \h </w:instrText>
        </w:r>
        <w:r w:rsidRPr="00A8295E">
          <w:rPr>
            <w:b w:val="0"/>
            <w:bCs w:val="0"/>
            <w:noProof/>
            <w:webHidden/>
          </w:rPr>
        </w:r>
        <w:r w:rsidRPr="00A8295E">
          <w:rPr>
            <w:b w:val="0"/>
            <w:bCs w:val="0"/>
            <w:noProof/>
            <w:webHidden/>
          </w:rPr>
          <w:fldChar w:fldCharType="separate"/>
        </w:r>
        <w:r w:rsidRPr="00A8295E">
          <w:rPr>
            <w:b w:val="0"/>
            <w:bCs w:val="0"/>
            <w:noProof/>
            <w:webHidden/>
          </w:rPr>
          <w:t>86</w:t>
        </w:r>
        <w:r w:rsidRPr="00A8295E">
          <w:rPr>
            <w:b w:val="0"/>
            <w:bCs w:val="0"/>
            <w:noProof/>
            <w:webHidden/>
          </w:rPr>
          <w:fldChar w:fldCharType="end"/>
        </w:r>
      </w:hyperlink>
    </w:p>
    <w:p w14:paraId="30941528" w14:textId="40697780"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301" w:history="1">
        <w:r w:rsidRPr="00A8295E">
          <w:rPr>
            <w:rStyle w:val="Hipervnculo"/>
            <w:rFonts w:eastAsia="SimSun"/>
            <w:b w:val="0"/>
            <w:bCs w:val="0"/>
            <w:smallCaps/>
            <w:noProof/>
            <w:spacing w:val="-2"/>
          </w:rPr>
          <w:t>Presupuesto total y plan de trabajo</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_Toc221696301 \h </w:instrText>
        </w:r>
        <w:r w:rsidRPr="00A8295E">
          <w:rPr>
            <w:b w:val="0"/>
            <w:bCs w:val="0"/>
            <w:noProof/>
            <w:webHidden/>
          </w:rPr>
        </w:r>
        <w:r w:rsidRPr="00A8295E">
          <w:rPr>
            <w:b w:val="0"/>
            <w:bCs w:val="0"/>
            <w:noProof/>
            <w:webHidden/>
          </w:rPr>
          <w:fldChar w:fldCharType="separate"/>
        </w:r>
        <w:r w:rsidRPr="00A8295E">
          <w:rPr>
            <w:b w:val="0"/>
            <w:bCs w:val="0"/>
            <w:noProof/>
            <w:webHidden/>
          </w:rPr>
          <w:t>92</w:t>
        </w:r>
        <w:r w:rsidRPr="00A8295E">
          <w:rPr>
            <w:b w:val="0"/>
            <w:bCs w:val="0"/>
            <w:noProof/>
            <w:webHidden/>
          </w:rPr>
          <w:fldChar w:fldCharType="end"/>
        </w:r>
      </w:hyperlink>
    </w:p>
    <w:p w14:paraId="3BFC72C7" w14:textId="6E7C7EF3"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302" w:history="1">
        <w:r w:rsidRPr="00A8295E">
          <w:rPr>
            <w:rStyle w:val="Hipervnculo"/>
            <w:rFonts w:eastAsia="SimSun"/>
            <w:b w:val="0"/>
            <w:bCs w:val="0"/>
            <w:smallCaps/>
            <w:noProof/>
            <w:spacing w:val="-2"/>
          </w:rPr>
          <w:t>Contexto legal</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_Toc221696302 \h </w:instrText>
        </w:r>
        <w:r w:rsidRPr="00A8295E">
          <w:rPr>
            <w:b w:val="0"/>
            <w:bCs w:val="0"/>
            <w:noProof/>
            <w:webHidden/>
          </w:rPr>
        </w:r>
        <w:r w:rsidRPr="00A8295E">
          <w:rPr>
            <w:b w:val="0"/>
            <w:bCs w:val="0"/>
            <w:noProof/>
            <w:webHidden/>
          </w:rPr>
          <w:fldChar w:fldCharType="separate"/>
        </w:r>
        <w:r w:rsidRPr="00A8295E">
          <w:rPr>
            <w:b w:val="0"/>
            <w:bCs w:val="0"/>
            <w:noProof/>
            <w:webHidden/>
          </w:rPr>
          <w:t>99</w:t>
        </w:r>
        <w:r w:rsidRPr="00A8295E">
          <w:rPr>
            <w:b w:val="0"/>
            <w:bCs w:val="0"/>
            <w:noProof/>
            <w:webHidden/>
          </w:rPr>
          <w:fldChar w:fldCharType="end"/>
        </w:r>
      </w:hyperlink>
    </w:p>
    <w:p w14:paraId="5ECC0E90" w14:textId="79CAD080" w:rsidR="00DE7519" w:rsidRPr="00A8295E" w:rsidRDefault="00DE7519">
      <w:pPr>
        <w:pStyle w:val="TDC1"/>
        <w:tabs>
          <w:tab w:val="right" w:leader="dot" w:pos="9350"/>
        </w:tabs>
        <w:rPr>
          <w:rFonts w:asciiTheme="minorHAnsi" w:eastAsiaTheme="minorEastAsia" w:hAnsiTheme="minorHAnsi" w:cstheme="minorBidi"/>
          <w:b w:val="0"/>
          <w:bCs w:val="0"/>
          <w:caps w:val="0"/>
          <w:noProof/>
          <w:kern w:val="2"/>
          <w:sz w:val="24"/>
          <w:szCs w:val="24"/>
          <w:lang w:val="es-EC" w:eastAsia="es-EC"/>
          <w14:ligatures w14:val="standardContextual"/>
        </w:rPr>
      </w:pPr>
      <w:hyperlink w:anchor="_Toc221696303" w:history="1">
        <w:r w:rsidRPr="00A8295E">
          <w:rPr>
            <w:rStyle w:val="Hipervnculo"/>
            <w:rFonts w:eastAsia="SimSun"/>
            <w:b w:val="0"/>
            <w:bCs w:val="0"/>
            <w:smallCaps/>
            <w:noProof/>
            <w:spacing w:val="-2"/>
          </w:rPr>
          <w:t>Gestión de riesgos</w:t>
        </w:r>
        <w:r w:rsidRPr="00A8295E">
          <w:rPr>
            <w:b w:val="0"/>
            <w:bCs w:val="0"/>
            <w:noProof/>
            <w:webHidden/>
          </w:rPr>
          <w:tab/>
        </w:r>
        <w:r w:rsidRPr="00A8295E">
          <w:rPr>
            <w:b w:val="0"/>
            <w:bCs w:val="0"/>
            <w:noProof/>
            <w:webHidden/>
          </w:rPr>
          <w:fldChar w:fldCharType="begin"/>
        </w:r>
        <w:r w:rsidRPr="00A8295E">
          <w:rPr>
            <w:b w:val="0"/>
            <w:bCs w:val="0"/>
            <w:noProof/>
            <w:webHidden/>
          </w:rPr>
          <w:instrText xml:space="preserve"> PAGEREF _Toc221696303 \h </w:instrText>
        </w:r>
        <w:r w:rsidRPr="00A8295E">
          <w:rPr>
            <w:b w:val="0"/>
            <w:bCs w:val="0"/>
            <w:noProof/>
            <w:webHidden/>
          </w:rPr>
        </w:r>
        <w:r w:rsidRPr="00A8295E">
          <w:rPr>
            <w:b w:val="0"/>
            <w:bCs w:val="0"/>
            <w:noProof/>
            <w:webHidden/>
          </w:rPr>
          <w:fldChar w:fldCharType="separate"/>
        </w:r>
        <w:r w:rsidRPr="00A8295E">
          <w:rPr>
            <w:b w:val="0"/>
            <w:bCs w:val="0"/>
            <w:noProof/>
            <w:webHidden/>
          </w:rPr>
          <w:t>99</w:t>
        </w:r>
        <w:r w:rsidRPr="00A8295E">
          <w:rPr>
            <w:b w:val="0"/>
            <w:bCs w:val="0"/>
            <w:noProof/>
            <w:webHidden/>
          </w:rPr>
          <w:fldChar w:fldCharType="end"/>
        </w:r>
      </w:hyperlink>
    </w:p>
    <w:p w14:paraId="55579516" w14:textId="4762FDC2"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04" w:history="1">
        <w:r w:rsidRPr="00A8295E">
          <w:rPr>
            <w:rStyle w:val="Hipervnculo"/>
            <w:rFonts w:ascii="Calibri" w:eastAsia="SimSun" w:hAnsi="Calibri" w:cs="Calibri"/>
            <w:noProof/>
          </w:rPr>
          <w:t>Anexo 1: Plantilla de Presupuesto del FMAM</w:t>
        </w:r>
        <w:r w:rsidRPr="00A8295E">
          <w:rPr>
            <w:noProof/>
            <w:webHidden/>
          </w:rPr>
          <w:tab/>
        </w:r>
        <w:r w:rsidRPr="00A8295E">
          <w:rPr>
            <w:noProof/>
            <w:webHidden/>
          </w:rPr>
          <w:fldChar w:fldCharType="begin"/>
        </w:r>
        <w:r w:rsidRPr="00A8295E">
          <w:rPr>
            <w:noProof/>
            <w:webHidden/>
          </w:rPr>
          <w:instrText xml:space="preserve"> PAGEREF _Toc221696304 \h </w:instrText>
        </w:r>
        <w:r w:rsidRPr="00A8295E">
          <w:rPr>
            <w:noProof/>
            <w:webHidden/>
          </w:rPr>
        </w:r>
        <w:r w:rsidRPr="00A8295E">
          <w:rPr>
            <w:noProof/>
            <w:webHidden/>
          </w:rPr>
          <w:fldChar w:fldCharType="separate"/>
        </w:r>
        <w:r w:rsidRPr="00A8295E">
          <w:rPr>
            <w:noProof/>
            <w:webHidden/>
          </w:rPr>
          <w:t>102</w:t>
        </w:r>
        <w:r w:rsidRPr="00A8295E">
          <w:rPr>
            <w:noProof/>
            <w:webHidden/>
          </w:rPr>
          <w:fldChar w:fldCharType="end"/>
        </w:r>
      </w:hyperlink>
    </w:p>
    <w:p w14:paraId="2A5E95C9" w14:textId="6E6856A9"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06" w:history="1">
        <w:r w:rsidRPr="00A8295E">
          <w:rPr>
            <w:rStyle w:val="Hipervnculo"/>
            <w:rFonts w:ascii="Calibri" w:eastAsia="SimSun" w:hAnsi="Calibri" w:cs="Calibri"/>
            <w:noProof/>
          </w:rPr>
          <w:t>Anexo 2: Carta de apoyo a la ejecución del FMAM</w:t>
        </w:r>
        <w:r w:rsidRPr="00A8295E">
          <w:rPr>
            <w:noProof/>
            <w:webHidden/>
          </w:rPr>
          <w:tab/>
        </w:r>
        <w:r w:rsidRPr="00A8295E">
          <w:rPr>
            <w:noProof/>
            <w:webHidden/>
          </w:rPr>
          <w:fldChar w:fldCharType="begin"/>
        </w:r>
        <w:r w:rsidRPr="00A8295E">
          <w:rPr>
            <w:noProof/>
            <w:webHidden/>
          </w:rPr>
          <w:instrText xml:space="preserve"> PAGEREF _Toc221696306 \h </w:instrText>
        </w:r>
        <w:r w:rsidRPr="00A8295E">
          <w:rPr>
            <w:noProof/>
            <w:webHidden/>
          </w:rPr>
        </w:r>
        <w:r w:rsidRPr="00A8295E">
          <w:rPr>
            <w:noProof/>
            <w:webHidden/>
          </w:rPr>
          <w:fldChar w:fldCharType="separate"/>
        </w:r>
        <w:r w:rsidRPr="00A8295E">
          <w:rPr>
            <w:noProof/>
            <w:webHidden/>
          </w:rPr>
          <w:t>109</w:t>
        </w:r>
        <w:r w:rsidRPr="00A8295E">
          <w:rPr>
            <w:noProof/>
            <w:webHidden/>
          </w:rPr>
          <w:fldChar w:fldCharType="end"/>
        </w:r>
      </w:hyperlink>
    </w:p>
    <w:p w14:paraId="483701F7" w14:textId="7FEAC572"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09" w:history="1">
        <w:r w:rsidRPr="00A8295E">
          <w:rPr>
            <w:rStyle w:val="Hipervnculo"/>
            <w:rFonts w:ascii="Calibri" w:eastAsia="SimSun" w:hAnsi="Calibri" w:cs="Calibri"/>
            <w:noProof/>
          </w:rPr>
          <w:t>Anexo 3: Mapa del proyecto y coordenadas geoespaciales de los sitios del proyecto</w:t>
        </w:r>
        <w:r w:rsidRPr="00A8295E">
          <w:rPr>
            <w:noProof/>
            <w:webHidden/>
          </w:rPr>
          <w:tab/>
        </w:r>
        <w:r w:rsidRPr="00A8295E">
          <w:rPr>
            <w:noProof/>
            <w:webHidden/>
          </w:rPr>
          <w:fldChar w:fldCharType="begin"/>
        </w:r>
        <w:r w:rsidRPr="00A8295E">
          <w:rPr>
            <w:noProof/>
            <w:webHidden/>
          </w:rPr>
          <w:instrText xml:space="preserve"> PAGEREF _Toc221696309 \h </w:instrText>
        </w:r>
        <w:r w:rsidRPr="00A8295E">
          <w:rPr>
            <w:noProof/>
            <w:webHidden/>
          </w:rPr>
        </w:r>
        <w:r w:rsidRPr="00A8295E">
          <w:rPr>
            <w:noProof/>
            <w:webHidden/>
          </w:rPr>
          <w:fldChar w:fldCharType="separate"/>
        </w:r>
        <w:r w:rsidRPr="00A8295E">
          <w:rPr>
            <w:noProof/>
            <w:webHidden/>
          </w:rPr>
          <w:t>111</w:t>
        </w:r>
        <w:r w:rsidRPr="00A8295E">
          <w:rPr>
            <w:noProof/>
            <w:webHidden/>
          </w:rPr>
          <w:fldChar w:fldCharType="end"/>
        </w:r>
      </w:hyperlink>
    </w:p>
    <w:p w14:paraId="723CB639" w14:textId="582EEEE1"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1" w:history="1">
        <w:r w:rsidRPr="00A8295E">
          <w:rPr>
            <w:rStyle w:val="Hipervnculo"/>
            <w:rFonts w:ascii="Calibri" w:eastAsia="SimSun" w:hAnsi="Calibri" w:cs="Calibri"/>
            <w:noProof/>
          </w:rPr>
          <w:t>Anexo 4: Plan de Trabajo Multianual</w:t>
        </w:r>
        <w:r w:rsidRPr="00A8295E">
          <w:rPr>
            <w:noProof/>
            <w:webHidden/>
          </w:rPr>
          <w:tab/>
        </w:r>
        <w:r w:rsidRPr="00A8295E">
          <w:rPr>
            <w:noProof/>
            <w:webHidden/>
          </w:rPr>
          <w:fldChar w:fldCharType="begin"/>
        </w:r>
        <w:r w:rsidRPr="00A8295E">
          <w:rPr>
            <w:noProof/>
            <w:webHidden/>
          </w:rPr>
          <w:instrText xml:space="preserve"> PAGEREF _Toc221696311 \h </w:instrText>
        </w:r>
        <w:r w:rsidRPr="00A8295E">
          <w:rPr>
            <w:noProof/>
            <w:webHidden/>
          </w:rPr>
        </w:r>
        <w:r w:rsidRPr="00A8295E">
          <w:rPr>
            <w:noProof/>
            <w:webHidden/>
          </w:rPr>
          <w:fldChar w:fldCharType="separate"/>
        </w:r>
        <w:r w:rsidRPr="00A8295E">
          <w:rPr>
            <w:noProof/>
            <w:webHidden/>
          </w:rPr>
          <w:t>112</w:t>
        </w:r>
        <w:r w:rsidRPr="00A8295E">
          <w:rPr>
            <w:noProof/>
            <w:webHidden/>
          </w:rPr>
          <w:fldChar w:fldCharType="end"/>
        </w:r>
      </w:hyperlink>
    </w:p>
    <w:p w14:paraId="1E27A744" w14:textId="5D1C1CA8"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2" w:history="1">
        <w:r w:rsidRPr="00A8295E">
          <w:rPr>
            <w:rStyle w:val="Hipervnculo"/>
            <w:rFonts w:ascii="Calibri" w:eastAsia="SimSun" w:hAnsi="Calibri" w:cs="Calibri"/>
            <w:noProof/>
          </w:rPr>
          <w:t>Anexo 5: Procedimiento de Selección Social y Ambiental (SESP) del PNUD</w:t>
        </w:r>
        <w:r w:rsidRPr="00A8295E">
          <w:rPr>
            <w:noProof/>
            <w:webHidden/>
          </w:rPr>
          <w:tab/>
        </w:r>
        <w:r w:rsidRPr="00A8295E">
          <w:rPr>
            <w:noProof/>
            <w:webHidden/>
          </w:rPr>
          <w:fldChar w:fldCharType="begin"/>
        </w:r>
        <w:r w:rsidRPr="00A8295E">
          <w:rPr>
            <w:noProof/>
            <w:webHidden/>
          </w:rPr>
          <w:instrText xml:space="preserve"> PAGEREF _Toc221696312 \h </w:instrText>
        </w:r>
        <w:r w:rsidRPr="00A8295E">
          <w:rPr>
            <w:noProof/>
            <w:webHidden/>
          </w:rPr>
        </w:r>
        <w:r w:rsidRPr="00A8295E">
          <w:rPr>
            <w:noProof/>
            <w:webHidden/>
          </w:rPr>
          <w:fldChar w:fldCharType="separate"/>
        </w:r>
        <w:r w:rsidRPr="00A8295E">
          <w:rPr>
            <w:noProof/>
            <w:webHidden/>
          </w:rPr>
          <w:t>114</w:t>
        </w:r>
        <w:r w:rsidRPr="00A8295E">
          <w:rPr>
            <w:noProof/>
            <w:webHidden/>
          </w:rPr>
          <w:fldChar w:fldCharType="end"/>
        </w:r>
      </w:hyperlink>
    </w:p>
    <w:p w14:paraId="724892C6" w14:textId="5C66E945"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3" w:history="1">
        <w:r w:rsidRPr="00A8295E">
          <w:rPr>
            <w:rStyle w:val="Hipervnculo"/>
            <w:rFonts w:ascii="Calibri" w:eastAsia="SimSun" w:hAnsi="Calibri" w:cs="Calibri"/>
            <w:noProof/>
          </w:rPr>
          <w:t>Anexo 6: Registro de Riesgos - PNUD</w:t>
        </w:r>
        <w:r w:rsidRPr="00A8295E">
          <w:rPr>
            <w:noProof/>
            <w:webHidden/>
          </w:rPr>
          <w:tab/>
        </w:r>
        <w:r w:rsidRPr="00A8295E">
          <w:rPr>
            <w:noProof/>
            <w:webHidden/>
          </w:rPr>
          <w:fldChar w:fldCharType="begin"/>
        </w:r>
        <w:r w:rsidRPr="00A8295E">
          <w:rPr>
            <w:noProof/>
            <w:webHidden/>
          </w:rPr>
          <w:instrText xml:space="preserve"> PAGEREF _Toc221696313 \h </w:instrText>
        </w:r>
        <w:r w:rsidRPr="00A8295E">
          <w:rPr>
            <w:noProof/>
            <w:webHidden/>
          </w:rPr>
        </w:r>
        <w:r w:rsidRPr="00A8295E">
          <w:rPr>
            <w:noProof/>
            <w:webHidden/>
          </w:rPr>
          <w:fldChar w:fldCharType="separate"/>
        </w:r>
        <w:r w:rsidRPr="00A8295E">
          <w:rPr>
            <w:noProof/>
            <w:webHidden/>
          </w:rPr>
          <w:t>137</w:t>
        </w:r>
        <w:r w:rsidRPr="00A8295E">
          <w:rPr>
            <w:noProof/>
            <w:webHidden/>
          </w:rPr>
          <w:fldChar w:fldCharType="end"/>
        </w:r>
      </w:hyperlink>
    </w:p>
    <w:p w14:paraId="6533A32C" w14:textId="42572DE7"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4" w:history="1">
        <w:r w:rsidRPr="00A8295E">
          <w:rPr>
            <w:rStyle w:val="Hipervnculo"/>
            <w:rFonts w:ascii="Calibri" w:eastAsia="SimSun" w:hAnsi="Calibri" w:cs="Calibri"/>
            <w:noProof/>
          </w:rPr>
          <w:t>Anexo 7: Visión general del personal del proyecto y consultorías técnicas</w:t>
        </w:r>
        <w:r w:rsidRPr="00A8295E">
          <w:rPr>
            <w:noProof/>
            <w:webHidden/>
          </w:rPr>
          <w:tab/>
        </w:r>
        <w:r w:rsidRPr="00A8295E">
          <w:rPr>
            <w:noProof/>
            <w:webHidden/>
          </w:rPr>
          <w:fldChar w:fldCharType="begin"/>
        </w:r>
        <w:r w:rsidRPr="00A8295E">
          <w:rPr>
            <w:noProof/>
            <w:webHidden/>
          </w:rPr>
          <w:instrText xml:space="preserve"> PAGEREF _Toc221696314 \h </w:instrText>
        </w:r>
        <w:r w:rsidRPr="00A8295E">
          <w:rPr>
            <w:noProof/>
            <w:webHidden/>
          </w:rPr>
        </w:r>
        <w:r w:rsidRPr="00A8295E">
          <w:rPr>
            <w:noProof/>
            <w:webHidden/>
          </w:rPr>
          <w:fldChar w:fldCharType="separate"/>
        </w:r>
        <w:r w:rsidRPr="00A8295E">
          <w:rPr>
            <w:noProof/>
            <w:webHidden/>
          </w:rPr>
          <w:t>144</w:t>
        </w:r>
        <w:r w:rsidRPr="00A8295E">
          <w:rPr>
            <w:noProof/>
            <w:webHidden/>
          </w:rPr>
          <w:fldChar w:fldCharType="end"/>
        </w:r>
      </w:hyperlink>
    </w:p>
    <w:p w14:paraId="0907C8E5" w14:textId="09AF9754"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5" w:history="1">
        <w:r w:rsidRPr="00A8295E">
          <w:rPr>
            <w:rStyle w:val="Hipervnculo"/>
            <w:rFonts w:ascii="Calibri" w:eastAsia="SimSun" w:hAnsi="Calibri" w:cs="Calibri"/>
            <w:noProof/>
          </w:rPr>
          <w:t>Anexo 8: Plan de Involucramiento de Actores</w:t>
        </w:r>
        <w:r w:rsidRPr="00A8295E">
          <w:rPr>
            <w:noProof/>
            <w:webHidden/>
          </w:rPr>
          <w:tab/>
        </w:r>
        <w:r w:rsidRPr="00A8295E">
          <w:rPr>
            <w:noProof/>
            <w:webHidden/>
          </w:rPr>
          <w:fldChar w:fldCharType="begin"/>
        </w:r>
        <w:r w:rsidRPr="00A8295E">
          <w:rPr>
            <w:noProof/>
            <w:webHidden/>
          </w:rPr>
          <w:instrText xml:space="preserve"> PAGEREF _Toc221696315 \h </w:instrText>
        </w:r>
        <w:r w:rsidRPr="00A8295E">
          <w:rPr>
            <w:noProof/>
            <w:webHidden/>
          </w:rPr>
        </w:r>
        <w:r w:rsidRPr="00A8295E">
          <w:rPr>
            <w:noProof/>
            <w:webHidden/>
          </w:rPr>
          <w:fldChar w:fldCharType="separate"/>
        </w:r>
        <w:r w:rsidRPr="00A8295E">
          <w:rPr>
            <w:noProof/>
            <w:webHidden/>
          </w:rPr>
          <w:t>164</w:t>
        </w:r>
        <w:r w:rsidRPr="00A8295E">
          <w:rPr>
            <w:noProof/>
            <w:webHidden/>
          </w:rPr>
          <w:fldChar w:fldCharType="end"/>
        </w:r>
      </w:hyperlink>
    </w:p>
    <w:p w14:paraId="0AB2C0FA" w14:textId="1BC1A83D"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6" w:history="1">
        <w:r w:rsidRPr="00A8295E">
          <w:rPr>
            <w:rStyle w:val="Hipervnculo"/>
            <w:rFonts w:ascii="Calibri" w:eastAsia="SimSun" w:hAnsi="Calibri" w:cs="Calibri"/>
            <w:noProof/>
          </w:rPr>
          <w:t>Anexo 9: Marco de Gestión Ambiental y Social (MGAS) y otros marcos/planes SES</w:t>
        </w:r>
        <w:r w:rsidRPr="00A8295E">
          <w:rPr>
            <w:noProof/>
            <w:webHidden/>
          </w:rPr>
          <w:tab/>
        </w:r>
        <w:r w:rsidRPr="00A8295E">
          <w:rPr>
            <w:noProof/>
            <w:webHidden/>
          </w:rPr>
          <w:fldChar w:fldCharType="begin"/>
        </w:r>
        <w:r w:rsidRPr="00A8295E">
          <w:rPr>
            <w:noProof/>
            <w:webHidden/>
          </w:rPr>
          <w:instrText xml:space="preserve"> PAGEREF _Toc221696316 \h </w:instrText>
        </w:r>
        <w:r w:rsidRPr="00A8295E">
          <w:rPr>
            <w:noProof/>
            <w:webHidden/>
          </w:rPr>
        </w:r>
        <w:r w:rsidRPr="00A8295E">
          <w:rPr>
            <w:noProof/>
            <w:webHidden/>
          </w:rPr>
          <w:fldChar w:fldCharType="separate"/>
        </w:r>
        <w:r w:rsidRPr="00A8295E">
          <w:rPr>
            <w:noProof/>
            <w:webHidden/>
          </w:rPr>
          <w:t>165</w:t>
        </w:r>
        <w:r w:rsidRPr="00A8295E">
          <w:rPr>
            <w:noProof/>
            <w:webHidden/>
          </w:rPr>
          <w:fldChar w:fldCharType="end"/>
        </w:r>
      </w:hyperlink>
    </w:p>
    <w:p w14:paraId="06A1EAC0" w14:textId="4F889A0E"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7" w:history="1">
        <w:r w:rsidRPr="00A8295E">
          <w:rPr>
            <w:rStyle w:val="Hipervnculo"/>
            <w:rFonts w:ascii="Calibri" w:eastAsia="SimSun" w:hAnsi="Calibri" w:cs="Calibri"/>
            <w:noProof/>
          </w:rPr>
          <w:t>Anexo 10. Análisis y Plan de Acción de Género</w:t>
        </w:r>
        <w:r w:rsidRPr="00A8295E">
          <w:rPr>
            <w:noProof/>
            <w:webHidden/>
          </w:rPr>
          <w:tab/>
        </w:r>
        <w:r w:rsidRPr="00A8295E">
          <w:rPr>
            <w:noProof/>
            <w:webHidden/>
          </w:rPr>
          <w:fldChar w:fldCharType="begin"/>
        </w:r>
        <w:r w:rsidRPr="00A8295E">
          <w:rPr>
            <w:noProof/>
            <w:webHidden/>
          </w:rPr>
          <w:instrText xml:space="preserve"> PAGEREF _Toc221696317 \h </w:instrText>
        </w:r>
        <w:r w:rsidRPr="00A8295E">
          <w:rPr>
            <w:noProof/>
            <w:webHidden/>
          </w:rPr>
        </w:r>
        <w:r w:rsidRPr="00A8295E">
          <w:rPr>
            <w:noProof/>
            <w:webHidden/>
          </w:rPr>
          <w:fldChar w:fldCharType="separate"/>
        </w:r>
        <w:r w:rsidRPr="00A8295E">
          <w:rPr>
            <w:noProof/>
            <w:webHidden/>
          </w:rPr>
          <w:t>166</w:t>
        </w:r>
        <w:r w:rsidRPr="00A8295E">
          <w:rPr>
            <w:noProof/>
            <w:webHidden/>
          </w:rPr>
          <w:fldChar w:fldCharType="end"/>
        </w:r>
      </w:hyperlink>
    </w:p>
    <w:p w14:paraId="0CB77682" w14:textId="58F32FFA"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8" w:history="1">
        <w:r w:rsidRPr="00A8295E">
          <w:rPr>
            <w:rStyle w:val="Hipervnculo"/>
            <w:rFonts w:ascii="Calibri" w:eastAsia="SimSun" w:hAnsi="Calibri" w:cs="Calibri"/>
            <w:noProof/>
          </w:rPr>
          <w:t>Anexo 11: Plan de adquisiciones</w:t>
        </w:r>
        <w:r w:rsidRPr="00A8295E">
          <w:rPr>
            <w:noProof/>
            <w:webHidden/>
          </w:rPr>
          <w:tab/>
        </w:r>
        <w:r w:rsidRPr="00A8295E">
          <w:rPr>
            <w:noProof/>
            <w:webHidden/>
          </w:rPr>
          <w:fldChar w:fldCharType="begin"/>
        </w:r>
        <w:r w:rsidRPr="00A8295E">
          <w:rPr>
            <w:noProof/>
            <w:webHidden/>
          </w:rPr>
          <w:instrText xml:space="preserve"> PAGEREF _Toc221696318 \h </w:instrText>
        </w:r>
        <w:r w:rsidRPr="00A8295E">
          <w:rPr>
            <w:noProof/>
            <w:webHidden/>
          </w:rPr>
        </w:r>
        <w:r w:rsidRPr="00A8295E">
          <w:rPr>
            <w:noProof/>
            <w:webHidden/>
          </w:rPr>
          <w:fldChar w:fldCharType="separate"/>
        </w:r>
        <w:r w:rsidRPr="00A8295E">
          <w:rPr>
            <w:noProof/>
            <w:webHidden/>
          </w:rPr>
          <w:t>167</w:t>
        </w:r>
        <w:r w:rsidRPr="00A8295E">
          <w:rPr>
            <w:noProof/>
            <w:webHidden/>
          </w:rPr>
          <w:fldChar w:fldCharType="end"/>
        </w:r>
      </w:hyperlink>
    </w:p>
    <w:p w14:paraId="754A19E3" w14:textId="66C4D27F"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19" w:history="1">
        <w:r w:rsidRPr="00A8295E">
          <w:rPr>
            <w:rStyle w:val="Hipervnculo"/>
            <w:rFonts w:ascii="Calibri" w:eastAsia="SimSun" w:hAnsi="Calibri" w:cs="Calibri"/>
            <w:noProof/>
          </w:rPr>
          <w:t>Anexo 12: Acuerdos adicionales</w:t>
        </w:r>
        <w:r w:rsidRPr="00A8295E">
          <w:rPr>
            <w:noProof/>
            <w:webHidden/>
          </w:rPr>
          <w:tab/>
        </w:r>
        <w:r w:rsidRPr="00A8295E">
          <w:rPr>
            <w:noProof/>
            <w:webHidden/>
          </w:rPr>
          <w:fldChar w:fldCharType="begin"/>
        </w:r>
        <w:r w:rsidRPr="00A8295E">
          <w:rPr>
            <w:noProof/>
            <w:webHidden/>
          </w:rPr>
          <w:instrText xml:space="preserve"> PAGEREF _Toc221696319 \h </w:instrText>
        </w:r>
        <w:r w:rsidRPr="00A8295E">
          <w:rPr>
            <w:noProof/>
            <w:webHidden/>
          </w:rPr>
        </w:r>
        <w:r w:rsidRPr="00A8295E">
          <w:rPr>
            <w:noProof/>
            <w:webHidden/>
          </w:rPr>
          <w:fldChar w:fldCharType="separate"/>
        </w:r>
        <w:r w:rsidRPr="00A8295E">
          <w:rPr>
            <w:noProof/>
            <w:webHidden/>
          </w:rPr>
          <w:t>170</w:t>
        </w:r>
        <w:r w:rsidRPr="00A8295E">
          <w:rPr>
            <w:noProof/>
            <w:webHidden/>
          </w:rPr>
          <w:fldChar w:fldCharType="end"/>
        </w:r>
      </w:hyperlink>
    </w:p>
    <w:p w14:paraId="36D0104D" w14:textId="5EF964E7"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0" w:history="1">
        <w:r w:rsidRPr="00A8295E">
          <w:rPr>
            <w:rStyle w:val="Hipervnculo"/>
            <w:rFonts w:ascii="Calibri" w:eastAsia="SimSun" w:hAnsi="Calibri" w:cs="Calibri"/>
            <w:noProof/>
          </w:rPr>
          <w:t>Anexo 13: Carta de Acuerdo firmada entre el PNUD y el Socio Implementador solicitando los Servicios de Apoyo del PNUD</w:t>
        </w:r>
        <w:r w:rsidRPr="00A8295E">
          <w:rPr>
            <w:noProof/>
            <w:webHidden/>
          </w:rPr>
          <w:tab/>
        </w:r>
        <w:r w:rsidRPr="00A8295E">
          <w:rPr>
            <w:noProof/>
            <w:webHidden/>
          </w:rPr>
          <w:fldChar w:fldCharType="begin"/>
        </w:r>
        <w:r w:rsidRPr="00A8295E">
          <w:rPr>
            <w:noProof/>
            <w:webHidden/>
          </w:rPr>
          <w:instrText xml:space="preserve"> PAGEREF _Toc221696320 \h </w:instrText>
        </w:r>
        <w:r w:rsidRPr="00A8295E">
          <w:rPr>
            <w:noProof/>
            <w:webHidden/>
          </w:rPr>
        </w:r>
        <w:r w:rsidRPr="00A8295E">
          <w:rPr>
            <w:noProof/>
            <w:webHidden/>
          </w:rPr>
          <w:fldChar w:fldCharType="separate"/>
        </w:r>
        <w:r w:rsidRPr="00A8295E">
          <w:rPr>
            <w:noProof/>
            <w:webHidden/>
          </w:rPr>
          <w:t>171</w:t>
        </w:r>
        <w:r w:rsidRPr="00A8295E">
          <w:rPr>
            <w:noProof/>
            <w:webHidden/>
          </w:rPr>
          <w:fldChar w:fldCharType="end"/>
        </w:r>
      </w:hyperlink>
    </w:p>
    <w:p w14:paraId="670E371B" w14:textId="5889AB89"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1" w:history="1">
        <w:r w:rsidRPr="00A8295E">
          <w:rPr>
            <w:rStyle w:val="Hipervnculo"/>
            <w:rFonts w:ascii="Calibri" w:eastAsia="SimSun" w:hAnsi="Calibri" w:cs="Calibri"/>
            <w:noProof/>
          </w:rPr>
          <w:t>Anexo 14: GEF CEO Endorsement/Approval</w:t>
        </w:r>
        <w:r w:rsidRPr="00A8295E">
          <w:rPr>
            <w:noProof/>
            <w:webHidden/>
          </w:rPr>
          <w:tab/>
        </w:r>
        <w:r w:rsidRPr="00A8295E">
          <w:rPr>
            <w:noProof/>
            <w:webHidden/>
          </w:rPr>
          <w:fldChar w:fldCharType="begin"/>
        </w:r>
        <w:r w:rsidRPr="00A8295E">
          <w:rPr>
            <w:noProof/>
            <w:webHidden/>
          </w:rPr>
          <w:instrText xml:space="preserve"> PAGEREF _Toc221696321 \h </w:instrText>
        </w:r>
        <w:r w:rsidRPr="00A8295E">
          <w:rPr>
            <w:noProof/>
            <w:webHidden/>
          </w:rPr>
        </w:r>
        <w:r w:rsidRPr="00A8295E">
          <w:rPr>
            <w:noProof/>
            <w:webHidden/>
          </w:rPr>
          <w:fldChar w:fldCharType="separate"/>
        </w:r>
        <w:r w:rsidRPr="00A8295E">
          <w:rPr>
            <w:noProof/>
            <w:webHidden/>
          </w:rPr>
          <w:t>172</w:t>
        </w:r>
        <w:r w:rsidRPr="00A8295E">
          <w:rPr>
            <w:noProof/>
            <w:webHidden/>
          </w:rPr>
          <w:fldChar w:fldCharType="end"/>
        </w:r>
      </w:hyperlink>
    </w:p>
    <w:p w14:paraId="2764FE8C" w14:textId="2B957D95"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2" w:history="1">
        <w:r w:rsidRPr="00A8295E">
          <w:rPr>
            <w:rStyle w:val="Hipervnculo"/>
            <w:rFonts w:ascii="Calibri" w:eastAsia="SimSun" w:hAnsi="Calibri" w:cs="Calibri"/>
            <w:noProof/>
          </w:rPr>
          <w:t>Anexo 15: Disposiciones sobre Subvenciones Aplicables al Socio Implementador</w:t>
        </w:r>
        <w:r w:rsidRPr="00A8295E">
          <w:rPr>
            <w:noProof/>
            <w:webHidden/>
          </w:rPr>
          <w:tab/>
        </w:r>
        <w:r w:rsidRPr="00A8295E">
          <w:rPr>
            <w:noProof/>
            <w:webHidden/>
          </w:rPr>
          <w:fldChar w:fldCharType="begin"/>
        </w:r>
        <w:r w:rsidRPr="00A8295E">
          <w:rPr>
            <w:noProof/>
            <w:webHidden/>
          </w:rPr>
          <w:instrText xml:space="preserve"> PAGEREF _Toc221696322 \h </w:instrText>
        </w:r>
        <w:r w:rsidRPr="00A8295E">
          <w:rPr>
            <w:noProof/>
            <w:webHidden/>
          </w:rPr>
        </w:r>
        <w:r w:rsidRPr="00A8295E">
          <w:rPr>
            <w:noProof/>
            <w:webHidden/>
          </w:rPr>
          <w:fldChar w:fldCharType="separate"/>
        </w:r>
        <w:r w:rsidRPr="00A8295E">
          <w:rPr>
            <w:noProof/>
            <w:webHidden/>
          </w:rPr>
          <w:t>173</w:t>
        </w:r>
        <w:r w:rsidRPr="00A8295E">
          <w:rPr>
            <w:noProof/>
            <w:webHidden/>
          </w:rPr>
          <w:fldChar w:fldCharType="end"/>
        </w:r>
      </w:hyperlink>
    </w:p>
    <w:p w14:paraId="6885FE60" w14:textId="037B7161"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3" w:history="1">
        <w:r w:rsidRPr="00A8295E">
          <w:rPr>
            <w:rStyle w:val="Hipervnculo"/>
            <w:rFonts w:ascii="Calibri" w:eastAsia="SimSun" w:hAnsi="Calibri" w:cs="Calibri"/>
            <w:noProof/>
          </w:rPr>
          <w:t>Anexo 16: Términos de Referencia para la Junta de Proyecto y el Equipo de Proyecto</w:t>
        </w:r>
        <w:r w:rsidRPr="00A8295E">
          <w:rPr>
            <w:noProof/>
            <w:webHidden/>
          </w:rPr>
          <w:tab/>
        </w:r>
        <w:r w:rsidRPr="00A8295E">
          <w:rPr>
            <w:noProof/>
            <w:webHidden/>
          </w:rPr>
          <w:fldChar w:fldCharType="begin"/>
        </w:r>
        <w:r w:rsidRPr="00A8295E">
          <w:rPr>
            <w:noProof/>
            <w:webHidden/>
          </w:rPr>
          <w:instrText xml:space="preserve"> PAGEREF _Toc221696323 \h </w:instrText>
        </w:r>
        <w:r w:rsidRPr="00A8295E">
          <w:rPr>
            <w:noProof/>
            <w:webHidden/>
          </w:rPr>
        </w:r>
        <w:r w:rsidRPr="00A8295E">
          <w:rPr>
            <w:noProof/>
            <w:webHidden/>
          </w:rPr>
          <w:fldChar w:fldCharType="separate"/>
        </w:r>
        <w:r w:rsidRPr="00A8295E">
          <w:rPr>
            <w:noProof/>
            <w:webHidden/>
          </w:rPr>
          <w:t>174</w:t>
        </w:r>
        <w:r w:rsidRPr="00A8295E">
          <w:rPr>
            <w:noProof/>
            <w:webHidden/>
          </w:rPr>
          <w:fldChar w:fldCharType="end"/>
        </w:r>
      </w:hyperlink>
    </w:p>
    <w:p w14:paraId="777C8795" w14:textId="2D563741"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4" w:history="1">
        <w:r w:rsidRPr="00A8295E">
          <w:rPr>
            <w:rStyle w:val="Hipervnculo"/>
            <w:rFonts w:ascii="Calibri" w:eastAsia="SimSun" w:hAnsi="Calibri" w:cs="Calibri"/>
            <w:noProof/>
          </w:rPr>
          <w:t>Annex 17: Indicadores Core (IC) del GEF</w:t>
        </w:r>
        <w:r w:rsidRPr="00A8295E">
          <w:rPr>
            <w:noProof/>
            <w:webHidden/>
          </w:rPr>
          <w:tab/>
        </w:r>
        <w:r w:rsidRPr="00A8295E">
          <w:rPr>
            <w:noProof/>
            <w:webHidden/>
          </w:rPr>
          <w:fldChar w:fldCharType="begin"/>
        </w:r>
        <w:r w:rsidRPr="00A8295E">
          <w:rPr>
            <w:noProof/>
            <w:webHidden/>
          </w:rPr>
          <w:instrText xml:space="preserve"> PAGEREF _Toc221696324 \h </w:instrText>
        </w:r>
        <w:r w:rsidRPr="00A8295E">
          <w:rPr>
            <w:noProof/>
            <w:webHidden/>
          </w:rPr>
        </w:r>
        <w:r w:rsidRPr="00A8295E">
          <w:rPr>
            <w:noProof/>
            <w:webHidden/>
          </w:rPr>
          <w:fldChar w:fldCharType="separate"/>
        </w:r>
        <w:r w:rsidRPr="00A8295E">
          <w:rPr>
            <w:noProof/>
            <w:webHidden/>
          </w:rPr>
          <w:t>183</w:t>
        </w:r>
        <w:r w:rsidRPr="00A8295E">
          <w:rPr>
            <w:noProof/>
            <w:webHidden/>
          </w:rPr>
          <w:fldChar w:fldCharType="end"/>
        </w:r>
      </w:hyperlink>
    </w:p>
    <w:p w14:paraId="7F6A4FBE" w14:textId="15A476D5"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5" w:history="1">
        <w:r w:rsidRPr="00A8295E">
          <w:rPr>
            <w:rStyle w:val="Hipervnculo"/>
            <w:rFonts w:ascii="Calibri" w:eastAsia="SimSun" w:hAnsi="Calibri" w:cs="Calibri"/>
            <w:noProof/>
          </w:rPr>
          <w:t>Anexo 18: Taxonomía del GEF</w:t>
        </w:r>
        <w:r w:rsidRPr="00A8295E">
          <w:rPr>
            <w:noProof/>
            <w:webHidden/>
          </w:rPr>
          <w:tab/>
        </w:r>
        <w:r w:rsidRPr="00A8295E">
          <w:rPr>
            <w:noProof/>
            <w:webHidden/>
          </w:rPr>
          <w:fldChar w:fldCharType="begin"/>
        </w:r>
        <w:r w:rsidRPr="00A8295E">
          <w:rPr>
            <w:noProof/>
            <w:webHidden/>
          </w:rPr>
          <w:instrText xml:space="preserve"> PAGEREF _Toc221696325 \h </w:instrText>
        </w:r>
        <w:r w:rsidRPr="00A8295E">
          <w:rPr>
            <w:noProof/>
            <w:webHidden/>
          </w:rPr>
        </w:r>
        <w:r w:rsidRPr="00A8295E">
          <w:rPr>
            <w:noProof/>
            <w:webHidden/>
          </w:rPr>
          <w:fldChar w:fldCharType="separate"/>
        </w:r>
        <w:r w:rsidRPr="00A8295E">
          <w:rPr>
            <w:noProof/>
            <w:webHidden/>
          </w:rPr>
          <w:t>184</w:t>
        </w:r>
        <w:r w:rsidRPr="00A8295E">
          <w:rPr>
            <w:noProof/>
            <w:webHidden/>
          </w:rPr>
          <w:fldChar w:fldCharType="end"/>
        </w:r>
      </w:hyperlink>
    </w:p>
    <w:p w14:paraId="2C822C87" w14:textId="0E29A2D2" w:rsidR="00DE7519" w:rsidRPr="00A8295E" w:rsidRDefault="00DE7519">
      <w:pPr>
        <w:pStyle w:val="TDC2"/>
        <w:tabs>
          <w:tab w:val="right" w:leader="dot" w:pos="9350"/>
        </w:tabs>
        <w:rPr>
          <w:rFonts w:asciiTheme="minorHAnsi" w:eastAsiaTheme="minorEastAsia" w:hAnsiTheme="minorHAnsi" w:cstheme="minorBidi"/>
          <w:smallCaps w:val="0"/>
          <w:noProof/>
          <w:kern w:val="2"/>
          <w:sz w:val="24"/>
          <w:szCs w:val="24"/>
          <w:lang w:val="es-EC" w:eastAsia="es-EC"/>
          <w14:ligatures w14:val="standardContextual"/>
        </w:rPr>
      </w:pPr>
      <w:hyperlink w:anchor="_Toc221696326" w:history="1">
        <w:r w:rsidRPr="00A8295E">
          <w:rPr>
            <w:rStyle w:val="Hipervnculo"/>
            <w:rFonts w:ascii="Calibri" w:eastAsia="SimSun" w:hAnsi="Calibri" w:cs="Calibri"/>
            <w:noProof/>
          </w:rPr>
          <w:t>Anexo 19: Resultados de la Herramienta de Análisis de las Capacidades del Socio y la Microevaluación HACT</w:t>
        </w:r>
        <w:r w:rsidRPr="00A8295E">
          <w:rPr>
            <w:noProof/>
            <w:webHidden/>
          </w:rPr>
          <w:tab/>
        </w:r>
        <w:r w:rsidRPr="00A8295E">
          <w:rPr>
            <w:noProof/>
            <w:webHidden/>
          </w:rPr>
          <w:fldChar w:fldCharType="begin"/>
        </w:r>
        <w:r w:rsidRPr="00A8295E">
          <w:rPr>
            <w:noProof/>
            <w:webHidden/>
          </w:rPr>
          <w:instrText xml:space="preserve"> PAGEREF _Toc221696326 \h </w:instrText>
        </w:r>
        <w:r w:rsidRPr="00A8295E">
          <w:rPr>
            <w:noProof/>
            <w:webHidden/>
          </w:rPr>
        </w:r>
        <w:r w:rsidRPr="00A8295E">
          <w:rPr>
            <w:noProof/>
            <w:webHidden/>
          </w:rPr>
          <w:fldChar w:fldCharType="separate"/>
        </w:r>
        <w:r w:rsidRPr="00A8295E">
          <w:rPr>
            <w:noProof/>
            <w:webHidden/>
          </w:rPr>
          <w:t>189</w:t>
        </w:r>
        <w:r w:rsidRPr="00A8295E">
          <w:rPr>
            <w:noProof/>
            <w:webHidden/>
          </w:rPr>
          <w:fldChar w:fldCharType="end"/>
        </w:r>
      </w:hyperlink>
    </w:p>
    <w:p w14:paraId="030ADBA1" w14:textId="18F2FE4D" w:rsidR="008B6F84" w:rsidRPr="00A8295E" w:rsidRDefault="00637F23" w:rsidP="315B12BA">
      <w:pPr>
        <w:spacing w:after="240"/>
        <w:jc w:val="both"/>
        <w:rPr>
          <w:rFonts w:asciiTheme="minorHAnsi" w:eastAsia="SimSun" w:hAnsiTheme="minorHAnsi" w:cstheme="minorBidi"/>
          <w:noProof/>
          <w:sz w:val="20"/>
          <w:szCs w:val="20"/>
        </w:rPr>
      </w:pPr>
      <w:r w:rsidRPr="00A8295E">
        <w:rPr>
          <w:rFonts w:asciiTheme="minorHAnsi" w:eastAsia="SimSun" w:hAnsiTheme="minorHAnsi" w:cstheme="minorBidi"/>
          <w:noProof/>
          <w:color w:val="2B579A"/>
          <w:sz w:val="20"/>
          <w:szCs w:val="20"/>
          <w:shd w:val="clear" w:color="auto" w:fill="E6E6E6"/>
        </w:rPr>
        <w:fldChar w:fldCharType="end"/>
      </w:r>
    </w:p>
    <w:p w14:paraId="5298506B" w14:textId="77777777" w:rsidR="008B6F84" w:rsidRPr="00A51E75" w:rsidRDefault="008B6F84" w:rsidP="008B6F84">
      <w:pPr>
        <w:spacing w:after="240"/>
        <w:jc w:val="both"/>
        <w:rPr>
          <w:rFonts w:asciiTheme="minorHAnsi" w:eastAsia="SimSun" w:hAnsiTheme="minorHAnsi" w:cstheme="minorHAnsi"/>
          <w:b/>
          <w:i/>
          <w:sz w:val="20"/>
        </w:rPr>
        <w:sectPr w:rsidR="008B6F84" w:rsidRPr="00A51E75" w:rsidSect="008B6F84">
          <w:footerReference w:type="default" r:id="rId14"/>
          <w:footerReference w:type="first" r:id="rId15"/>
          <w:pgSz w:w="12240" w:h="15840" w:code="1"/>
          <w:pgMar w:top="1440" w:right="1440" w:bottom="1440" w:left="1440" w:header="720" w:footer="432" w:gutter="0"/>
          <w:cols w:space="708"/>
          <w:titlePg/>
          <w:docGrid w:linePitch="360"/>
        </w:sectPr>
      </w:pPr>
    </w:p>
    <w:p w14:paraId="7E7FF0E4" w14:textId="73474400" w:rsidR="00FF748A" w:rsidRPr="00A51E75" w:rsidRDefault="00FF748A" w:rsidP="00FF748A">
      <w:pPr>
        <w:rPr>
          <w:rFonts w:asciiTheme="minorHAnsi" w:hAnsiTheme="minorHAnsi" w:cstheme="minorHAnsi"/>
          <w:b/>
          <w:bCs/>
        </w:rPr>
      </w:pPr>
      <w:r w:rsidRPr="00A51E75">
        <w:rPr>
          <w:rFonts w:asciiTheme="minorHAnsi" w:hAnsiTheme="minorHAnsi" w:cstheme="minorHAnsi"/>
          <w:b/>
          <w:bCs/>
        </w:rPr>
        <w:lastRenderedPageBreak/>
        <w:t>Tablas</w:t>
      </w:r>
    </w:p>
    <w:p w14:paraId="01DD4CA3" w14:textId="7D9741EE" w:rsidR="00967158" w:rsidRPr="00A51E75" w:rsidRDefault="00FF748A">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r w:rsidRPr="00A51E75">
        <w:rPr>
          <w:rFonts w:eastAsia="SimSun"/>
          <w:i/>
        </w:rPr>
        <w:fldChar w:fldCharType="begin"/>
      </w:r>
      <w:r w:rsidRPr="00A51E75">
        <w:rPr>
          <w:rFonts w:eastAsia="SimSun"/>
          <w:i/>
        </w:rPr>
        <w:instrText xml:space="preserve"> TOC \h \z \c "Tabla" </w:instrText>
      </w:r>
      <w:r w:rsidRPr="00A51E75">
        <w:rPr>
          <w:rFonts w:eastAsia="SimSun"/>
          <w:i/>
        </w:rPr>
        <w:fldChar w:fldCharType="separate"/>
      </w:r>
      <w:hyperlink w:anchor="_Toc201073146" w:history="1">
        <w:r w:rsidR="00967158" w:rsidRPr="00A51E75">
          <w:rPr>
            <w:rStyle w:val="Hipervnculo"/>
            <w:noProof/>
          </w:rPr>
          <w:t>Tabla 1: Cantidad de inversiones desglosadas por categoría</w:t>
        </w:r>
        <w:r w:rsidR="00967158" w:rsidRPr="00A51E75">
          <w:rPr>
            <w:noProof/>
            <w:webHidden/>
          </w:rPr>
          <w:tab/>
        </w:r>
        <w:r w:rsidR="00967158" w:rsidRPr="00A51E75">
          <w:rPr>
            <w:noProof/>
            <w:webHidden/>
          </w:rPr>
          <w:fldChar w:fldCharType="begin"/>
        </w:r>
        <w:r w:rsidR="00967158" w:rsidRPr="00A51E75">
          <w:rPr>
            <w:noProof/>
            <w:webHidden/>
          </w:rPr>
          <w:instrText xml:space="preserve"> PAGEREF _Toc201073146 \h </w:instrText>
        </w:r>
        <w:r w:rsidR="00967158" w:rsidRPr="00A51E75">
          <w:rPr>
            <w:noProof/>
            <w:webHidden/>
          </w:rPr>
        </w:r>
        <w:r w:rsidR="00967158" w:rsidRPr="00A51E75">
          <w:rPr>
            <w:noProof/>
            <w:webHidden/>
          </w:rPr>
          <w:fldChar w:fldCharType="separate"/>
        </w:r>
        <w:r w:rsidR="00967158" w:rsidRPr="00A51E75">
          <w:rPr>
            <w:noProof/>
            <w:webHidden/>
          </w:rPr>
          <w:t>9</w:t>
        </w:r>
        <w:r w:rsidR="00967158" w:rsidRPr="00A51E75">
          <w:rPr>
            <w:noProof/>
            <w:webHidden/>
          </w:rPr>
          <w:fldChar w:fldCharType="end"/>
        </w:r>
      </w:hyperlink>
    </w:p>
    <w:p w14:paraId="21D1AB3C" w14:textId="07856DBC"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47" w:history="1">
        <w:r w:rsidRPr="00A51E75">
          <w:rPr>
            <w:rStyle w:val="Hipervnculo"/>
            <w:noProof/>
          </w:rPr>
          <w:t>Tabla 2: Alianzas de proyectos</w:t>
        </w:r>
        <w:r w:rsidRPr="00A51E75">
          <w:rPr>
            <w:noProof/>
            <w:webHidden/>
          </w:rPr>
          <w:tab/>
        </w:r>
        <w:r w:rsidRPr="00A51E75">
          <w:rPr>
            <w:noProof/>
            <w:webHidden/>
          </w:rPr>
          <w:fldChar w:fldCharType="begin"/>
        </w:r>
        <w:r w:rsidRPr="00A51E75">
          <w:rPr>
            <w:noProof/>
            <w:webHidden/>
          </w:rPr>
          <w:instrText xml:space="preserve"> PAGEREF _Toc201073147 \h </w:instrText>
        </w:r>
        <w:r w:rsidRPr="00A51E75">
          <w:rPr>
            <w:noProof/>
            <w:webHidden/>
          </w:rPr>
        </w:r>
        <w:r w:rsidRPr="00A51E75">
          <w:rPr>
            <w:noProof/>
            <w:webHidden/>
          </w:rPr>
          <w:fldChar w:fldCharType="separate"/>
        </w:r>
        <w:r w:rsidRPr="00A51E75">
          <w:rPr>
            <w:noProof/>
            <w:webHidden/>
          </w:rPr>
          <w:t>31</w:t>
        </w:r>
        <w:r w:rsidRPr="00A51E75">
          <w:rPr>
            <w:noProof/>
            <w:webHidden/>
          </w:rPr>
          <w:fldChar w:fldCharType="end"/>
        </w:r>
      </w:hyperlink>
    </w:p>
    <w:p w14:paraId="03A2E21D" w14:textId="0AF0F0C8"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48" w:history="1">
        <w:r w:rsidRPr="00A51E75">
          <w:rPr>
            <w:rStyle w:val="Hipervnculo"/>
            <w:noProof/>
          </w:rPr>
          <w:t>Tabla 3: Cofinanciación del proyecto</w:t>
        </w:r>
        <w:r w:rsidRPr="00A51E75">
          <w:rPr>
            <w:noProof/>
            <w:webHidden/>
          </w:rPr>
          <w:tab/>
        </w:r>
        <w:r w:rsidRPr="00A51E75">
          <w:rPr>
            <w:noProof/>
            <w:webHidden/>
          </w:rPr>
          <w:fldChar w:fldCharType="begin"/>
        </w:r>
        <w:r w:rsidRPr="00A51E75">
          <w:rPr>
            <w:noProof/>
            <w:webHidden/>
          </w:rPr>
          <w:instrText xml:space="preserve"> PAGEREF _Toc201073148 \h </w:instrText>
        </w:r>
        <w:r w:rsidRPr="00A51E75">
          <w:rPr>
            <w:noProof/>
            <w:webHidden/>
          </w:rPr>
        </w:r>
        <w:r w:rsidRPr="00A51E75">
          <w:rPr>
            <w:noProof/>
            <w:webHidden/>
          </w:rPr>
          <w:fldChar w:fldCharType="separate"/>
        </w:r>
        <w:r w:rsidRPr="00A51E75">
          <w:rPr>
            <w:noProof/>
            <w:webHidden/>
          </w:rPr>
          <w:t>32</w:t>
        </w:r>
        <w:r w:rsidRPr="00A51E75">
          <w:rPr>
            <w:noProof/>
            <w:webHidden/>
          </w:rPr>
          <w:fldChar w:fldCharType="end"/>
        </w:r>
      </w:hyperlink>
    </w:p>
    <w:p w14:paraId="1AC91754" w14:textId="5134E52F"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49" w:history="1">
        <w:r w:rsidRPr="00A51E75">
          <w:rPr>
            <w:rStyle w:val="Hipervnculo"/>
            <w:noProof/>
          </w:rPr>
          <w:t>Tabla 4: Marco de Resultados del Proyecto</w:t>
        </w:r>
        <w:r w:rsidRPr="00A51E75">
          <w:rPr>
            <w:noProof/>
            <w:webHidden/>
          </w:rPr>
          <w:tab/>
        </w:r>
        <w:r w:rsidRPr="00A51E75">
          <w:rPr>
            <w:noProof/>
            <w:webHidden/>
          </w:rPr>
          <w:fldChar w:fldCharType="begin"/>
        </w:r>
        <w:r w:rsidRPr="00A51E75">
          <w:rPr>
            <w:noProof/>
            <w:webHidden/>
          </w:rPr>
          <w:instrText xml:space="preserve"> PAGEREF _Toc201073149 \h </w:instrText>
        </w:r>
        <w:r w:rsidRPr="00A51E75">
          <w:rPr>
            <w:noProof/>
            <w:webHidden/>
          </w:rPr>
        </w:r>
        <w:r w:rsidRPr="00A51E75">
          <w:rPr>
            <w:noProof/>
            <w:webHidden/>
          </w:rPr>
          <w:fldChar w:fldCharType="separate"/>
        </w:r>
        <w:r w:rsidRPr="00A51E75">
          <w:rPr>
            <w:noProof/>
            <w:webHidden/>
          </w:rPr>
          <w:t>40</w:t>
        </w:r>
        <w:r w:rsidRPr="00A51E75">
          <w:rPr>
            <w:noProof/>
            <w:webHidden/>
          </w:rPr>
          <w:fldChar w:fldCharType="end"/>
        </w:r>
      </w:hyperlink>
    </w:p>
    <w:p w14:paraId="2F90AC1C" w14:textId="73F52BD4" w:rsidR="00967158" w:rsidRPr="00A51E75" w:rsidRDefault="00967158" w:rsidP="315B12BA">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0" w:history="1">
        <w:r w:rsidRPr="00A51E75">
          <w:rPr>
            <w:rStyle w:val="Hipervnculo"/>
            <w:noProof/>
          </w:rPr>
          <w:t xml:space="preserve">Tabla 5: Plan de </w:t>
        </w:r>
        <w:r w:rsidR="000F5F5C">
          <w:rPr>
            <w:rStyle w:val="Hipervnculo"/>
            <w:noProof/>
          </w:rPr>
          <w:t>Monitoreo</w:t>
        </w:r>
        <w:r w:rsidRPr="00A51E75">
          <w:rPr>
            <w:noProof/>
            <w:webHidden/>
          </w:rPr>
          <w:tab/>
        </w:r>
        <w:r w:rsidRPr="00A51E75">
          <w:rPr>
            <w:noProof/>
            <w:webHidden/>
          </w:rPr>
          <w:fldChar w:fldCharType="begin"/>
        </w:r>
        <w:r w:rsidRPr="00A51E75">
          <w:rPr>
            <w:noProof/>
            <w:webHidden/>
          </w:rPr>
          <w:instrText xml:space="preserve"> PAGEREF _Toc201073150 \h </w:instrText>
        </w:r>
        <w:r w:rsidRPr="00A51E75">
          <w:rPr>
            <w:noProof/>
            <w:webHidden/>
          </w:rPr>
        </w:r>
        <w:r w:rsidRPr="00A51E75">
          <w:rPr>
            <w:noProof/>
            <w:webHidden/>
          </w:rPr>
          <w:fldChar w:fldCharType="separate"/>
        </w:r>
        <w:r w:rsidRPr="00A51E75">
          <w:rPr>
            <w:noProof/>
            <w:webHidden/>
          </w:rPr>
          <w:t>55</w:t>
        </w:r>
        <w:r w:rsidRPr="00A51E75">
          <w:rPr>
            <w:noProof/>
            <w:webHidden/>
          </w:rPr>
          <w:fldChar w:fldCharType="end"/>
        </w:r>
      </w:hyperlink>
    </w:p>
    <w:p w14:paraId="5C2789A8" w14:textId="4B9F9B34" w:rsidR="00967158" w:rsidRPr="00A51E75" w:rsidRDefault="00967158" w:rsidP="315B12BA">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1" w:history="1">
        <w:r w:rsidRPr="00A51E75">
          <w:rPr>
            <w:rStyle w:val="Hipervnculo"/>
            <w:noProof/>
          </w:rPr>
          <w:t>Tabla 6: Monitor</w:t>
        </w:r>
        <w:r w:rsidR="000F5F5C">
          <w:rPr>
            <w:rStyle w:val="Hipervnculo"/>
            <w:noProof/>
          </w:rPr>
          <w:t xml:space="preserve">eo </w:t>
        </w:r>
        <w:r w:rsidRPr="00A51E75">
          <w:rPr>
            <w:rStyle w:val="Hipervnculo"/>
            <w:noProof/>
          </w:rPr>
          <w:t xml:space="preserve"> de actividad</w:t>
        </w:r>
        <w:r w:rsidR="000F5F5C">
          <w:rPr>
            <w:rStyle w:val="Hipervnculo"/>
            <w:noProof/>
          </w:rPr>
          <w:t>es</w:t>
        </w:r>
        <w:r w:rsidRPr="00A51E75">
          <w:rPr>
            <w:noProof/>
            <w:webHidden/>
          </w:rPr>
          <w:tab/>
        </w:r>
        <w:r w:rsidRPr="00A51E75">
          <w:rPr>
            <w:noProof/>
            <w:webHidden/>
          </w:rPr>
          <w:fldChar w:fldCharType="begin"/>
        </w:r>
        <w:r w:rsidRPr="00A51E75">
          <w:rPr>
            <w:noProof/>
            <w:webHidden/>
          </w:rPr>
          <w:instrText xml:space="preserve"> PAGEREF _Toc201073151 \h </w:instrText>
        </w:r>
        <w:r w:rsidRPr="00A51E75">
          <w:rPr>
            <w:noProof/>
            <w:webHidden/>
          </w:rPr>
        </w:r>
        <w:r w:rsidRPr="00A51E75">
          <w:rPr>
            <w:noProof/>
            <w:webHidden/>
          </w:rPr>
          <w:fldChar w:fldCharType="separate"/>
        </w:r>
        <w:r w:rsidRPr="00A51E75">
          <w:rPr>
            <w:noProof/>
            <w:webHidden/>
          </w:rPr>
          <w:t>68</w:t>
        </w:r>
        <w:r w:rsidRPr="00A51E75">
          <w:rPr>
            <w:noProof/>
            <w:webHidden/>
          </w:rPr>
          <w:fldChar w:fldCharType="end"/>
        </w:r>
      </w:hyperlink>
    </w:p>
    <w:p w14:paraId="73D8E9EA" w14:textId="417C9AC6"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2" w:history="1">
        <w:r w:rsidRPr="00A51E75">
          <w:rPr>
            <w:rStyle w:val="Hipervnculo"/>
            <w:noProof/>
          </w:rPr>
          <w:t>Tabla 7: Plan de evaluación</w:t>
        </w:r>
        <w:r w:rsidRPr="00A51E75">
          <w:rPr>
            <w:noProof/>
            <w:webHidden/>
          </w:rPr>
          <w:tab/>
        </w:r>
        <w:r w:rsidRPr="00A51E75">
          <w:rPr>
            <w:noProof/>
            <w:webHidden/>
          </w:rPr>
          <w:fldChar w:fldCharType="begin"/>
        </w:r>
        <w:r w:rsidRPr="00A51E75">
          <w:rPr>
            <w:noProof/>
            <w:webHidden/>
          </w:rPr>
          <w:instrText xml:space="preserve"> PAGEREF _Toc201073152 \h </w:instrText>
        </w:r>
        <w:r w:rsidRPr="00A51E75">
          <w:rPr>
            <w:noProof/>
            <w:webHidden/>
          </w:rPr>
        </w:r>
        <w:r w:rsidRPr="00A51E75">
          <w:rPr>
            <w:noProof/>
            <w:webHidden/>
          </w:rPr>
          <w:fldChar w:fldCharType="separate"/>
        </w:r>
        <w:r w:rsidRPr="00A51E75">
          <w:rPr>
            <w:noProof/>
            <w:webHidden/>
          </w:rPr>
          <w:t>69</w:t>
        </w:r>
        <w:r w:rsidRPr="00A51E75">
          <w:rPr>
            <w:noProof/>
            <w:webHidden/>
          </w:rPr>
          <w:fldChar w:fldCharType="end"/>
        </w:r>
      </w:hyperlink>
    </w:p>
    <w:p w14:paraId="6392A7D2" w14:textId="5AFFB248"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3" w:history="1">
        <w:r w:rsidRPr="00A51E75">
          <w:rPr>
            <w:rStyle w:val="Hipervnculo"/>
            <w:noProof/>
          </w:rPr>
          <w:t>Tabla 8: Requisitos de M&amp;E</w:t>
        </w:r>
        <w:r w:rsidRPr="00A51E75">
          <w:rPr>
            <w:noProof/>
            <w:webHidden/>
          </w:rPr>
          <w:tab/>
        </w:r>
        <w:r w:rsidRPr="00A51E75">
          <w:rPr>
            <w:noProof/>
            <w:webHidden/>
          </w:rPr>
          <w:fldChar w:fldCharType="begin"/>
        </w:r>
        <w:r w:rsidRPr="00A51E75">
          <w:rPr>
            <w:noProof/>
            <w:webHidden/>
          </w:rPr>
          <w:instrText xml:space="preserve"> PAGEREF _Toc201073153 \h </w:instrText>
        </w:r>
        <w:r w:rsidRPr="00A51E75">
          <w:rPr>
            <w:noProof/>
            <w:webHidden/>
          </w:rPr>
        </w:r>
        <w:r w:rsidRPr="00A51E75">
          <w:rPr>
            <w:noProof/>
            <w:webHidden/>
          </w:rPr>
          <w:fldChar w:fldCharType="separate"/>
        </w:r>
        <w:r w:rsidRPr="00A51E75">
          <w:rPr>
            <w:noProof/>
            <w:webHidden/>
          </w:rPr>
          <w:t>69</w:t>
        </w:r>
        <w:r w:rsidRPr="00A51E75">
          <w:rPr>
            <w:noProof/>
            <w:webHidden/>
          </w:rPr>
          <w:fldChar w:fldCharType="end"/>
        </w:r>
      </w:hyperlink>
    </w:p>
    <w:p w14:paraId="0C3D2033" w14:textId="49D80025"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4" w:history="1">
        <w:r w:rsidRPr="00A51E75">
          <w:rPr>
            <w:rStyle w:val="Hipervnculo"/>
            <w:noProof/>
          </w:rPr>
          <w:t>Tabla 9: Participación de partes interesadas y grupos objetivo en los procesos de toma de decisiones</w:t>
        </w:r>
        <w:r w:rsidRPr="00A51E75">
          <w:rPr>
            <w:noProof/>
            <w:webHidden/>
          </w:rPr>
          <w:tab/>
        </w:r>
        <w:r w:rsidRPr="00A51E75">
          <w:rPr>
            <w:noProof/>
            <w:webHidden/>
          </w:rPr>
          <w:fldChar w:fldCharType="begin"/>
        </w:r>
        <w:r w:rsidRPr="00A51E75">
          <w:rPr>
            <w:noProof/>
            <w:webHidden/>
          </w:rPr>
          <w:instrText xml:space="preserve"> PAGEREF _Toc201073154 \h </w:instrText>
        </w:r>
        <w:r w:rsidRPr="00A51E75">
          <w:rPr>
            <w:noProof/>
            <w:webHidden/>
          </w:rPr>
        </w:r>
        <w:r w:rsidRPr="00A51E75">
          <w:rPr>
            <w:noProof/>
            <w:webHidden/>
          </w:rPr>
          <w:fldChar w:fldCharType="separate"/>
        </w:r>
        <w:r w:rsidRPr="00A51E75">
          <w:rPr>
            <w:noProof/>
            <w:webHidden/>
          </w:rPr>
          <w:t>71</w:t>
        </w:r>
        <w:r w:rsidRPr="00A51E75">
          <w:rPr>
            <w:noProof/>
            <w:webHidden/>
          </w:rPr>
          <w:fldChar w:fldCharType="end"/>
        </w:r>
      </w:hyperlink>
    </w:p>
    <w:p w14:paraId="2008F023" w14:textId="7BDE096E"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5" w:history="1">
        <w:r w:rsidRPr="00A51E75">
          <w:rPr>
            <w:rStyle w:val="Hipervnculo"/>
            <w:noProof/>
          </w:rPr>
          <w:t>Tabla 10: Cofinanciación disponible</w:t>
        </w:r>
        <w:r w:rsidRPr="00A51E75">
          <w:rPr>
            <w:noProof/>
            <w:webHidden/>
          </w:rPr>
          <w:tab/>
        </w:r>
        <w:r w:rsidRPr="00A51E75">
          <w:rPr>
            <w:noProof/>
            <w:webHidden/>
          </w:rPr>
          <w:fldChar w:fldCharType="begin"/>
        </w:r>
        <w:r w:rsidRPr="00A51E75">
          <w:rPr>
            <w:noProof/>
            <w:webHidden/>
          </w:rPr>
          <w:instrText xml:space="preserve"> PAGEREF _Toc201073155 \h </w:instrText>
        </w:r>
        <w:r w:rsidRPr="00A51E75">
          <w:rPr>
            <w:noProof/>
            <w:webHidden/>
          </w:rPr>
        </w:r>
        <w:r w:rsidRPr="00A51E75">
          <w:rPr>
            <w:noProof/>
            <w:webHidden/>
          </w:rPr>
          <w:fldChar w:fldCharType="separate"/>
        </w:r>
        <w:r w:rsidRPr="00A51E75">
          <w:rPr>
            <w:noProof/>
            <w:webHidden/>
          </w:rPr>
          <w:t>76</w:t>
        </w:r>
        <w:r w:rsidRPr="00A51E75">
          <w:rPr>
            <w:noProof/>
            <w:webHidden/>
          </w:rPr>
          <w:fldChar w:fldCharType="end"/>
        </w:r>
      </w:hyperlink>
    </w:p>
    <w:p w14:paraId="11F13D9E" w14:textId="5D063CF8"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6" w:history="1">
        <w:r w:rsidRPr="00A51E75">
          <w:rPr>
            <w:rStyle w:val="Hipervnculo"/>
            <w:noProof/>
          </w:rPr>
          <w:t>Tabla 11: Presupuesto total y plan de trabajo</w:t>
        </w:r>
        <w:r w:rsidRPr="00A51E75">
          <w:rPr>
            <w:noProof/>
            <w:webHidden/>
          </w:rPr>
          <w:tab/>
        </w:r>
        <w:r w:rsidRPr="00A51E75">
          <w:rPr>
            <w:noProof/>
            <w:webHidden/>
          </w:rPr>
          <w:fldChar w:fldCharType="begin"/>
        </w:r>
        <w:r w:rsidRPr="00A51E75">
          <w:rPr>
            <w:noProof/>
            <w:webHidden/>
          </w:rPr>
          <w:instrText xml:space="preserve"> PAGEREF _Toc201073156 \h </w:instrText>
        </w:r>
        <w:r w:rsidRPr="00A51E75">
          <w:rPr>
            <w:noProof/>
            <w:webHidden/>
          </w:rPr>
        </w:r>
        <w:r w:rsidRPr="00A51E75">
          <w:rPr>
            <w:noProof/>
            <w:webHidden/>
          </w:rPr>
          <w:fldChar w:fldCharType="separate"/>
        </w:r>
        <w:r w:rsidRPr="00A51E75">
          <w:rPr>
            <w:noProof/>
            <w:webHidden/>
          </w:rPr>
          <w:t>82</w:t>
        </w:r>
        <w:r w:rsidRPr="00A51E75">
          <w:rPr>
            <w:noProof/>
            <w:webHidden/>
          </w:rPr>
          <w:fldChar w:fldCharType="end"/>
        </w:r>
      </w:hyperlink>
    </w:p>
    <w:p w14:paraId="6ED59423" w14:textId="0226DD3F" w:rsidR="00967158" w:rsidRPr="00A51E75" w:rsidRDefault="00967158">
      <w:pPr>
        <w:pStyle w:val="Tabladeilustraciones"/>
        <w:tabs>
          <w:tab w:val="right" w:leader="dot" w:pos="9350"/>
        </w:tabs>
        <w:rPr>
          <w:rFonts w:eastAsiaTheme="minorEastAsia" w:cstheme="minorBidi"/>
          <w:smallCaps w:val="0"/>
          <w:noProof/>
          <w:kern w:val="2"/>
          <w:sz w:val="24"/>
          <w:szCs w:val="24"/>
          <w:lang w:val="es-EC" w:eastAsia="es-EC"/>
          <w14:ligatures w14:val="standardContextual"/>
        </w:rPr>
      </w:pPr>
      <w:hyperlink w:anchor="_Toc201073157" w:history="1">
        <w:r w:rsidRPr="00A51E75">
          <w:rPr>
            <w:rStyle w:val="Hipervnculo"/>
            <w:noProof/>
          </w:rPr>
          <w:t>Tabla 12: Notas del presupuesto total</w:t>
        </w:r>
        <w:r w:rsidRPr="00A51E75">
          <w:rPr>
            <w:noProof/>
            <w:webHidden/>
          </w:rPr>
          <w:tab/>
        </w:r>
        <w:r w:rsidRPr="00A51E75">
          <w:rPr>
            <w:noProof/>
            <w:webHidden/>
          </w:rPr>
          <w:fldChar w:fldCharType="begin"/>
        </w:r>
        <w:r w:rsidRPr="00A51E75">
          <w:rPr>
            <w:noProof/>
            <w:webHidden/>
          </w:rPr>
          <w:instrText xml:space="preserve"> PAGEREF _Toc201073157 \h </w:instrText>
        </w:r>
        <w:r w:rsidRPr="00A51E75">
          <w:rPr>
            <w:noProof/>
            <w:webHidden/>
          </w:rPr>
        </w:r>
        <w:r w:rsidRPr="00A51E75">
          <w:rPr>
            <w:noProof/>
            <w:webHidden/>
          </w:rPr>
          <w:fldChar w:fldCharType="separate"/>
        </w:r>
        <w:r w:rsidRPr="00A51E75">
          <w:rPr>
            <w:noProof/>
            <w:webHidden/>
          </w:rPr>
          <w:t>85</w:t>
        </w:r>
        <w:r w:rsidRPr="00A51E75">
          <w:rPr>
            <w:noProof/>
            <w:webHidden/>
          </w:rPr>
          <w:fldChar w:fldCharType="end"/>
        </w:r>
      </w:hyperlink>
    </w:p>
    <w:p w14:paraId="6E5B26AF" w14:textId="12A0F655" w:rsidR="00FF748A" w:rsidRPr="00A51E75" w:rsidRDefault="00FF748A" w:rsidP="008B6F84">
      <w:pPr>
        <w:spacing w:after="240"/>
        <w:jc w:val="both"/>
        <w:rPr>
          <w:rFonts w:asciiTheme="minorHAnsi" w:eastAsia="SimSun" w:hAnsiTheme="minorHAnsi" w:cstheme="minorHAnsi"/>
          <w:i/>
          <w:sz w:val="20"/>
          <w:szCs w:val="20"/>
        </w:rPr>
      </w:pPr>
      <w:r w:rsidRPr="00A51E75">
        <w:rPr>
          <w:rFonts w:asciiTheme="minorHAnsi" w:eastAsia="SimSun" w:hAnsiTheme="minorHAnsi" w:cstheme="minorHAnsi"/>
          <w:i/>
          <w:sz w:val="20"/>
          <w:szCs w:val="20"/>
        </w:rPr>
        <w:fldChar w:fldCharType="end"/>
      </w:r>
    </w:p>
    <w:p w14:paraId="4650C189" w14:textId="77777777" w:rsidR="001A073E" w:rsidRPr="00A51E75" w:rsidRDefault="001A073E" w:rsidP="00A6040B">
      <w:pPr>
        <w:rPr>
          <w:rFonts w:asciiTheme="minorHAnsi" w:hAnsiTheme="minorHAnsi" w:cstheme="minorHAnsi"/>
          <w:b/>
          <w:bCs/>
          <w:sz w:val="20"/>
          <w:szCs w:val="20"/>
          <w:lang w:val="en-US"/>
        </w:rPr>
        <w:sectPr w:rsidR="001A073E" w:rsidRPr="00A51E75" w:rsidSect="008B6F84">
          <w:pgSz w:w="12240" w:h="15840" w:code="1"/>
          <w:pgMar w:top="1440" w:right="1440" w:bottom="1440" w:left="1440" w:header="720" w:footer="432" w:gutter="0"/>
          <w:cols w:space="708"/>
          <w:titlePg/>
          <w:docGrid w:linePitch="360"/>
        </w:sectPr>
      </w:pPr>
    </w:p>
    <w:p w14:paraId="500ABEE4" w14:textId="59831EE9" w:rsidR="00A6040B" w:rsidRPr="00D830D9" w:rsidRDefault="00A6040B" w:rsidP="00A6040B">
      <w:pPr>
        <w:rPr>
          <w:rFonts w:asciiTheme="minorHAnsi" w:hAnsiTheme="minorHAnsi" w:cstheme="minorHAnsi"/>
          <w:b/>
          <w:bCs/>
          <w:sz w:val="20"/>
          <w:szCs w:val="20"/>
          <w:lang w:val="es-EC"/>
        </w:rPr>
      </w:pPr>
      <w:r w:rsidRPr="00A51E75">
        <w:rPr>
          <w:rFonts w:asciiTheme="minorHAnsi" w:hAnsiTheme="minorHAnsi" w:cstheme="minorHAnsi"/>
          <w:b/>
          <w:bCs/>
          <w:sz w:val="20"/>
          <w:szCs w:val="20"/>
        </w:rPr>
        <w:lastRenderedPageBreak/>
        <w:t>Acrónimo - Adaptación al inglés</w:t>
      </w:r>
    </w:p>
    <w:p w14:paraId="6BF3D6A5" w14:textId="07BB56C9" w:rsidR="00A6040B" w:rsidRPr="00D830D9" w:rsidRDefault="000F5F5C" w:rsidP="7CD6F03B">
      <w:pPr>
        <w:rPr>
          <w:rFonts w:asciiTheme="minorHAnsi" w:hAnsiTheme="minorHAnsi" w:cstheme="minorBidi"/>
          <w:sz w:val="20"/>
          <w:szCs w:val="20"/>
          <w:lang w:val="es-EC"/>
        </w:rPr>
      </w:pPr>
      <w:r w:rsidRPr="7CD6F03B">
        <w:rPr>
          <w:rFonts w:asciiTheme="minorHAnsi" w:hAnsiTheme="minorHAnsi" w:cstheme="minorBidi"/>
          <w:sz w:val="20"/>
          <w:szCs w:val="20"/>
        </w:rPr>
        <w:t>FBCA</w:t>
      </w:r>
      <w:r w:rsidR="00A6040B" w:rsidRPr="7CD6F03B">
        <w:rPr>
          <w:rFonts w:asciiTheme="minorHAnsi" w:hAnsiTheme="minorHAnsi" w:cstheme="minorBidi"/>
          <w:sz w:val="20"/>
          <w:szCs w:val="20"/>
        </w:rPr>
        <w:t xml:space="preserve"> - Fondo del </w:t>
      </w:r>
      <w:r w:rsidRPr="7CD6F03B">
        <w:rPr>
          <w:rFonts w:asciiTheme="minorHAnsi" w:hAnsiTheme="minorHAnsi" w:cstheme="minorBidi"/>
          <w:sz w:val="20"/>
          <w:szCs w:val="20"/>
        </w:rPr>
        <w:t xml:space="preserve">Bio </w:t>
      </w:r>
      <w:r w:rsidR="00895463" w:rsidRPr="7CD6F03B">
        <w:rPr>
          <w:rFonts w:asciiTheme="minorHAnsi" w:hAnsiTheme="minorHAnsi" w:cstheme="minorBidi"/>
          <w:sz w:val="20"/>
          <w:szCs w:val="20"/>
        </w:rPr>
        <w:t>Corredor Amazónico</w:t>
      </w:r>
      <w:r w:rsidR="00A6040B" w:rsidRPr="7CD6F03B">
        <w:rPr>
          <w:rFonts w:asciiTheme="minorHAnsi" w:hAnsiTheme="minorHAnsi" w:cstheme="minorBidi"/>
          <w:sz w:val="20"/>
          <w:szCs w:val="20"/>
        </w:rPr>
        <w:t xml:space="preserve"> </w:t>
      </w:r>
    </w:p>
    <w:p w14:paraId="047E7467" w14:textId="6076090D"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AP</w:t>
      </w:r>
      <w:r w:rsidR="000F5F5C" w:rsidRPr="7CD6F03B">
        <w:rPr>
          <w:rFonts w:asciiTheme="minorHAnsi" w:hAnsiTheme="minorHAnsi" w:cstheme="minorBidi"/>
          <w:sz w:val="20"/>
          <w:szCs w:val="20"/>
        </w:rPr>
        <w:t>R</w:t>
      </w:r>
      <w:r w:rsidRPr="7CD6F03B">
        <w:rPr>
          <w:rFonts w:asciiTheme="minorHAnsi" w:hAnsiTheme="minorHAnsi" w:cstheme="minorBidi"/>
          <w:sz w:val="20"/>
          <w:szCs w:val="20"/>
        </w:rPr>
        <w:t xml:space="preserve"> - Acuerdo de Partes Responsables </w:t>
      </w:r>
    </w:p>
    <w:p w14:paraId="02443BA9" w14:textId="6ACCD2FF" w:rsidR="00A6040B" w:rsidRPr="00D830D9" w:rsidRDefault="000F5F5C" w:rsidP="7CD6F03B">
      <w:pPr>
        <w:rPr>
          <w:rFonts w:asciiTheme="minorHAnsi" w:hAnsiTheme="minorHAnsi" w:cstheme="minorBidi"/>
          <w:sz w:val="20"/>
          <w:szCs w:val="20"/>
          <w:lang w:val="es-EC"/>
        </w:rPr>
      </w:pPr>
      <w:r w:rsidRPr="7CD6F03B">
        <w:rPr>
          <w:rFonts w:asciiTheme="minorHAnsi" w:hAnsiTheme="minorHAnsi" w:cstheme="minorBidi"/>
          <w:sz w:val="20"/>
          <w:szCs w:val="20"/>
        </w:rPr>
        <w:t>CTEA</w:t>
      </w:r>
      <w:r w:rsidR="00A6040B" w:rsidRPr="7CD6F03B">
        <w:rPr>
          <w:rFonts w:asciiTheme="minorHAnsi" w:hAnsiTheme="minorHAnsi" w:cstheme="minorBidi"/>
          <w:sz w:val="20"/>
          <w:szCs w:val="20"/>
        </w:rPr>
        <w:t xml:space="preserve"> - </w:t>
      </w:r>
      <w:r w:rsidRPr="7CD6F03B">
        <w:rPr>
          <w:rFonts w:asciiTheme="minorHAnsi" w:hAnsiTheme="minorHAnsi" w:cstheme="minorBidi"/>
          <w:sz w:val="20"/>
          <w:szCs w:val="20"/>
        </w:rPr>
        <w:t>Circunscripción</w:t>
      </w:r>
      <w:r w:rsidR="00A6040B" w:rsidRPr="7CD6F03B">
        <w:rPr>
          <w:rFonts w:asciiTheme="minorHAnsi" w:hAnsiTheme="minorHAnsi" w:cstheme="minorBidi"/>
          <w:sz w:val="20"/>
          <w:szCs w:val="20"/>
        </w:rPr>
        <w:t xml:space="preserve"> Territorial Especial Amazónic</w:t>
      </w:r>
      <w:r w:rsidRPr="7CD6F03B">
        <w:rPr>
          <w:rFonts w:asciiTheme="minorHAnsi" w:hAnsiTheme="minorHAnsi" w:cstheme="minorBidi"/>
          <w:sz w:val="20"/>
          <w:szCs w:val="20"/>
        </w:rPr>
        <w:t>a</w:t>
      </w:r>
      <w:r w:rsidR="00A6040B" w:rsidRPr="7CD6F03B">
        <w:rPr>
          <w:rFonts w:asciiTheme="minorHAnsi" w:hAnsiTheme="minorHAnsi" w:cstheme="minorBidi"/>
          <w:sz w:val="20"/>
          <w:szCs w:val="20"/>
        </w:rPr>
        <w:t xml:space="preserve"> </w:t>
      </w:r>
    </w:p>
    <w:p w14:paraId="0D6F3920" w14:textId="73ECD59C" w:rsidR="000D331F" w:rsidRDefault="000D331F" w:rsidP="000D331F">
      <w:pPr>
        <w:rPr>
          <w:rFonts w:asciiTheme="minorHAnsi" w:hAnsiTheme="minorHAnsi" w:cstheme="minorHAnsi"/>
          <w:sz w:val="20"/>
          <w:szCs w:val="20"/>
        </w:rPr>
      </w:pPr>
      <w:r w:rsidRPr="000D331F">
        <w:rPr>
          <w:rFonts w:asciiTheme="minorHAnsi" w:hAnsiTheme="minorHAnsi" w:cstheme="minorHAnsi"/>
          <w:sz w:val="20"/>
          <w:szCs w:val="20"/>
        </w:rPr>
        <w:t>ENC</w:t>
      </w:r>
      <w:r>
        <w:rPr>
          <w:rFonts w:asciiTheme="minorHAnsi" w:hAnsiTheme="minorHAnsi" w:cstheme="minorHAnsi"/>
          <w:sz w:val="20"/>
          <w:szCs w:val="20"/>
        </w:rPr>
        <w:t xml:space="preserve"> - </w:t>
      </w:r>
      <w:r w:rsidRPr="000D331F">
        <w:rPr>
          <w:rFonts w:asciiTheme="minorHAnsi" w:hAnsiTheme="minorHAnsi" w:cstheme="minorHAnsi"/>
          <w:sz w:val="20"/>
          <w:szCs w:val="20"/>
        </w:rPr>
        <w:t>Escenario de Negocios como Siempre (BAU – Business As Usual)</w:t>
      </w:r>
    </w:p>
    <w:p w14:paraId="46603C14" w14:textId="7924A231"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BIOFIN - Iniciativa de Financiación de la Biodiversidad</w:t>
      </w:r>
    </w:p>
    <w:p w14:paraId="74ED9EA8"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CAF - Corporación Andina de Desarrollo</w:t>
      </w:r>
    </w:p>
    <w:p w14:paraId="5AEC999A" w14:textId="0EC3229D"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CI - Conserva</w:t>
      </w:r>
      <w:r w:rsidR="000F5F5C" w:rsidRPr="7CD6F03B">
        <w:rPr>
          <w:rFonts w:asciiTheme="minorHAnsi" w:hAnsiTheme="minorHAnsi" w:cstheme="minorBidi"/>
          <w:sz w:val="20"/>
          <w:szCs w:val="20"/>
        </w:rPr>
        <w:t>ción</w:t>
      </w:r>
      <w:r w:rsidRPr="7CD6F03B">
        <w:rPr>
          <w:rFonts w:asciiTheme="minorHAnsi" w:hAnsiTheme="minorHAnsi" w:cstheme="minorBidi"/>
          <w:sz w:val="20"/>
          <w:szCs w:val="20"/>
        </w:rPr>
        <w:t xml:space="preserve"> International</w:t>
      </w:r>
    </w:p>
    <w:p w14:paraId="41CD8B7A" w14:textId="0A1ECD0E" w:rsidR="00A6040B" w:rsidRPr="007E49E0" w:rsidRDefault="007A7714" w:rsidP="7CD6F03B">
      <w:pPr>
        <w:rPr>
          <w:rFonts w:asciiTheme="minorHAnsi" w:hAnsiTheme="minorHAnsi" w:cstheme="minorBidi"/>
          <w:sz w:val="20"/>
          <w:szCs w:val="20"/>
          <w:lang w:val="es-EC"/>
        </w:rPr>
      </w:pPr>
      <w:r w:rsidRPr="007E49E0">
        <w:rPr>
          <w:rFonts w:asciiTheme="minorHAnsi" w:hAnsiTheme="minorHAnsi" w:cstheme="minorBidi"/>
          <w:sz w:val="20"/>
          <w:szCs w:val="20"/>
        </w:rPr>
        <w:t>HFCI</w:t>
      </w:r>
      <w:r w:rsidR="00A6040B" w:rsidRPr="007E49E0">
        <w:rPr>
          <w:rFonts w:asciiTheme="minorHAnsi" w:hAnsiTheme="minorHAnsi" w:cstheme="minorBidi"/>
          <w:sz w:val="20"/>
          <w:szCs w:val="20"/>
        </w:rPr>
        <w:t xml:space="preserve"> - </w:t>
      </w:r>
      <w:r w:rsidR="00895463" w:rsidRPr="007E49E0">
        <w:rPr>
          <w:rFonts w:asciiTheme="minorHAnsi" w:hAnsiTheme="minorHAnsi" w:cstheme="minorBidi"/>
          <w:sz w:val="20"/>
          <w:szCs w:val="20"/>
        </w:rPr>
        <w:t>Herramienta de Financiamiento Climático e Innovación</w:t>
      </w:r>
    </w:p>
    <w:p w14:paraId="056C9BB2" w14:textId="77777777" w:rsidR="00A6040B" w:rsidRPr="007E49E0" w:rsidRDefault="00A6040B" w:rsidP="00A6040B">
      <w:pPr>
        <w:rPr>
          <w:rFonts w:asciiTheme="minorHAnsi" w:hAnsiTheme="minorHAnsi" w:cstheme="minorHAnsi"/>
          <w:sz w:val="20"/>
          <w:szCs w:val="20"/>
          <w:lang w:val="es-EC"/>
        </w:rPr>
      </w:pPr>
      <w:r w:rsidRPr="007E49E0">
        <w:rPr>
          <w:rFonts w:asciiTheme="minorHAnsi" w:hAnsiTheme="minorHAnsi" w:cstheme="minorHAnsi"/>
          <w:sz w:val="20"/>
          <w:szCs w:val="20"/>
        </w:rPr>
        <w:t>RSC - Responsabilidad Social Corporativa</w:t>
      </w:r>
    </w:p>
    <w:p w14:paraId="329D9D02" w14:textId="5BB857A5" w:rsidR="00A6040B" w:rsidRPr="007E49E0" w:rsidRDefault="000F5F5C" w:rsidP="7CD6F03B">
      <w:pPr>
        <w:rPr>
          <w:rFonts w:asciiTheme="minorHAnsi" w:hAnsiTheme="minorHAnsi" w:cstheme="minorBidi"/>
          <w:sz w:val="20"/>
          <w:szCs w:val="20"/>
          <w:lang w:val="es-EC"/>
        </w:rPr>
      </w:pPr>
      <w:r w:rsidRPr="007E49E0">
        <w:rPr>
          <w:rFonts w:asciiTheme="minorHAnsi" w:hAnsiTheme="minorHAnsi" w:cstheme="minorBidi"/>
          <w:sz w:val="20"/>
          <w:szCs w:val="20"/>
        </w:rPr>
        <w:t>GAD</w:t>
      </w:r>
      <w:r w:rsidR="00A6040B" w:rsidRPr="007E49E0">
        <w:rPr>
          <w:rFonts w:asciiTheme="minorHAnsi" w:hAnsiTheme="minorHAnsi" w:cstheme="minorBidi"/>
          <w:sz w:val="20"/>
          <w:szCs w:val="20"/>
        </w:rPr>
        <w:t xml:space="preserve"> - Gobierno Autónomo Descentralizado </w:t>
      </w:r>
    </w:p>
    <w:p w14:paraId="639D290C" w14:textId="44964A65" w:rsidR="00A6040B" w:rsidRPr="007E49E0" w:rsidRDefault="00C177A1" w:rsidP="7CD6F03B">
      <w:pPr>
        <w:rPr>
          <w:rFonts w:asciiTheme="minorHAnsi" w:hAnsiTheme="minorHAnsi" w:cstheme="minorBidi"/>
          <w:sz w:val="20"/>
          <w:szCs w:val="20"/>
          <w:lang w:val="es-EC"/>
        </w:rPr>
      </w:pPr>
      <w:r w:rsidRPr="007E49E0">
        <w:rPr>
          <w:rFonts w:asciiTheme="minorHAnsi" w:hAnsiTheme="minorHAnsi" w:cstheme="minorBidi"/>
          <w:sz w:val="20"/>
          <w:szCs w:val="20"/>
        </w:rPr>
        <w:t>BDE</w:t>
      </w:r>
      <w:r w:rsidR="00A6040B" w:rsidRPr="007E49E0">
        <w:rPr>
          <w:rFonts w:asciiTheme="minorHAnsi" w:hAnsiTheme="minorHAnsi" w:cstheme="minorBidi"/>
          <w:sz w:val="20"/>
          <w:szCs w:val="20"/>
        </w:rPr>
        <w:t xml:space="preserve"> - Banco de Desarrollo de Ecuador </w:t>
      </w:r>
    </w:p>
    <w:p w14:paraId="1F3C8A9A" w14:textId="01194CE1" w:rsidR="00A6040B" w:rsidRPr="007E49E0" w:rsidRDefault="000F5F5C" w:rsidP="7CD6F03B">
      <w:pPr>
        <w:rPr>
          <w:rFonts w:asciiTheme="minorHAnsi" w:hAnsiTheme="minorHAnsi" w:cstheme="minorBidi"/>
          <w:sz w:val="20"/>
          <w:szCs w:val="20"/>
          <w:lang w:val="es-EC"/>
        </w:rPr>
      </w:pPr>
      <w:r w:rsidRPr="007E49E0">
        <w:rPr>
          <w:rFonts w:asciiTheme="minorHAnsi" w:hAnsiTheme="minorHAnsi" w:cstheme="minorBidi"/>
          <w:sz w:val="20"/>
          <w:szCs w:val="20"/>
        </w:rPr>
        <w:t>PDOT</w:t>
      </w:r>
      <w:r w:rsidR="00A6040B" w:rsidRPr="007E49E0">
        <w:rPr>
          <w:rFonts w:asciiTheme="minorHAnsi" w:hAnsiTheme="minorHAnsi" w:cstheme="minorBidi"/>
          <w:sz w:val="20"/>
          <w:szCs w:val="20"/>
        </w:rPr>
        <w:t xml:space="preserve"> - Plan de Desarrollo y </w:t>
      </w:r>
      <w:r w:rsidRPr="007E49E0">
        <w:rPr>
          <w:rFonts w:asciiTheme="minorHAnsi" w:hAnsiTheme="minorHAnsi" w:cstheme="minorBidi"/>
          <w:sz w:val="20"/>
          <w:szCs w:val="20"/>
        </w:rPr>
        <w:t>Ordenamiento</w:t>
      </w:r>
      <w:r w:rsidR="00A6040B" w:rsidRPr="007E49E0">
        <w:rPr>
          <w:rFonts w:asciiTheme="minorHAnsi" w:hAnsiTheme="minorHAnsi" w:cstheme="minorBidi"/>
          <w:sz w:val="20"/>
          <w:szCs w:val="20"/>
        </w:rPr>
        <w:t xml:space="preserve"> Territorial </w:t>
      </w:r>
    </w:p>
    <w:p w14:paraId="709DF63B" w14:textId="18DB4687" w:rsidR="00A6040B" w:rsidRPr="007E49E0" w:rsidRDefault="000F5F5C" w:rsidP="7CD6F03B">
      <w:pPr>
        <w:rPr>
          <w:rFonts w:asciiTheme="minorHAnsi" w:hAnsiTheme="minorHAnsi" w:cstheme="minorBidi"/>
          <w:sz w:val="20"/>
          <w:szCs w:val="20"/>
          <w:lang w:val="es-EC"/>
        </w:rPr>
      </w:pPr>
      <w:r w:rsidRPr="007E49E0">
        <w:rPr>
          <w:rFonts w:asciiTheme="minorHAnsi" w:hAnsiTheme="minorHAnsi" w:cstheme="minorBidi"/>
          <w:sz w:val="20"/>
          <w:szCs w:val="20"/>
          <w:lang w:val="es-EC"/>
        </w:rPr>
        <w:t>COA</w:t>
      </w:r>
      <w:r w:rsidR="00A6040B" w:rsidRPr="007E49E0">
        <w:rPr>
          <w:rFonts w:asciiTheme="minorHAnsi" w:hAnsiTheme="minorHAnsi" w:cstheme="minorBidi"/>
          <w:sz w:val="20"/>
          <w:szCs w:val="20"/>
          <w:lang w:val="es-EC"/>
        </w:rPr>
        <w:t xml:space="preserve"> - Código Orgánico Ambiental </w:t>
      </w:r>
    </w:p>
    <w:p w14:paraId="3EB454C7" w14:textId="5D66CA7E" w:rsidR="00A6040B" w:rsidRPr="007E49E0" w:rsidRDefault="00C177A1" w:rsidP="7CD6F03B">
      <w:pPr>
        <w:rPr>
          <w:rFonts w:asciiTheme="minorHAnsi" w:hAnsiTheme="minorHAnsi" w:cstheme="minorBidi"/>
          <w:sz w:val="20"/>
          <w:szCs w:val="20"/>
        </w:rPr>
      </w:pPr>
      <w:r w:rsidRPr="007E49E0">
        <w:rPr>
          <w:rFonts w:asciiTheme="minorHAnsi" w:hAnsiTheme="minorHAnsi" w:cstheme="minorBidi"/>
          <w:sz w:val="20"/>
          <w:szCs w:val="20"/>
        </w:rPr>
        <w:t>ASG</w:t>
      </w:r>
      <w:r w:rsidR="00A6040B" w:rsidRPr="007E49E0">
        <w:rPr>
          <w:rFonts w:asciiTheme="minorHAnsi" w:hAnsiTheme="minorHAnsi" w:cstheme="minorBidi"/>
          <w:sz w:val="20"/>
          <w:szCs w:val="20"/>
        </w:rPr>
        <w:t xml:space="preserve"> - </w:t>
      </w:r>
      <w:r w:rsidR="00895463" w:rsidRPr="007E49E0">
        <w:rPr>
          <w:rFonts w:asciiTheme="minorHAnsi" w:hAnsiTheme="minorHAnsi" w:cstheme="minorBidi"/>
          <w:sz w:val="20"/>
          <w:szCs w:val="20"/>
        </w:rPr>
        <w:t>A</w:t>
      </w:r>
      <w:r w:rsidR="00A6040B" w:rsidRPr="007E49E0">
        <w:rPr>
          <w:rFonts w:asciiTheme="minorHAnsi" w:hAnsiTheme="minorHAnsi" w:cstheme="minorBidi"/>
          <w:sz w:val="20"/>
          <w:szCs w:val="20"/>
        </w:rPr>
        <w:t xml:space="preserve">mbiental, Social y Gobernanza </w:t>
      </w:r>
    </w:p>
    <w:p w14:paraId="43C24A0D" w14:textId="23F73EF6" w:rsidR="00A6040B" w:rsidRPr="007E49E0" w:rsidRDefault="000F5F5C" w:rsidP="7CD6F03B">
      <w:pPr>
        <w:rPr>
          <w:rFonts w:asciiTheme="minorHAnsi" w:hAnsiTheme="minorHAnsi" w:cstheme="minorBidi"/>
          <w:sz w:val="20"/>
          <w:szCs w:val="20"/>
          <w:lang w:val="es-EC"/>
        </w:rPr>
      </w:pPr>
      <w:r w:rsidRPr="007E49E0">
        <w:rPr>
          <w:rFonts w:asciiTheme="minorHAnsi" w:hAnsiTheme="minorHAnsi" w:cstheme="minorBidi"/>
          <w:sz w:val="20"/>
          <w:szCs w:val="20"/>
        </w:rPr>
        <w:t>SAT</w:t>
      </w:r>
      <w:r w:rsidR="00A6040B" w:rsidRPr="007E49E0">
        <w:rPr>
          <w:rFonts w:asciiTheme="minorHAnsi" w:hAnsiTheme="minorHAnsi" w:cstheme="minorBidi"/>
          <w:sz w:val="20"/>
          <w:szCs w:val="20"/>
        </w:rPr>
        <w:t xml:space="preserve"> - Sistema de Alerta Temprana </w:t>
      </w:r>
    </w:p>
    <w:p w14:paraId="0F9F9D55" w14:textId="6F493414" w:rsidR="00A6040B" w:rsidRPr="007E49E0" w:rsidRDefault="00A6040B" w:rsidP="7CD6F03B">
      <w:pPr>
        <w:rPr>
          <w:rFonts w:asciiTheme="minorHAnsi" w:hAnsiTheme="minorHAnsi" w:cstheme="minorBidi"/>
          <w:sz w:val="20"/>
          <w:szCs w:val="20"/>
          <w:lang w:val="es-EC"/>
        </w:rPr>
      </w:pPr>
      <w:r w:rsidRPr="007E49E0">
        <w:rPr>
          <w:rFonts w:asciiTheme="minorHAnsi" w:hAnsiTheme="minorHAnsi" w:cstheme="minorBidi"/>
          <w:sz w:val="20"/>
          <w:szCs w:val="20"/>
        </w:rPr>
        <w:t>FAO - Organización de las Naciones Unidas para l</w:t>
      </w:r>
      <w:r w:rsidR="000F5F5C" w:rsidRPr="007E49E0">
        <w:rPr>
          <w:rFonts w:asciiTheme="minorHAnsi" w:hAnsiTheme="minorHAnsi" w:cstheme="minorBidi"/>
          <w:sz w:val="20"/>
          <w:szCs w:val="20"/>
        </w:rPr>
        <w:t>a Alimentación y la Agricultura</w:t>
      </w:r>
    </w:p>
    <w:p w14:paraId="796379BA" w14:textId="77777777" w:rsidR="00A6040B" w:rsidRPr="00D830D9" w:rsidRDefault="00A6040B" w:rsidP="7CD6F03B">
      <w:pPr>
        <w:rPr>
          <w:rFonts w:asciiTheme="minorHAnsi" w:hAnsiTheme="minorHAnsi" w:cstheme="minorBidi"/>
          <w:sz w:val="20"/>
          <w:szCs w:val="20"/>
          <w:lang w:val="es-EC"/>
        </w:rPr>
      </w:pPr>
      <w:r w:rsidRPr="007E49E0">
        <w:rPr>
          <w:rFonts w:asciiTheme="minorHAnsi" w:hAnsiTheme="minorHAnsi" w:cstheme="minorBidi"/>
          <w:sz w:val="20"/>
          <w:szCs w:val="20"/>
        </w:rPr>
        <w:t>FILAC - Fondo para el Desarrollo de los Pueblos Indígenas de América Latina y el Caribe</w:t>
      </w:r>
    </w:p>
    <w:p w14:paraId="7872FD55" w14:textId="4E2D4DBC" w:rsidR="00931090" w:rsidRPr="00931090" w:rsidRDefault="00931090" w:rsidP="00931090">
      <w:pPr>
        <w:rPr>
          <w:rFonts w:asciiTheme="minorHAnsi" w:hAnsiTheme="minorHAnsi" w:cstheme="minorHAnsi"/>
          <w:sz w:val="20"/>
          <w:szCs w:val="20"/>
          <w:lang w:val="es-EC"/>
        </w:rPr>
      </w:pPr>
      <w:r w:rsidRPr="00931090">
        <w:rPr>
          <w:rFonts w:asciiTheme="minorHAnsi" w:hAnsiTheme="minorHAnsi" w:cstheme="minorHAnsi"/>
          <w:sz w:val="20"/>
          <w:szCs w:val="20"/>
          <w:lang w:val="es-EC"/>
        </w:rPr>
        <w:t>FVC</w:t>
      </w:r>
      <w:r>
        <w:rPr>
          <w:rFonts w:asciiTheme="minorHAnsi" w:hAnsiTheme="minorHAnsi" w:cstheme="minorHAnsi"/>
          <w:sz w:val="20"/>
          <w:szCs w:val="20"/>
          <w:lang w:val="es-EC"/>
        </w:rPr>
        <w:t xml:space="preserve"> - </w:t>
      </w:r>
      <w:r w:rsidRPr="00931090">
        <w:rPr>
          <w:rFonts w:asciiTheme="minorHAnsi" w:hAnsiTheme="minorHAnsi" w:cstheme="minorHAnsi"/>
          <w:sz w:val="20"/>
          <w:szCs w:val="20"/>
          <w:lang w:val="es-EC"/>
        </w:rPr>
        <w:t>Fondo Verde para el Clima (GCF – Green Climate Fund)</w:t>
      </w:r>
    </w:p>
    <w:p w14:paraId="19317114" w14:textId="48C2CB8F" w:rsidR="00931090" w:rsidRPr="00D830D9" w:rsidRDefault="00931090" w:rsidP="00931090">
      <w:pPr>
        <w:rPr>
          <w:rFonts w:asciiTheme="minorHAnsi" w:hAnsiTheme="minorHAnsi" w:cstheme="minorHAnsi"/>
          <w:sz w:val="20"/>
          <w:szCs w:val="20"/>
          <w:lang w:val="es-EC"/>
        </w:rPr>
      </w:pPr>
      <w:r w:rsidRPr="00931090">
        <w:rPr>
          <w:rFonts w:asciiTheme="minorHAnsi" w:hAnsiTheme="minorHAnsi" w:cstheme="minorHAnsi"/>
          <w:sz w:val="20"/>
          <w:szCs w:val="20"/>
          <w:lang w:val="es-EC"/>
        </w:rPr>
        <w:t>FMAM</w:t>
      </w:r>
      <w:r>
        <w:rPr>
          <w:rFonts w:asciiTheme="minorHAnsi" w:hAnsiTheme="minorHAnsi" w:cstheme="minorHAnsi"/>
          <w:sz w:val="20"/>
          <w:szCs w:val="20"/>
          <w:lang w:val="es-EC"/>
        </w:rPr>
        <w:t xml:space="preserve"> - </w:t>
      </w:r>
      <w:r w:rsidRPr="00931090">
        <w:rPr>
          <w:rFonts w:asciiTheme="minorHAnsi" w:hAnsiTheme="minorHAnsi" w:cstheme="minorHAnsi"/>
          <w:sz w:val="20"/>
          <w:szCs w:val="20"/>
          <w:lang w:val="es-EC"/>
        </w:rPr>
        <w:t>Fondo para el Medio Ambiente Mundial (GEF – Global Environment Facility)</w:t>
      </w:r>
    </w:p>
    <w:p w14:paraId="466F2356" w14:textId="71D27EAC" w:rsidR="00A6040B" w:rsidRPr="00D830D9" w:rsidRDefault="00A6040B" w:rsidP="7CD6F03B">
      <w:pPr>
        <w:rPr>
          <w:rFonts w:asciiTheme="minorHAnsi" w:hAnsiTheme="minorHAnsi" w:cstheme="minorBidi"/>
          <w:sz w:val="20"/>
          <w:szCs w:val="20"/>
          <w:lang w:val="pt-BR"/>
        </w:rPr>
      </w:pPr>
      <w:r w:rsidRPr="7CD6F03B">
        <w:rPr>
          <w:rFonts w:asciiTheme="minorHAnsi" w:hAnsiTheme="minorHAnsi" w:cstheme="minorBidi"/>
          <w:sz w:val="20"/>
          <w:szCs w:val="20"/>
          <w:lang w:val="pt-BR"/>
        </w:rPr>
        <w:t xml:space="preserve">GEI - Gases de </w:t>
      </w:r>
      <w:proofErr w:type="spellStart"/>
      <w:r w:rsidRPr="7CD6F03B">
        <w:rPr>
          <w:rFonts w:asciiTheme="minorHAnsi" w:hAnsiTheme="minorHAnsi" w:cstheme="minorBidi"/>
          <w:sz w:val="20"/>
          <w:szCs w:val="20"/>
          <w:lang w:val="pt-BR"/>
        </w:rPr>
        <w:t>efecto</w:t>
      </w:r>
      <w:proofErr w:type="spellEnd"/>
      <w:r w:rsidRPr="7CD6F03B">
        <w:rPr>
          <w:rFonts w:asciiTheme="minorHAnsi" w:hAnsiTheme="minorHAnsi" w:cstheme="minorBidi"/>
          <w:sz w:val="20"/>
          <w:szCs w:val="20"/>
          <w:lang w:val="pt-BR"/>
        </w:rPr>
        <w:t xml:space="preserve"> </w:t>
      </w:r>
      <w:proofErr w:type="spellStart"/>
      <w:r w:rsidRPr="7CD6F03B">
        <w:rPr>
          <w:rFonts w:asciiTheme="minorHAnsi" w:hAnsiTheme="minorHAnsi" w:cstheme="minorBidi"/>
          <w:sz w:val="20"/>
          <w:szCs w:val="20"/>
          <w:lang w:val="pt-BR"/>
        </w:rPr>
        <w:t>invernadero</w:t>
      </w:r>
      <w:proofErr w:type="spellEnd"/>
      <w:r w:rsidRPr="7CD6F03B">
        <w:rPr>
          <w:rFonts w:asciiTheme="minorHAnsi" w:hAnsiTheme="minorHAnsi" w:cstheme="minorBidi"/>
          <w:sz w:val="20"/>
          <w:szCs w:val="20"/>
          <w:lang w:val="pt-BR"/>
        </w:rPr>
        <w:t xml:space="preserve"> </w:t>
      </w:r>
    </w:p>
    <w:p w14:paraId="30AB7D99"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SIG - Sistema de Información Geográfica</w:t>
      </w:r>
    </w:p>
    <w:p w14:paraId="3DFE2AE0"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GIZ - Agencia Alemana de Cooperación Internacional</w:t>
      </w:r>
    </w:p>
    <w:p w14:paraId="5ABFBA7A"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HIVOS - Instituto Humanista para la Cooperación con Países en Desarrollo</w:t>
      </w:r>
    </w:p>
    <w:p w14:paraId="0861B1C4" w14:textId="3F21BD50"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BID - Banco Interamericano de Desarrollo</w:t>
      </w:r>
    </w:p>
    <w:p w14:paraId="26ED5EB5"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IICA - Instituto Interamericano de Cooperación en Agricultura</w:t>
      </w:r>
    </w:p>
    <w:p w14:paraId="7B570990" w14:textId="14531465"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IKIAM - Universidad Regional Amaz</w:t>
      </w:r>
      <w:r w:rsidR="00737154" w:rsidRPr="7CD6F03B">
        <w:rPr>
          <w:rFonts w:asciiTheme="minorHAnsi" w:hAnsiTheme="minorHAnsi" w:cstheme="minorBidi"/>
          <w:sz w:val="20"/>
          <w:szCs w:val="20"/>
        </w:rPr>
        <w:t>ónica</w:t>
      </w:r>
      <w:r w:rsidRPr="7CD6F03B">
        <w:rPr>
          <w:rFonts w:asciiTheme="minorHAnsi" w:hAnsiTheme="minorHAnsi" w:cstheme="minorBidi"/>
          <w:sz w:val="20"/>
          <w:szCs w:val="20"/>
        </w:rPr>
        <w:t xml:space="preserve"> IKIAM</w:t>
      </w:r>
    </w:p>
    <w:p w14:paraId="5516C1E9"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INABIO - Instituto Nacional de Biodiversidad</w:t>
      </w:r>
    </w:p>
    <w:p w14:paraId="6519F75C" w14:textId="77777777" w:rsidR="00A6040B" w:rsidRPr="007E49E0" w:rsidRDefault="00A6040B" w:rsidP="00A6040B">
      <w:pPr>
        <w:rPr>
          <w:rFonts w:asciiTheme="minorHAnsi" w:hAnsiTheme="minorHAnsi" w:cstheme="minorHAnsi"/>
          <w:sz w:val="20"/>
          <w:szCs w:val="20"/>
          <w:lang w:val="es-EC"/>
        </w:rPr>
      </w:pPr>
      <w:r w:rsidRPr="007E49E0">
        <w:rPr>
          <w:rFonts w:asciiTheme="minorHAnsi" w:hAnsiTheme="minorHAnsi" w:cstheme="minorHAnsi"/>
          <w:sz w:val="20"/>
          <w:szCs w:val="20"/>
        </w:rPr>
        <w:t>INAMHI - Instituto Nacional de Meteorología e Hidrología</w:t>
      </w:r>
    </w:p>
    <w:p w14:paraId="30337DF5" w14:textId="47D64EF6" w:rsidR="00A6040B" w:rsidRPr="007E49E0" w:rsidRDefault="00C177A1" w:rsidP="7CD6F03B">
      <w:pPr>
        <w:rPr>
          <w:rFonts w:asciiTheme="minorHAnsi" w:hAnsiTheme="minorHAnsi" w:cstheme="minorBidi"/>
          <w:sz w:val="20"/>
          <w:szCs w:val="20"/>
          <w:lang w:val="es-EC"/>
        </w:rPr>
      </w:pPr>
      <w:r w:rsidRPr="007E49E0">
        <w:rPr>
          <w:rFonts w:asciiTheme="minorHAnsi" w:hAnsiTheme="minorHAnsi" w:cstheme="minorBidi"/>
          <w:sz w:val="20"/>
          <w:szCs w:val="20"/>
        </w:rPr>
        <w:t>FPMA</w:t>
      </w:r>
      <w:r w:rsidR="00A6040B" w:rsidRPr="007E49E0">
        <w:rPr>
          <w:rFonts w:asciiTheme="minorHAnsi" w:hAnsiTheme="minorHAnsi" w:cstheme="minorBidi"/>
          <w:sz w:val="20"/>
          <w:szCs w:val="20"/>
        </w:rPr>
        <w:t xml:space="preserve"> - Fondo para los Países Menos Adelantados</w:t>
      </w:r>
    </w:p>
    <w:p w14:paraId="4273EB4F" w14:textId="47AD2D39" w:rsidR="00A6040B" w:rsidRPr="00D830D9" w:rsidRDefault="00FC4EA1" w:rsidP="00A6040B">
      <w:pPr>
        <w:rPr>
          <w:rFonts w:asciiTheme="minorHAnsi" w:hAnsiTheme="minorHAnsi" w:cstheme="minorHAnsi"/>
          <w:sz w:val="20"/>
          <w:szCs w:val="20"/>
          <w:lang w:val="es-EC"/>
        </w:rPr>
      </w:pPr>
      <w:r w:rsidRPr="007E49E0">
        <w:rPr>
          <w:rFonts w:asciiTheme="minorHAnsi" w:hAnsiTheme="minorHAnsi" w:cstheme="minorHAnsi"/>
          <w:sz w:val="20"/>
          <w:szCs w:val="20"/>
        </w:rPr>
        <w:t>NDT</w:t>
      </w:r>
      <w:r w:rsidR="00A6040B" w:rsidRPr="007E49E0">
        <w:rPr>
          <w:rFonts w:asciiTheme="minorHAnsi" w:hAnsiTheme="minorHAnsi" w:cstheme="minorHAnsi"/>
          <w:sz w:val="20"/>
          <w:szCs w:val="20"/>
        </w:rPr>
        <w:t xml:space="preserve"> - Neutralidad en la Degradación </w:t>
      </w:r>
      <w:r w:rsidRPr="007E49E0">
        <w:rPr>
          <w:rFonts w:asciiTheme="minorHAnsi" w:hAnsiTheme="minorHAnsi" w:cstheme="minorHAnsi"/>
          <w:sz w:val="20"/>
          <w:szCs w:val="20"/>
        </w:rPr>
        <w:t>de la Tierra</w:t>
      </w:r>
    </w:p>
    <w:p w14:paraId="57F9EB28" w14:textId="265E7F17" w:rsidR="00FC4EA1" w:rsidRPr="00FC4EA1" w:rsidRDefault="00FC4EA1" w:rsidP="00FC4EA1">
      <w:pPr>
        <w:rPr>
          <w:rFonts w:asciiTheme="minorHAnsi" w:hAnsiTheme="minorHAnsi" w:cstheme="minorHAnsi"/>
          <w:sz w:val="20"/>
          <w:szCs w:val="20"/>
          <w:lang w:val="es-EC"/>
        </w:rPr>
      </w:pPr>
      <w:r w:rsidRPr="00FC4EA1">
        <w:rPr>
          <w:rFonts w:asciiTheme="minorHAnsi" w:hAnsiTheme="minorHAnsi" w:cstheme="minorHAnsi"/>
          <w:sz w:val="20"/>
          <w:szCs w:val="20"/>
          <w:lang w:val="es-EC"/>
        </w:rPr>
        <w:t>CA</w:t>
      </w:r>
      <w:r>
        <w:rPr>
          <w:rFonts w:asciiTheme="minorHAnsi" w:hAnsiTheme="minorHAnsi" w:cstheme="minorHAnsi"/>
          <w:sz w:val="20"/>
          <w:szCs w:val="20"/>
          <w:lang w:val="es-EC"/>
        </w:rPr>
        <w:t xml:space="preserve"> - </w:t>
      </w:r>
      <w:r w:rsidRPr="00FC4EA1">
        <w:rPr>
          <w:rFonts w:asciiTheme="minorHAnsi" w:hAnsiTheme="minorHAnsi" w:cstheme="minorHAnsi"/>
          <w:sz w:val="20"/>
          <w:szCs w:val="20"/>
          <w:lang w:val="es-EC"/>
        </w:rPr>
        <w:t xml:space="preserve">Carta de Acuerdo (LOA – </w:t>
      </w:r>
      <w:proofErr w:type="spellStart"/>
      <w:r w:rsidRPr="00FC4EA1">
        <w:rPr>
          <w:rFonts w:asciiTheme="minorHAnsi" w:hAnsiTheme="minorHAnsi" w:cstheme="minorHAnsi"/>
          <w:sz w:val="20"/>
          <w:szCs w:val="20"/>
          <w:lang w:val="es-EC"/>
        </w:rPr>
        <w:t>Letter</w:t>
      </w:r>
      <w:proofErr w:type="spellEnd"/>
      <w:r w:rsidRPr="00FC4EA1">
        <w:rPr>
          <w:rFonts w:asciiTheme="minorHAnsi" w:hAnsiTheme="minorHAnsi" w:cstheme="minorHAnsi"/>
          <w:sz w:val="20"/>
          <w:szCs w:val="20"/>
          <w:lang w:val="es-EC"/>
        </w:rPr>
        <w:t xml:space="preserve"> of Agreement)</w:t>
      </w:r>
    </w:p>
    <w:p w14:paraId="505E3325" w14:textId="59C24F0F" w:rsidR="00FC4EA1" w:rsidRPr="00D830D9" w:rsidRDefault="00FC4EA1" w:rsidP="00FC4EA1">
      <w:pPr>
        <w:rPr>
          <w:rFonts w:asciiTheme="minorHAnsi" w:hAnsiTheme="minorHAnsi" w:cstheme="minorHAnsi"/>
          <w:sz w:val="20"/>
          <w:szCs w:val="20"/>
          <w:lang w:val="es-EC"/>
        </w:rPr>
      </w:pPr>
      <w:r w:rsidRPr="00FC4EA1">
        <w:rPr>
          <w:rFonts w:asciiTheme="minorHAnsi" w:hAnsiTheme="minorHAnsi" w:cstheme="minorHAnsi"/>
          <w:sz w:val="20"/>
          <w:szCs w:val="20"/>
          <w:lang w:val="es-EC"/>
        </w:rPr>
        <w:t>SBV</w:t>
      </w:r>
      <w:r>
        <w:rPr>
          <w:rFonts w:asciiTheme="minorHAnsi" w:hAnsiTheme="minorHAnsi" w:cstheme="minorHAnsi"/>
          <w:sz w:val="20"/>
          <w:szCs w:val="20"/>
          <w:lang w:val="es-EC"/>
        </w:rPr>
        <w:t xml:space="preserve"> - </w:t>
      </w:r>
      <w:r w:rsidRPr="00FC4EA1">
        <w:rPr>
          <w:rFonts w:asciiTheme="minorHAnsi" w:hAnsiTheme="minorHAnsi" w:cstheme="minorHAnsi"/>
          <w:sz w:val="20"/>
          <w:szCs w:val="20"/>
          <w:lang w:val="es-EC"/>
        </w:rPr>
        <w:t>Subvención de Bajo Valor (LVG – Low Value Grant)</w:t>
      </w:r>
    </w:p>
    <w:p w14:paraId="4AD5158F" w14:textId="4B39DC05" w:rsidR="00A6040B" w:rsidRPr="00D830D9" w:rsidRDefault="009E221F" w:rsidP="7CD6F03B">
      <w:pPr>
        <w:rPr>
          <w:rFonts w:asciiTheme="minorHAnsi" w:hAnsiTheme="minorHAnsi" w:cstheme="minorBidi"/>
          <w:sz w:val="20"/>
          <w:szCs w:val="20"/>
          <w:lang w:val="es-EC"/>
        </w:rPr>
      </w:pPr>
      <w:r w:rsidRPr="7CD6F03B">
        <w:rPr>
          <w:rFonts w:asciiTheme="minorHAnsi" w:hAnsiTheme="minorHAnsi" w:cstheme="minorBidi"/>
          <w:sz w:val="20"/>
          <w:szCs w:val="20"/>
        </w:rPr>
        <w:t>MAE</w:t>
      </w:r>
      <w:r w:rsidR="00A6040B" w:rsidRPr="7CD6F03B">
        <w:rPr>
          <w:rFonts w:asciiTheme="minorHAnsi" w:hAnsiTheme="minorHAnsi" w:cstheme="minorBidi"/>
          <w:sz w:val="20"/>
          <w:szCs w:val="20"/>
        </w:rPr>
        <w:t xml:space="preserve"> - Ministerio de Ambiente</w:t>
      </w:r>
      <w:r w:rsidR="00737154" w:rsidRPr="7CD6F03B">
        <w:rPr>
          <w:rFonts w:asciiTheme="minorHAnsi" w:hAnsiTheme="minorHAnsi" w:cstheme="minorBidi"/>
          <w:sz w:val="20"/>
          <w:szCs w:val="20"/>
        </w:rPr>
        <w:t xml:space="preserve"> y Energía</w:t>
      </w:r>
    </w:p>
    <w:p w14:paraId="6BA8DA53" w14:textId="15903B79" w:rsidR="00A6040B" w:rsidRPr="00D830D9" w:rsidRDefault="009E221F" w:rsidP="7CD6F03B">
      <w:pPr>
        <w:rPr>
          <w:rFonts w:asciiTheme="minorHAnsi" w:hAnsiTheme="minorHAnsi" w:cstheme="minorBidi"/>
          <w:sz w:val="20"/>
          <w:szCs w:val="20"/>
          <w:lang w:val="es-EC"/>
        </w:rPr>
      </w:pPr>
      <w:r w:rsidRPr="7CD6F03B">
        <w:rPr>
          <w:rFonts w:asciiTheme="minorHAnsi" w:hAnsiTheme="minorHAnsi" w:cstheme="minorBidi"/>
          <w:sz w:val="20"/>
          <w:szCs w:val="20"/>
        </w:rPr>
        <w:t>MAGP</w:t>
      </w:r>
      <w:r w:rsidR="00A6040B" w:rsidRPr="7CD6F03B">
        <w:rPr>
          <w:rFonts w:asciiTheme="minorHAnsi" w:hAnsiTheme="minorHAnsi" w:cstheme="minorBidi"/>
          <w:sz w:val="20"/>
          <w:szCs w:val="20"/>
        </w:rPr>
        <w:t xml:space="preserve"> - Ministerio de Agricultura</w:t>
      </w:r>
      <w:r w:rsidR="00737154" w:rsidRPr="7CD6F03B">
        <w:rPr>
          <w:rFonts w:asciiTheme="minorHAnsi" w:hAnsiTheme="minorHAnsi" w:cstheme="minorBidi"/>
          <w:sz w:val="20"/>
          <w:szCs w:val="20"/>
        </w:rPr>
        <w:t>,</w:t>
      </w:r>
      <w:r w:rsidR="00A6040B" w:rsidRPr="7CD6F03B">
        <w:rPr>
          <w:rFonts w:asciiTheme="minorHAnsi" w:hAnsiTheme="minorHAnsi" w:cstheme="minorBidi"/>
          <w:sz w:val="20"/>
          <w:szCs w:val="20"/>
        </w:rPr>
        <w:t xml:space="preserve"> Ganadería</w:t>
      </w:r>
      <w:r w:rsidR="00737154" w:rsidRPr="7CD6F03B">
        <w:rPr>
          <w:rFonts w:asciiTheme="minorHAnsi" w:hAnsiTheme="minorHAnsi" w:cstheme="minorBidi"/>
          <w:sz w:val="20"/>
          <w:szCs w:val="20"/>
        </w:rPr>
        <w:t xml:space="preserve"> y Pesca</w:t>
      </w:r>
    </w:p>
    <w:p w14:paraId="47CC9804"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MEF - Ministerio de Economía y Finanzas</w:t>
      </w:r>
    </w:p>
    <w:p w14:paraId="0EF0A0A8"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MRV - Medición, Reporte y Verificación</w:t>
      </w:r>
    </w:p>
    <w:p w14:paraId="40500048" w14:textId="7E1024C0"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PNA</w:t>
      </w:r>
      <w:r w:rsidR="00A6040B" w:rsidRPr="7CD6F03B">
        <w:rPr>
          <w:rFonts w:asciiTheme="minorHAnsi" w:hAnsiTheme="minorHAnsi" w:cstheme="minorBidi"/>
          <w:sz w:val="20"/>
          <w:szCs w:val="20"/>
        </w:rPr>
        <w:t xml:space="preserve"> - Plan Nacional de Adaptación</w:t>
      </w:r>
    </w:p>
    <w:p w14:paraId="052FAF47" w14:textId="1CC0A2F7"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NBSAP - Estrategia y Plan de Acción Nacional para la Biodiversidad</w:t>
      </w:r>
    </w:p>
    <w:p w14:paraId="1163DD89" w14:textId="77777777" w:rsidR="00A6040B" w:rsidRPr="007E49E0" w:rsidRDefault="00A6040B" w:rsidP="00A6040B">
      <w:pPr>
        <w:rPr>
          <w:rFonts w:asciiTheme="minorHAnsi" w:hAnsiTheme="minorHAnsi" w:cstheme="minorHAnsi"/>
          <w:sz w:val="20"/>
          <w:szCs w:val="20"/>
          <w:lang w:val="es-EC"/>
        </w:rPr>
      </w:pPr>
      <w:r w:rsidRPr="007E49E0">
        <w:rPr>
          <w:rFonts w:asciiTheme="minorHAnsi" w:hAnsiTheme="minorHAnsi" w:cstheme="minorHAnsi"/>
          <w:sz w:val="20"/>
          <w:szCs w:val="20"/>
        </w:rPr>
        <w:t>NCI - Naturaleza y Cultura Internacional</w:t>
      </w:r>
    </w:p>
    <w:p w14:paraId="3F3680B9" w14:textId="5538204F" w:rsidR="00A6040B" w:rsidRPr="007E49E0" w:rsidRDefault="00C177A1" w:rsidP="7CD6F03B">
      <w:pPr>
        <w:rPr>
          <w:rFonts w:asciiTheme="minorHAnsi" w:hAnsiTheme="minorHAnsi" w:cstheme="minorBidi"/>
          <w:sz w:val="20"/>
          <w:szCs w:val="20"/>
          <w:lang w:val="es-EC"/>
        </w:rPr>
      </w:pPr>
      <w:r w:rsidRPr="007E49E0">
        <w:rPr>
          <w:rFonts w:asciiTheme="minorHAnsi" w:hAnsiTheme="minorHAnsi" w:cstheme="minorBidi"/>
          <w:sz w:val="20"/>
          <w:szCs w:val="20"/>
        </w:rPr>
        <w:t>ECN</w:t>
      </w:r>
      <w:r w:rsidR="00A6040B" w:rsidRPr="007E49E0">
        <w:rPr>
          <w:rFonts w:asciiTheme="minorHAnsi" w:hAnsiTheme="minorHAnsi" w:cstheme="minorBidi"/>
          <w:sz w:val="20"/>
          <w:szCs w:val="20"/>
        </w:rPr>
        <w:t xml:space="preserve"> - </w:t>
      </w:r>
      <w:r w:rsidRPr="007E49E0">
        <w:rPr>
          <w:rFonts w:asciiTheme="minorHAnsi" w:hAnsiTheme="minorHAnsi" w:cstheme="minorBidi"/>
          <w:sz w:val="20"/>
          <w:szCs w:val="20"/>
        </w:rPr>
        <w:t>Evaluación de Capacidades Nacionales</w:t>
      </w:r>
    </w:p>
    <w:p w14:paraId="28F51CA3" w14:textId="77777777" w:rsidR="00A6040B" w:rsidRPr="00D830D9" w:rsidRDefault="00A6040B" w:rsidP="00A6040B">
      <w:pPr>
        <w:rPr>
          <w:rFonts w:asciiTheme="minorHAnsi" w:hAnsiTheme="minorHAnsi" w:cstheme="minorHAnsi"/>
          <w:sz w:val="20"/>
          <w:szCs w:val="20"/>
          <w:lang w:val="es-EC"/>
        </w:rPr>
      </w:pPr>
      <w:r w:rsidRPr="007E49E0">
        <w:rPr>
          <w:rFonts w:asciiTheme="minorHAnsi" w:hAnsiTheme="minorHAnsi" w:cstheme="minorHAnsi"/>
          <w:sz w:val="20"/>
          <w:szCs w:val="20"/>
        </w:rPr>
        <w:t>NDC - Contribuciones Determinadas a nivel nacional</w:t>
      </w:r>
    </w:p>
    <w:p w14:paraId="5E58747A"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ONG - Organización no gubernamental</w:t>
      </w:r>
    </w:p>
    <w:p w14:paraId="2032F523" w14:textId="421913EA"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SENADI</w:t>
      </w:r>
      <w:r w:rsidR="00A6040B" w:rsidRPr="7CD6F03B">
        <w:rPr>
          <w:rFonts w:asciiTheme="minorHAnsi" w:hAnsiTheme="minorHAnsi" w:cstheme="minorBidi"/>
          <w:sz w:val="20"/>
          <w:szCs w:val="20"/>
        </w:rPr>
        <w:t xml:space="preserve"> - Servicio Nacional por los Derechos Intelectuales </w:t>
      </w:r>
    </w:p>
    <w:p w14:paraId="02E414CB" w14:textId="3ABDACEB"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PFNM</w:t>
      </w:r>
      <w:r w:rsidR="00A6040B" w:rsidRPr="7CD6F03B">
        <w:rPr>
          <w:rFonts w:asciiTheme="minorHAnsi" w:hAnsiTheme="minorHAnsi" w:cstheme="minorBidi"/>
          <w:sz w:val="20"/>
          <w:szCs w:val="20"/>
        </w:rPr>
        <w:t xml:space="preserve"> - Productos Forestales No Mader</w:t>
      </w:r>
      <w:r w:rsidRPr="7CD6F03B">
        <w:rPr>
          <w:rFonts w:asciiTheme="minorHAnsi" w:hAnsiTheme="minorHAnsi" w:cstheme="minorBidi"/>
          <w:sz w:val="20"/>
          <w:szCs w:val="20"/>
        </w:rPr>
        <w:t>ables</w:t>
      </w:r>
    </w:p>
    <w:p w14:paraId="6BD535A0" w14:textId="1202A964" w:rsidR="000D331F" w:rsidRPr="000D331F" w:rsidRDefault="000D331F" w:rsidP="000D331F">
      <w:pPr>
        <w:rPr>
          <w:rFonts w:asciiTheme="minorHAnsi" w:hAnsiTheme="minorHAnsi" w:cstheme="minorHAnsi"/>
          <w:sz w:val="20"/>
          <w:szCs w:val="20"/>
          <w:lang w:val="es-EC"/>
        </w:rPr>
      </w:pPr>
      <w:r w:rsidRPr="000D331F">
        <w:rPr>
          <w:rFonts w:asciiTheme="minorHAnsi" w:hAnsiTheme="minorHAnsi" w:cstheme="minorHAnsi"/>
          <w:sz w:val="20"/>
          <w:szCs w:val="20"/>
          <w:lang w:val="es-EC"/>
        </w:rPr>
        <w:t>FIP</w:t>
      </w:r>
      <w:r>
        <w:rPr>
          <w:rFonts w:asciiTheme="minorHAnsi" w:hAnsiTheme="minorHAnsi" w:cstheme="minorHAnsi"/>
          <w:sz w:val="20"/>
          <w:szCs w:val="20"/>
          <w:lang w:val="es-EC"/>
        </w:rPr>
        <w:t xml:space="preserve"> - </w:t>
      </w:r>
      <w:r w:rsidRPr="000D331F">
        <w:rPr>
          <w:rFonts w:asciiTheme="minorHAnsi" w:hAnsiTheme="minorHAnsi" w:cstheme="minorHAnsi"/>
          <w:sz w:val="20"/>
          <w:szCs w:val="20"/>
          <w:lang w:val="es-EC"/>
        </w:rPr>
        <w:t xml:space="preserve">Formulario de Identificación del Proyecto (PIF – Project Identification </w:t>
      </w:r>
      <w:proofErr w:type="spellStart"/>
      <w:r w:rsidRPr="000D331F">
        <w:rPr>
          <w:rFonts w:asciiTheme="minorHAnsi" w:hAnsiTheme="minorHAnsi" w:cstheme="minorHAnsi"/>
          <w:sz w:val="20"/>
          <w:szCs w:val="20"/>
          <w:lang w:val="es-EC"/>
        </w:rPr>
        <w:t>Form</w:t>
      </w:r>
      <w:proofErr w:type="spellEnd"/>
      <w:r w:rsidRPr="000D331F">
        <w:rPr>
          <w:rFonts w:asciiTheme="minorHAnsi" w:hAnsiTheme="minorHAnsi" w:cstheme="minorHAnsi"/>
          <w:sz w:val="20"/>
          <w:szCs w:val="20"/>
          <w:lang w:val="es-EC"/>
        </w:rPr>
        <w:t>)</w:t>
      </w:r>
    </w:p>
    <w:p w14:paraId="6D77194F" w14:textId="4D870858" w:rsidR="000D331F" w:rsidRPr="000D331F" w:rsidRDefault="000D331F" w:rsidP="000D331F">
      <w:pPr>
        <w:rPr>
          <w:rFonts w:asciiTheme="minorHAnsi" w:hAnsiTheme="minorHAnsi" w:cstheme="minorHAnsi"/>
          <w:sz w:val="20"/>
          <w:szCs w:val="20"/>
          <w:lang w:val="es-EC"/>
        </w:rPr>
      </w:pPr>
      <w:r w:rsidRPr="000D331F">
        <w:rPr>
          <w:rFonts w:asciiTheme="minorHAnsi" w:hAnsiTheme="minorHAnsi" w:cstheme="minorHAnsi"/>
          <w:sz w:val="20"/>
          <w:szCs w:val="20"/>
          <w:lang w:val="es-EC"/>
        </w:rPr>
        <w:t>SGIP</w:t>
      </w:r>
      <w:r>
        <w:rPr>
          <w:rFonts w:asciiTheme="minorHAnsi" w:hAnsiTheme="minorHAnsi" w:cstheme="minorHAnsi"/>
          <w:sz w:val="20"/>
          <w:szCs w:val="20"/>
          <w:lang w:val="es-EC"/>
        </w:rPr>
        <w:t xml:space="preserve"> - </w:t>
      </w:r>
      <w:r w:rsidRPr="000D331F">
        <w:rPr>
          <w:rFonts w:asciiTheme="minorHAnsi" w:hAnsiTheme="minorHAnsi" w:cstheme="minorHAnsi"/>
          <w:sz w:val="20"/>
          <w:szCs w:val="20"/>
          <w:lang w:val="es-EC"/>
        </w:rPr>
        <w:t xml:space="preserve">Sistema de Gestión de Información de Proyectos (PIMS – Project </w:t>
      </w:r>
      <w:proofErr w:type="spellStart"/>
      <w:r w:rsidRPr="000D331F">
        <w:rPr>
          <w:rFonts w:asciiTheme="minorHAnsi" w:hAnsiTheme="minorHAnsi" w:cstheme="minorHAnsi"/>
          <w:sz w:val="20"/>
          <w:szCs w:val="20"/>
          <w:lang w:val="es-EC"/>
        </w:rPr>
        <w:t>Information</w:t>
      </w:r>
      <w:proofErr w:type="spellEnd"/>
      <w:r w:rsidRPr="000D331F">
        <w:rPr>
          <w:rFonts w:asciiTheme="minorHAnsi" w:hAnsiTheme="minorHAnsi" w:cstheme="minorHAnsi"/>
          <w:sz w:val="20"/>
          <w:szCs w:val="20"/>
          <w:lang w:val="es-EC"/>
        </w:rPr>
        <w:t xml:space="preserve"> Management </w:t>
      </w:r>
      <w:proofErr w:type="spellStart"/>
      <w:r w:rsidRPr="000D331F">
        <w:rPr>
          <w:rFonts w:asciiTheme="minorHAnsi" w:hAnsiTheme="minorHAnsi" w:cstheme="minorHAnsi"/>
          <w:sz w:val="20"/>
          <w:szCs w:val="20"/>
          <w:lang w:val="es-EC"/>
        </w:rPr>
        <w:t>System</w:t>
      </w:r>
      <w:proofErr w:type="spellEnd"/>
      <w:r w:rsidRPr="000D331F">
        <w:rPr>
          <w:rFonts w:asciiTheme="minorHAnsi" w:hAnsiTheme="minorHAnsi" w:cstheme="minorHAnsi"/>
          <w:sz w:val="20"/>
          <w:szCs w:val="20"/>
          <w:lang w:val="es-EC"/>
        </w:rPr>
        <w:t>)</w:t>
      </w:r>
    </w:p>
    <w:p w14:paraId="61210531" w14:textId="12A61450" w:rsidR="000D331F" w:rsidRPr="00D830D9" w:rsidRDefault="000D331F" w:rsidP="000D331F">
      <w:pPr>
        <w:rPr>
          <w:rFonts w:asciiTheme="minorHAnsi" w:hAnsiTheme="minorHAnsi" w:cstheme="minorHAnsi"/>
          <w:sz w:val="20"/>
          <w:szCs w:val="20"/>
          <w:lang w:val="es-EC"/>
        </w:rPr>
      </w:pPr>
      <w:r w:rsidRPr="000D331F">
        <w:rPr>
          <w:rFonts w:asciiTheme="minorHAnsi" w:hAnsiTheme="minorHAnsi" w:cstheme="minorHAnsi"/>
          <w:sz w:val="20"/>
          <w:szCs w:val="20"/>
          <w:lang w:val="es-EC"/>
        </w:rPr>
        <w:t>SPP</w:t>
      </w:r>
      <w:r>
        <w:rPr>
          <w:rFonts w:asciiTheme="minorHAnsi" w:hAnsiTheme="minorHAnsi" w:cstheme="minorHAnsi"/>
          <w:sz w:val="20"/>
          <w:szCs w:val="20"/>
          <w:lang w:val="es-EC"/>
        </w:rPr>
        <w:t xml:space="preserve"> - </w:t>
      </w:r>
      <w:r w:rsidRPr="000D331F">
        <w:rPr>
          <w:rFonts w:asciiTheme="minorHAnsi" w:hAnsiTheme="minorHAnsi" w:cstheme="minorHAnsi"/>
          <w:sz w:val="20"/>
          <w:szCs w:val="20"/>
          <w:lang w:val="es-EC"/>
        </w:rPr>
        <w:t>Subvención para la Preparación del Proyecto (PPG – Project Preparation Grant)</w:t>
      </w:r>
    </w:p>
    <w:p w14:paraId="084E947D"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REDD+ - Reducción de emisiones derivadas de la deforestación y la degradación forestal</w:t>
      </w:r>
    </w:p>
    <w:p w14:paraId="49A3246D" w14:textId="4EE36C11"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PA</w:t>
      </w:r>
      <w:r w:rsidR="00A6040B" w:rsidRPr="7CD6F03B">
        <w:rPr>
          <w:rFonts w:asciiTheme="minorHAnsi" w:hAnsiTheme="minorHAnsi" w:cstheme="minorBidi"/>
          <w:sz w:val="20"/>
          <w:szCs w:val="20"/>
        </w:rPr>
        <w:t>REDD+ - Plan de Acción REDD+</w:t>
      </w:r>
    </w:p>
    <w:p w14:paraId="12B9391A" w14:textId="71B3E730"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 xml:space="preserve">ODS - Objetivos de Desarrollo Sostenible </w:t>
      </w:r>
    </w:p>
    <w:p w14:paraId="66D04334" w14:textId="37EA3D06"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MFS</w:t>
      </w:r>
      <w:r w:rsidR="00A6040B" w:rsidRPr="7CD6F03B">
        <w:rPr>
          <w:rFonts w:asciiTheme="minorHAnsi" w:hAnsiTheme="minorHAnsi" w:cstheme="minorBidi"/>
          <w:sz w:val="20"/>
          <w:szCs w:val="20"/>
        </w:rPr>
        <w:t xml:space="preserve"> - </w:t>
      </w:r>
      <w:r w:rsidRPr="7CD6F03B">
        <w:rPr>
          <w:rFonts w:asciiTheme="minorHAnsi" w:hAnsiTheme="minorHAnsi" w:cstheme="minorBidi"/>
          <w:sz w:val="20"/>
          <w:szCs w:val="20"/>
        </w:rPr>
        <w:t>Manejo</w:t>
      </w:r>
      <w:r w:rsidR="00A6040B" w:rsidRPr="7CD6F03B">
        <w:rPr>
          <w:rFonts w:asciiTheme="minorHAnsi" w:hAnsiTheme="minorHAnsi" w:cstheme="minorBidi"/>
          <w:sz w:val="20"/>
          <w:szCs w:val="20"/>
        </w:rPr>
        <w:t xml:space="preserve"> Forestal Sostenible </w:t>
      </w:r>
    </w:p>
    <w:p w14:paraId="5EAF1AE6"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t>SIGMA - Sistema de Gestión Ambiental e Información</w:t>
      </w:r>
    </w:p>
    <w:p w14:paraId="7EA7D0CD" w14:textId="77777777" w:rsidR="00A6040B" w:rsidRPr="00D830D9" w:rsidRDefault="00A6040B" w:rsidP="00A6040B">
      <w:pPr>
        <w:rPr>
          <w:rFonts w:asciiTheme="minorHAnsi" w:hAnsiTheme="minorHAnsi" w:cstheme="minorHAnsi"/>
          <w:sz w:val="20"/>
          <w:szCs w:val="20"/>
          <w:lang w:val="es-EC"/>
        </w:rPr>
      </w:pPr>
      <w:r w:rsidRPr="00A51E75">
        <w:rPr>
          <w:rFonts w:asciiTheme="minorHAnsi" w:hAnsiTheme="minorHAnsi" w:cstheme="minorHAnsi"/>
          <w:sz w:val="20"/>
          <w:szCs w:val="20"/>
        </w:rPr>
        <w:lastRenderedPageBreak/>
        <w:t>SIS - Sistema de Información de Salvaguardas</w:t>
      </w:r>
    </w:p>
    <w:p w14:paraId="07025438" w14:textId="028C81CE" w:rsidR="00A6040B" w:rsidRPr="00D830D9" w:rsidRDefault="00A6040B" w:rsidP="7CD6F03B">
      <w:pPr>
        <w:rPr>
          <w:rFonts w:asciiTheme="minorHAnsi" w:hAnsiTheme="minorHAnsi" w:cstheme="minorBidi"/>
          <w:sz w:val="20"/>
          <w:szCs w:val="20"/>
          <w:lang w:val="pt-BR"/>
        </w:rPr>
      </w:pPr>
      <w:r w:rsidRPr="7CD6F03B">
        <w:rPr>
          <w:rFonts w:asciiTheme="minorHAnsi" w:hAnsiTheme="minorHAnsi" w:cstheme="minorBidi"/>
          <w:sz w:val="20"/>
          <w:szCs w:val="20"/>
          <w:lang w:val="pt-BR"/>
        </w:rPr>
        <w:t>SN</w:t>
      </w:r>
      <w:r w:rsidR="00712EF4" w:rsidRPr="7CD6F03B">
        <w:rPr>
          <w:rFonts w:asciiTheme="minorHAnsi" w:hAnsiTheme="minorHAnsi" w:cstheme="minorBidi"/>
          <w:sz w:val="20"/>
          <w:szCs w:val="20"/>
          <w:lang w:val="pt-BR"/>
        </w:rPr>
        <w:t>A</w:t>
      </w:r>
      <w:r w:rsidRPr="7CD6F03B">
        <w:rPr>
          <w:rFonts w:asciiTheme="minorHAnsi" w:hAnsiTheme="minorHAnsi" w:cstheme="minorBidi"/>
          <w:sz w:val="20"/>
          <w:szCs w:val="20"/>
          <w:lang w:val="pt-BR"/>
        </w:rPr>
        <w:t>P - Sistema Nacional de Áreas Protegidas</w:t>
      </w:r>
    </w:p>
    <w:p w14:paraId="7F6592AD" w14:textId="46925014"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 xml:space="preserve">ONU </w:t>
      </w:r>
      <w:r w:rsidR="00712EF4" w:rsidRPr="7CD6F03B">
        <w:rPr>
          <w:rFonts w:asciiTheme="minorHAnsi" w:hAnsiTheme="minorHAnsi" w:cstheme="minorBidi"/>
          <w:sz w:val="20"/>
          <w:szCs w:val="20"/>
        </w:rPr>
        <w:t>–</w:t>
      </w:r>
      <w:r w:rsidRPr="7CD6F03B">
        <w:rPr>
          <w:rFonts w:asciiTheme="minorHAnsi" w:hAnsiTheme="minorHAnsi" w:cstheme="minorBidi"/>
          <w:sz w:val="20"/>
          <w:szCs w:val="20"/>
        </w:rPr>
        <w:t xml:space="preserve"> </w:t>
      </w:r>
      <w:r w:rsidR="00712EF4" w:rsidRPr="7CD6F03B">
        <w:rPr>
          <w:rFonts w:asciiTheme="minorHAnsi" w:hAnsiTheme="minorHAnsi" w:cstheme="minorBidi"/>
          <w:sz w:val="20"/>
          <w:szCs w:val="20"/>
        </w:rPr>
        <w:t xml:space="preserve">Organización de </w:t>
      </w:r>
      <w:r w:rsidRPr="7CD6F03B">
        <w:rPr>
          <w:rFonts w:asciiTheme="minorHAnsi" w:hAnsiTheme="minorHAnsi" w:cstheme="minorBidi"/>
          <w:sz w:val="20"/>
          <w:szCs w:val="20"/>
        </w:rPr>
        <w:t>Naciones Unidas</w:t>
      </w:r>
    </w:p>
    <w:p w14:paraId="76B8E8BC" w14:textId="7B9235A9" w:rsidR="00A6040B" w:rsidRPr="00D830D9" w:rsidRDefault="000D331F" w:rsidP="00A6040B">
      <w:pPr>
        <w:rPr>
          <w:rFonts w:asciiTheme="minorHAnsi" w:hAnsiTheme="minorHAnsi" w:cstheme="minorHAnsi"/>
          <w:sz w:val="20"/>
          <w:szCs w:val="20"/>
          <w:lang w:val="es-EC"/>
        </w:rPr>
      </w:pPr>
      <w:r>
        <w:rPr>
          <w:rFonts w:asciiTheme="minorHAnsi" w:hAnsiTheme="minorHAnsi" w:cstheme="minorHAnsi"/>
          <w:sz w:val="20"/>
          <w:szCs w:val="20"/>
        </w:rPr>
        <w:t>CNULD</w:t>
      </w:r>
      <w:r w:rsidR="00A6040B" w:rsidRPr="00A51E75">
        <w:rPr>
          <w:rFonts w:asciiTheme="minorHAnsi" w:hAnsiTheme="minorHAnsi" w:cstheme="minorHAnsi"/>
          <w:sz w:val="20"/>
          <w:szCs w:val="20"/>
        </w:rPr>
        <w:t xml:space="preserve"> - Convención de las Naciones Unidas para Combatir la Desertificación</w:t>
      </w:r>
    </w:p>
    <w:p w14:paraId="689D1E09" w14:textId="0395CC70"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PNUD - Programa de las Naciones Unidas para el Desarrollo</w:t>
      </w:r>
    </w:p>
    <w:p w14:paraId="1521F5BA" w14:textId="5F8361D5" w:rsidR="00A6040B" w:rsidRPr="00D830D9" w:rsidRDefault="00A6040B" w:rsidP="7CD6F03B">
      <w:pPr>
        <w:rPr>
          <w:rFonts w:asciiTheme="minorHAnsi" w:hAnsiTheme="minorHAnsi" w:cstheme="minorBidi"/>
          <w:sz w:val="20"/>
          <w:szCs w:val="20"/>
          <w:lang w:val="es-EC"/>
        </w:rPr>
      </w:pPr>
      <w:r w:rsidRPr="7CD6F03B">
        <w:rPr>
          <w:rFonts w:asciiTheme="minorHAnsi" w:hAnsiTheme="minorHAnsi" w:cstheme="minorBidi"/>
          <w:sz w:val="20"/>
          <w:szCs w:val="20"/>
        </w:rPr>
        <w:t>CMNUCC - Convención Marco de las Naciones Unidas sobre el Cambio Climático</w:t>
      </w:r>
    </w:p>
    <w:p w14:paraId="52DC9D30" w14:textId="77777777" w:rsidR="00A6040B" w:rsidRPr="00D830D9" w:rsidRDefault="00A6040B" w:rsidP="00A6040B">
      <w:pPr>
        <w:rPr>
          <w:rFonts w:asciiTheme="minorHAnsi" w:hAnsiTheme="minorHAnsi" w:cstheme="minorHAnsi"/>
          <w:sz w:val="20"/>
          <w:szCs w:val="20"/>
          <w:lang w:val="es-EC"/>
        </w:rPr>
      </w:pPr>
      <w:r w:rsidRPr="00C15440">
        <w:rPr>
          <w:rFonts w:asciiTheme="minorHAnsi" w:hAnsiTheme="minorHAnsi" w:cstheme="minorHAnsi"/>
          <w:sz w:val="20"/>
          <w:szCs w:val="20"/>
        </w:rPr>
        <w:t>USFQ - Universidad de San Francisco de Quito</w:t>
      </w:r>
    </w:p>
    <w:p w14:paraId="29AFFC50" w14:textId="2533D64C" w:rsidR="00CB0C5A" w:rsidRPr="00CB0C5A" w:rsidRDefault="00CB0C5A" w:rsidP="00CB0C5A">
      <w:pPr>
        <w:rPr>
          <w:rFonts w:asciiTheme="minorHAnsi" w:hAnsiTheme="minorHAnsi" w:cstheme="minorHAnsi"/>
          <w:sz w:val="20"/>
          <w:szCs w:val="20"/>
          <w:lang w:val="es-EC"/>
        </w:rPr>
      </w:pPr>
      <w:r w:rsidRPr="00CB0C5A">
        <w:rPr>
          <w:rFonts w:asciiTheme="minorHAnsi" w:hAnsiTheme="minorHAnsi" w:cstheme="minorHAnsi"/>
          <w:sz w:val="20"/>
          <w:szCs w:val="20"/>
          <w:lang w:val="es-EC"/>
        </w:rPr>
        <w:t>SCVS</w:t>
      </w:r>
      <w:r>
        <w:rPr>
          <w:rFonts w:asciiTheme="minorHAnsi" w:hAnsiTheme="minorHAnsi" w:cstheme="minorHAnsi"/>
          <w:sz w:val="20"/>
          <w:szCs w:val="20"/>
          <w:lang w:val="es-EC"/>
        </w:rPr>
        <w:t xml:space="preserve"> - </w:t>
      </w:r>
      <w:r w:rsidRPr="00CB0C5A">
        <w:rPr>
          <w:rFonts w:asciiTheme="minorHAnsi" w:hAnsiTheme="minorHAnsi" w:cstheme="minorHAnsi"/>
          <w:sz w:val="20"/>
          <w:szCs w:val="20"/>
          <w:lang w:val="es-EC"/>
        </w:rPr>
        <w:t xml:space="preserve">Sociedad para la Conservación de la Vida Silvestre (WCS – </w:t>
      </w:r>
      <w:proofErr w:type="spellStart"/>
      <w:r w:rsidRPr="00CB0C5A">
        <w:rPr>
          <w:rFonts w:asciiTheme="minorHAnsi" w:hAnsiTheme="minorHAnsi" w:cstheme="minorHAnsi"/>
          <w:sz w:val="20"/>
          <w:szCs w:val="20"/>
          <w:lang w:val="es-EC"/>
        </w:rPr>
        <w:t>Wildlife</w:t>
      </w:r>
      <w:proofErr w:type="spellEnd"/>
      <w:r w:rsidRPr="00CB0C5A">
        <w:rPr>
          <w:rFonts w:asciiTheme="minorHAnsi" w:hAnsiTheme="minorHAnsi" w:cstheme="minorHAnsi"/>
          <w:sz w:val="20"/>
          <w:szCs w:val="20"/>
          <w:lang w:val="es-EC"/>
        </w:rPr>
        <w:t xml:space="preserve"> </w:t>
      </w:r>
      <w:proofErr w:type="spellStart"/>
      <w:r w:rsidRPr="00CB0C5A">
        <w:rPr>
          <w:rFonts w:asciiTheme="minorHAnsi" w:hAnsiTheme="minorHAnsi" w:cstheme="minorHAnsi"/>
          <w:sz w:val="20"/>
          <w:szCs w:val="20"/>
          <w:lang w:val="es-EC"/>
        </w:rPr>
        <w:t>Conservation</w:t>
      </w:r>
      <w:proofErr w:type="spellEnd"/>
      <w:r w:rsidRPr="00CB0C5A">
        <w:rPr>
          <w:rFonts w:asciiTheme="minorHAnsi" w:hAnsiTheme="minorHAnsi" w:cstheme="minorHAnsi"/>
          <w:sz w:val="20"/>
          <w:szCs w:val="20"/>
          <w:lang w:val="es-EC"/>
        </w:rPr>
        <w:t xml:space="preserve"> Society)</w:t>
      </w:r>
    </w:p>
    <w:p w14:paraId="7CD41CF4" w14:textId="62BCFF64"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APH</w:t>
      </w:r>
      <w:r w:rsidR="00A6040B" w:rsidRPr="7CD6F03B">
        <w:rPr>
          <w:rFonts w:asciiTheme="minorHAnsi" w:hAnsiTheme="minorHAnsi" w:cstheme="minorBidi"/>
          <w:sz w:val="20"/>
          <w:szCs w:val="20"/>
        </w:rPr>
        <w:t xml:space="preserve"> - Área de Protección </w:t>
      </w:r>
      <w:r w:rsidRPr="7CD6F03B">
        <w:rPr>
          <w:rFonts w:asciiTheme="minorHAnsi" w:hAnsiTheme="minorHAnsi" w:cstheme="minorBidi"/>
          <w:sz w:val="20"/>
          <w:szCs w:val="20"/>
        </w:rPr>
        <w:t>Hídrica</w:t>
      </w:r>
    </w:p>
    <w:p w14:paraId="597387B4" w14:textId="764961DD" w:rsidR="000B3D48" w:rsidRDefault="00712EF4" w:rsidP="7CD6F03B">
      <w:pPr>
        <w:rPr>
          <w:rFonts w:asciiTheme="minorHAnsi" w:hAnsiTheme="minorHAnsi" w:cstheme="minorBidi"/>
          <w:sz w:val="20"/>
          <w:szCs w:val="20"/>
        </w:rPr>
      </w:pPr>
      <w:r w:rsidRPr="7CD6F03B">
        <w:rPr>
          <w:rFonts w:asciiTheme="minorHAnsi" w:hAnsiTheme="minorHAnsi" w:cstheme="minorBidi"/>
          <w:sz w:val="20"/>
          <w:szCs w:val="20"/>
        </w:rPr>
        <w:t>FONAG</w:t>
      </w:r>
      <w:r w:rsidR="00A6040B" w:rsidRPr="7CD6F03B">
        <w:rPr>
          <w:rFonts w:asciiTheme="minorHAnsi" w:hAnsiTheme="minorHAnsi" w:cstheme="minorBidi"/>
          <w:sz w:val="20"/>
          <w:szCs w:val="20"/>
        </w:rPr>
        <w:t xml:space="preserve"> - Fondo </w:t>
      </w:r>
      <w:r w:rsidR="000B3D48">
        <w:rPr>
          <w:rFonts w:asciiTheme="minorHAnsi" w:hAnsiTheme="minorHAnsi" w:cstheme="minorBidi"/>
          <w:sz w:val="20"/>
          <w:szCs w:val="20"/>
        </w:rPr>
        <w:t>para la</w:t>
      </w:r>
      <w:r w:rsidR="00A6040B" w:rsidRPr="7CD6F03B">
        <w:rPr>
          <w:rFonts w:asciiTheme="minorHAnsi" w:hAnsiTheme="minorHAnsi" w:cstheme="minorBidi"/>
          <w:sz w:val="20"/>
          <w:szCs w:val="20"/>
        </w:rPr>
        <w:t xml:space="preserve"> Protección del Agua</w:t>
      </w:r>
      <w:r w:rsidRPr="7CD6F03B">
        <w:rPr>
          <w:rFonts w:asciiTheme="minorHAnsi" w:hAnsiTheme="minorHAnsi" w:cstheme="minorBidi"/>
          <w:sz w:val="20"/>
          <w:szCs w:val="20"/>
        </w:rPr>
        <w:t xml:space="preserve"> </w:t>
      </w:r>
    </w:p>
    <w:p w14:paraId="56238375" w14:textId="620E4B81" w:rsidR="00A6040B" w:rsidRPr="00D830D9" w:rsidRDefault="00712EF4" w:rsidP="7CD6F03B">
      <w:pPr>
        <w:rPr>
          <w:rFonts w:asciiTheme="minorHAnsi" w:hAnsiTheme="minorHAnsi" w:cstheme="minorBidi"/>
          <w:sz w:val="20"/>
          <w:szCs w:val="20"/>
          <w:lang w:val="es-EC"/>
        </w:rPr>
      </w:pPr>
      <w:r w:rsidRPr="7CD6F03B">
        <w:rPr>
          <w:rFonts w:asciiTheme="minorHAnsi" w:hAnsiTheme="minorHAnsi" w:cstheme="minorBidi"/>
          <w:sz w:val="20"/>
          <w:szCs w:val="20"/>
        </w:rPr>
        <w:t>ZPH</w:t>
      </w:r>
      <w:r w:rsidR="00A6040B" w:rsidRPr="7CD6F03B">
        <w:rPr>
          <w:rFonts w:asciiTheme="minorHAnsi" w:hAnsiTheme="minorHAnsi" w:cstheme="minorBidi"/>
          <w:sz w:val="20"/>
          <w:szCs w:val="20"/>
        </w:rPr>
        <w:t xml:space="preserve"> - Zona de Protección </w:t>
      </w:r>
      <w:r w:rsidRPr="7CD6F03B">
        <w:rPr>
          <w:rFonts w:asciiTheme="minorHAnsi" w:hAnsiTheme="minorHAnsi" w:cstheme="minorBidi"/>
          <w:sz w:val="20"/>
          <w:szCs w:val="20"/>
        </w:rPr>
        <w:t>Hídrica</w:t>
      </w:r>
    </w:p>
    <w:p w14:paraId="144B8154" w14:textId="293371C5" w:rsidR="00CB0C5A" w:rsidRPr="00D830D9" w:rsidRDefault="00CB0C5A" w:rsidP="00CB0C5A">
      <w:pPr>
        <w:rPr>
          <w:rFonts w:asciiTheme="minorHAnsi" w:hAnsiTheme="minorHAnsi" w:cstheme="minorHAnsi"/>
          <w:sz w:val="20"/>
          <w:szCs w:val="20"/>
          <w:lang w:val="es-EC"/>
        </w:rPr>
      </w:pPr>
      <w:r w:rsidRPr="00CB0C5A">
        <w:rPr>
          <w:rFonts w:asciiTheme="minorHAnsi" w:hAnsiTheme="minorHAnsi" w:cstheme="minorHAnsi"/>
          <w:sz w:val="20"/>
          <w:szCs w:val="20"/>
          <w:lang w:val="es-EC"/>
        </w:rPr>
        <w:t>FMM</w:t>
      </w:r>
      <w:r>
        <w:rPr>
          <w:rFonts w:asciiTheme="minorHAnsi" w:hAnsiTheme="minorHAnsi" w:cstheme="minorHAnsi"/>
          <w:sz w:val="20"/>
          <w:szCs w:val="20"/>
          <w:lang w:val="es-EC"/>
        </w:rPr>
        <w:t xml:space="preserve"> - </w:t>
      </w:r>
      <w:r w:rsidRPr="00CB0C5A">
        <w:rPr>
          <w:rFonts w:asciiTheme="minorHAnsi" w:hAnsiTheme="minorHAnsi" w:cstheme="minorHAnsi"/>
          <w:sz w:val="20"/>
          <w:szCs w:val="20"/>
          <w:lang w:val="es-EC"/>
        </w:rPr>
        <w:t xml:space="preserve">Fondo Mundial para la Naturaleza (WWF – </w:t>
      </w:r>
      <w:proofErr w:type="spellStart"/>
      <w:r w:rsidRPr="00CB0C5A">
        <w:rPr>
          <w:rFonts w:asciiTheme="minorHAnsi" w:hAnsiTheme="minorHAnsi" w:cstheme="minorHAnsi"/>
          <w:sz w:val="20"/>
          <w:szCs w:val="20"/>
          <w:lang w:val="es-EC"/>
        </w:rPr>
        <w:t>World</w:t>
      </w:r>
      <w:proofErr w:type="spellEnd"/>
      <w:r w:rsidRPr="00CB0C5A">
        <w:rPr>
          <w:rFonts w:asciiTheme="minorHAnsi" w:hAnsiTheme="minorHAnsi" w:cstheme="minorHAnsi"/>
          <w:sz w:val="20"/>
          <w:szCs w:val="20"/>
          <w:lang w:val="es-EC"/>
        </w:rPr>
        <w:t xml:space="preserve"> Wide Fund for Nature)</w:t>
      </w:r>
    </w:p>
    <w:p w14:paraId="687F07E6" w14:textId="77777777" w:rsidR="00A6040B" w:rsidRPr="00D830D9" w:rsidRDefault="00A6040B" w:rsidP="003F1F88">
      <w:pPr>
        <w:rPr>
          <w:rFonts w:asciiTheme="minorHAnsi" w:hAnsiTheme="minorHAnsi" w:cstheme="minorHAnsi"/>
          <w:b/>
          <w:bCs/>
          <w:lang w:val="es-EC"/>
        </w:rPr>
      </w:pPr>
    </w:p>
    <w:p w14:paraId="765AA5F5" w14:textId="77777777" w:rsidR="008B6F84" w:rsidRPr="00D830D9" w:rsidRDefault="008B6F84" w:rsidP="003F1F88">
      <w:pPr>
        <w:keepNext/>
        <w:tabs>
          <w:tab w:val="num" w:pos="720"/>
        </w:tabs>
        <w:suppressAutoHyphens/>
        <w:spacing w:line="271" w:lineRule="auto"/>
        <w:ind w:left="720" w:hanging="720"/>
        <w:jc w:val="both"/>
        <w:outlineLvl w:val="0"/>
        <w:rPr>
          <w:rFonts w:asciiTheme="minorHAnsi" w:eastAsia="SimSun" w:hAnsiTheme="minorHAnsi" w:cstheme="minorHAnsi"/>
          <w:b/>
          <w:smallCaps/>
          <w:spacing w:val="-2"/>
          <w:sz w:val="28"/>
          <w:szCs w:val="20"/>
          <w:lang w:val="es-EC"/>
        </w:rPr>
      </w:pPr>
      <w:bookmarkStart w:id="4" w:name="_Toc407785517"/>
    </w:p>
    <w:p w14:paraId="17C2A351" w14:textId="43E7C05F" w:rsidR="003F1F88" w:rsidRPr="00D830D9" w:rsidRDefault="003F1F88" w:rsidP="008B6F84">
      <w:pPr>
        <w:keepNext/>
        <w:pBdr>
          <w:top w:val="single" w:sz="4" w:space="1" w:color="auto"/>
        </w:pBdr>
        <w:tabs>
          <w:tab w:val="num" w:pos="720"/>
        </w:tabs>
        <w:suppressAutoHyphens/>
        <w:spacing w:line="271" w:lineRule="auto"/>
        <w:ind w:left="720" w:hanging="720"/>
        <w:jc w:val="both"/>
        <w:outlineLvl w:val="0"/>
        <w:rPr>
          <w:rFonts w:asciiTheme="minorHAnsi" w:eastAsia="SimSun" w:hAnsiTheme="minorHAnsi" w:cstheme="minorHAnsi"/>
          <w:bCs/>
          <w:smallCaps/>
          <w:spacing w:val="-2"/>
          <w:sz w:val="20"/>
          <w:szCs w:val="20"/>
          <w:lang w:val="es-EC"/>
        </w:rPr>
        <w:sectPr w:rsidR="003F1F88" w:rsidRPr="00D830D9" w:rsidSect="008B6F84">
          <w:pgSz w:w="12240" w:h="15840" w:code="1"/>
          <w:pgMar w:top="1440" w:right="1440" w:bottom="1440" w:left="1440" w:header="720" w:footer="432" w:gutter="0"/>
          <w:cols w:space="708"/>
          <w:titlePg/>
          <w:docGrid w:linePitch="360"/>
        </w:sectPr>
      </w:pPr>
    </w:p>
    <w:p w14:paraId="2100116D" w14:textId="77777777" w:rsidR="008B6F84" w:rsidRPr="00D830D9" w:rsidRDefault="00211737" w:rsidP="008B6F84">
      <w:pPr>
        <w:keepNext/>
        <w:pBdr>
          <w:top w:val="single" w:sz="4" w:space="1" w:color="auto"/>
        </w:pBdr>
        <w:tabs>
          <w:tab w:val="num" w:pos="720"/>
        </w:tabs>
        <w:suppressAutoHyphens/>
        <w:spacing w:line="271" w:lineRule="auto"/>
        <w:ind w:left="720" w:hanging="720"/>
        <w:jc w:val="both"/>
        <w:outlineLvl w:val="0"/>
        <w:rPr>
          <w:rFonts w:asciiTheme="minorHAnsi" w:eastAsia="SimSun" w:hAnsiTheme="minorHAnsi" w:cstheme="minorHAnsi"/>
          <w:b/>
          <w:smallCaps/>
          <w:spacing w:val="-2"/>
          <w:sz w:val="28"/>
          <w:szCs w:val="20"/>
          <w:lang w:val="es-EC"/>
        </w:rPr>
      </w:pPr>
      <w:bookmarkStart w:id="5" w:name="_Toc221696293"/>
      <w:r w:rsidRPr="00A51E75">
        <w:rPr>
          <w:rFonts w:asciiTheme="minorHAnsi" w:eastAsia="SimSun" w:hAnsiTheme="minorHAnsi" w:cstheme="minorHAnsi"/>
          <w:b/>
          <w:smallCaps/>
          <w:spacing w:val="-2"/>
          <w:sz w:val="28"/>
          <w:szCs w:val="20"/>
        </w:rPr>
        <w:lastRenderedPageBreak/>
        <w:t>Desafío de Desarrollo</w:t>
      </w:r>
      <w:bookmarkEnd w:id="5"/>
      <w:r w:rsidRPr="00A51E75">
        <w:rPr>
          <w:rFonts w:asciiTheme="minorHAnsi" w:eastAsia="SimSun" w:hAnsiTheme="minorHAnsi" w:cstheme="minorHAnsi"/>
          <w:b/>
          <w:smallCaps/>
          <w:spacing w:val="-2"/>
          <w:sz w:val="28"/>
          <w:szCs w:val="20"/>
        </w:rPr>
        <w:t xml:space="preserve"> </w:t>
      </w:r>
      <w:bookmarkEnd w:id="4"/>
    </w:p>
    <w:p w14:paraId="54FD42BA" w14:textId="77777777" w:rsidR="00A22FA8" w:rsidRPr="00D830D9" w:rsidRDefault="00A22FA8" w:rsidP="007E2F37">
      <w:pPr>
        <w:jc w:val="both"/>
        <w:rPr>
          <w:rFonts w:asciiTheme="minorHAnsi" w:eastAsia="SimSun" w:hAnsiTheme="minorHAnsi" w:cstheme="minorHAnsi"/>
          <w:b/>
          <w:bCs/>
          <w:iCs/>
          <w:sz w:val="20"/>
          <w:szCs w:val="20"/>
          <w:lang w:val="es-EC"/>
        </w:rPr>
      </w:pPr>
    </w:p>
    <w:p w14:paraId="26CC07AB" w14:textId="77777777" w:rsidR="00E75DB1" w:rsidRPr="00D830D9" w:rsidRDefault="00E75DB1" w:rsidP="00E75DB1">
      <w:pPr>
        <w:jc w:val="both"/>
        <w:rPr>
          <w:rFonts w:asciiTheme="minorHAnsi" w:eastAsia="SimSun" w:hAnsiTheme="minorHAnsi" w:cstheme="minorHAnsi"/>
          <w:bCs/>
          <w:iCs/>
          <w:lang w:val="es-EC"/>
        </w:rPr>
      </w:pPr>
      <w:bookmarkStart w:id="6" w:name="_Hlk196350278"/>
      <w:proofErr w:type="gramStart"/>
      <w:r w:rsidRPr="00A51E75">
        <w:rPr>
          <w:rFonts w:asciiTheme="minorHAnsi" w:eastAsia="SimSun" w:hAnsiTheme="minorHAnsi" w:cstheme="minorHAnsi"/>
          <w:b/>
          <w:bCs/>
          <w:iCs/>
        </w:rPr>
        <w:t>Contexto y problema a abordar</w:t>
      </w:r>
      <w:proofErr w:type="gramEnd"/>
    </w:p>
    <w:p w14:paraId="5D5B25D5" w14:textId="77777777" w:rsidR="003E71A7" w:rsidRPr="00D830D9" w:rsidRDefault="00E75DB1"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lang w:val="es-EC"/>
        </w:rPr>
      </w:pPr>
      <w:r w:rsidRPr="00A51E75">
        <w:rPr>
          <w:rFonts w:asciiTheme="minorHAnsi" w:eastAsia="SimSun" w:hAnsiTheme="minorHAnsi" w:cstheme="minorHAnsi"/>
          <w:bCs/>
          <w:iCs/>
          <w:sz w:val="20"/>
          <w:szCs w:val="20"/>
        </w:rPr>
        <w:t>La cuenca del río Napo es uno de los últimos bastiones de conectividad ecológica, diversidad biocultural y provisión de servicios ecosistémicos críticos en la Amazonía ecuatoriana. Sin embargo, los procesos de degradación de la tierra, deforestación y cambio climático están amenazando su integridad ecológica y la resiliencia de más de 200.000 familias que dependen directamente de este territorio. Esta situación exige una intervención transformadora que supere barreras estructurales e institucionales, asegure medios de vida sostenibles e integre las voces de los pueblos indígenas y las mujeres en la gestión del paisaje.</w:t>
      </w:r>
    </w:p>
    <w:p w14:paraId="10BE599E" w14:textId="2DC6A79B" w:rsidR="00E22762" w:rsidRPr="00E22762" w:rsidRDefault="00E75DB1" w:rsidP="00EC2CBE">
      <w:pPr>
        <w:pStyle w:val="Prrafodelista"/>
        <w:numPr>
          <w:ilvl w:val="0"/>
          <w:numId w:val="3"/>
        </w:numPr>
        <w:tabs>
          <w:tab w:val="clear" w:pos="360"/>
          <w:tab w:val="num" w:pos="0"/>
        </w:tabs>
        <w:ind w:left="0" w:hanging="502"/>
        <w:jc w:val="both"/>
        <w:rPr>
          <w:rFonts w:asciiTheme="minorHAnsi" w:eastAsia="SimSun" w:hAnsiTheme="minorHAnsi" w:cstheme="minorHAnsi"/>
          <w:b/>
          <w:bCs/>
          <w:iCs/>
          <w:lang w:val="es-EC"/>
        </w:rPr>
      </w:pPr>
      <w:r w:rsidRPr="00E22762">
        <w:rPr>
          <w:rFonts w:asciiTheme="minorHAnsi" w:eastAsia="SimSun" w:hAnsiTheme="minorHAnsi" w:cstheme="minorBidi"/>
          <w:sz w:val="20"/>
          <w:szCs w:val="20"/>
        </w:rPr>
        <w:t>La cuenca del río Napo abarca un total de 6.530.432,27 hectáreas, de las cuales el 63,1% de su superficie comprende territorios indígenas (Kichwa, Waorani, Cofán, Siona, Tagaeri-</w:t>
      </w:r>
      <w:proofErr w:type="spellStart"/>
      <w:r w:rsidRPr="00E22762">
        <w:rPr>
          <w:rFonts w:asciiTheme="minorHAnsi" w:eastAsia="SimSun" w:hAnsiTheme="minorHAnsi" w:cstheme="minorBidi"/>
          <w:sz w:val="20"/>
          <w:szCs w:val="20"/>
        </w:rPr>
        <w:t>Taromenane</w:t>
      </w:r>
      <w:proofErr w:type="spellEnd"/>
      <w:r w:rsidRPr="00E22762">
        <w:rPr>
          <w:rFonts w:asciiTheme="minorHAnsi" w:eastAsia="SimSun" w:hAnsiTheme="minorHAnsi" w:cstheme="minorBidi"/>
          <w:sz w:val="20"/>
          <w:szCs w:val="20"/>
        </w:rPr>
        <w:t xml:space="preserve">, entre otros), y conserva altos niveles de cobertura </w:t>
      </w:r>
      <w:r w:rsidR="000B3D48" w:rsidRPr="00E22762">
        <w:rPr>
          <w:rFonts w:asciiTheme="minorHAnsi" w:eastAsia="SimSun" w:hAnsiTheme="minorHAnsi" w:cstheme="minorBidi"/>
          <w:sz w:val="20"/>
          <w:szCs w:val="20"/>
        </w:rPr>
        <w:t>natural (</w:t>
      </w:r>
      <w:r w:rsidRPr="00E22762">
        <w:rPr>
          <w:rFonts w:asciiTheme="minorHAnsi" w:eastAsia="SimSun" w:hAnsiTheme="minorHAnsi" w:cstheme="minorBidi"/>
          <w:sz w:val="20"/>
          <w:szCs w:val="20"/>
        </w:rPr>
        <w:t>83,8%). Es un ecosistema estratégico para Ecuador, ya que incluye el 67% de las áreas del país bajo mecanismos de conservación y proporciona servicios ecosistémicos clave como la regulación del agua y la captura de carbono.</w:t>
      </w:r>
    </w:p>
    <w:p w14:paraId="752C7D3F" w14:textId="77777777" w:rsidR="00E22762" w:rsidRPr="00D830D9" w:rsidRDefault="00E22762" w:rsidP="00E75DB1">
      <w:pPr>
        <w:jc w:val="both"/>
        <w:rPr>
          <w:rFonts w:asciiTheme="minorHAnsi" w:eastAsia="SimSun" w:hAnsiTheme="minorHAnsi" w:cstheme="minorHAnsi"/>
          <w:b/>
          <w:bCs/>
          <w:iCs/>
          <w:lang w:val="es-EC"/>
        </w:rPr>
      </w:pPr>
    </w:p>
    <w:p w14:paraId="6C4264BB" w14:textId="549B6679" w:rsidR="00FE4DEC" w:rsidRPr="00A51E75" w:rsidRDefault="00E75DB1" w:rsidP="7CD6F03B">
      <w:pPr>
        <w:jc w:val="both"/>
        <w:rPr>
          <w:rFonts w:asciiTheme="minorHAnsi" w:eastAsia="SimSun" w:hAnsiTheme="minorHAnsi" w:cstheme="minorBidi"/>
          <w:b/>
          <w:bCs/>
          <w:lang w:val="en-US"/>
        </w:rPr>
      </w:pPr>
      <w:r w:rsidRPr="7CD6F03B">
        <w:rPr>
          <w:rFonts w:asciiTheme="minorHAnsi" w:eastAsia="SimSun" w:hAnsiTheme="minorHAnsi" w:cstheme="minorBidi"/>
          <w:b/>
          <w:bCs/>
        </w:rPr>
        <w:t xml:space="preserve">Amenazas y </w:t>
      </w:r>
      <w:r w:rsidR="009459B7" w:rsidRPr="7CD6F03B">
        <w:rPr>
          <w:rFonts w:asciiTheme="minorHAnsi" w:eastAsia="SimSun" w:hAnsiTheme="minorHAnsi" w:cstheme="minorBidi"/>
          <w:b/>
          <w:bCs/>
        </w:rPr>
        <w:t>causas</w:t>
      </w:r>
      <w:r w:rsidR="00712EF4" w:rsidRPr="7CD6F03B">
        <w:rPr>
          <w:rFonts w:asciiTheme="minorHAnsi" w:eastAsia="SimSun" w:hAnsiTheme="minorHAnsi" w:cstheme="minorBidi"/>
          <w:b/>
          <w:bCs/>
        </w:rPr>
        <w:t xml:space="preserve"> </w:t>
      </w:r>
      <w:r w:rsidRPr="7CD6F03B">
        <w:rPr>
          <w:rFonts w:asciiTheme="minorHAnsi" w:eastAsia="SimSun" w:hAnsiTheme="minorHAnsi" w:cstheme="minorBidi"/>
          <w:b/>
          <w:bCs/>
        </w:rPr>
        <w:t>direct</w:t>
      </w:r>
      <w:r w:rsidR="009459B7" w:rsidRPr="7CD6F03B">
        <w:rPr>
          <w:rFonts w:asciiTheme="minorHAnsi" w:eastAsia="SimSun" w:hAnsiTheme="minorHAnsi" w:cstheme="minorBidi"/>
          <w:b/>
          <w:bCs/>
        </w:rPr>
        <w:t>as</w:t>
      </w:r>
    </w:p>
    <w:p w14:paraId="3FD6B549" w14:textId="7A2C3895" w:rsidR="00FE4DEC" w:rsidRPr="00761C0B" w:rsidRDefault="00E75DB1"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lang w:val="es-EC"/>
        </w:rPr>
      </w:pPr>
      <w:r w:rsidRPr="7CD6F03B">
        <w:rPr>
          <w:rFonts w:asciiTheme="minorHAnsi" w:eastAsia="SimSun" w:hAnsiTheme="minorHAnsi" w:cstheme="minorBidi"/>
          <w:sz w:val="20"/>
          <w:szCs w:val="20"/>
        </w:rPr>
        <w:t xml:space="preserve">Sin embargo, la cuenca se enfrenta a crecientes amenazas de degradación de la tierra, deforestación y vulnerabilidad climática. Las siete áreas priorizadas fueron seleccionadas por su importancia ecológica y su papel en la regulación del agua, así como por la coexistencia de múltiples designaciones de conservación, como el SNAP (40,7%), ACUS (16,2%) y cinco Áreas de Protección </w:t>
      </w:r>
      <w:r w:rsidR="009459B7" w:rsidRPr="7CD6F03B">
        <w:rPr>
          <w:rFonts w:asciiTheme="minorHAnsi" w:eastAsia="SimSun" w:hAnsiTheme="minorHAnsi" w:cstheme="minorBidi"/>
          <w:sz w:val="20"/>
          <w:szCs w:val="20"/>
        </w:rPr>
        <w:t>Hídrica</w:t>
      </w:r>
      <w:r w:rsidRPr="7CD6F03B">
        <w:rPr>
          <w:rFonts w:asciiTheme="minorHAnsi" w:eastAsia="SimSun" w:hAnsiTheme="minorHAnsi" w:cstheme="minorBidi"/>
          <w:sz w:val="20"/>
          <w:szCs w:val="20"/>
        </w:rPr>
        <w:t xml:space="preserve"> (APH).</w:t>
      </w:r>
    </w:p>
    <w:p w14:paraId="17009694" w14:textId="092AEFC6" w:rsidR="00E75DB1" w:rsidRPr="00761C0B" w:rsidRDefault="00E75DB1"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lang w:val="es-EC"/>
        </w:rPr>
      </w:pPr>
      <w:r w:rsidRPr="00761C0B">
        <w:rPr>
          <w:rFonts w:asciiTheme="minorHAnsi" w:eastAsia="SimSun" w:hAnsiTheme="minorHAnsi" w:cstheme="minorHAnsi"/>
          <w:bCs/>
          <w:iCs/>
          <w:sz w:val="20"/>
          <w:szCs w:val="20"/>
        </w:rPr>
        <w:t>Según datos de</w:t>
      </w:r>
      <w:r w:rsidR="00761C0B" w:rsidRPr="00761C0B">
        <w:rPr>
          <w:rFonts w:asciiTheme="minorHAnsi" w:eastAsia="SimSun" w:hAnsiTheme="minorHAnsi" w:cstheme="minorHAnsi"/>
          <w:bCs/>
          <w:iCs/>
          <w:sz w:val="20"/>
          <w:szCs w:val="20"/>
        </w:rPr>
        <w:t>l</w:t>
      </w:r>
      <w:r w:rsidR="007974F9" w:rsidRPr="00761C0B">
        <w:rPr>
          <w:rFonts w:asciiTheme="minorHAnsi" w:eastAsia="SimSun" w:hAnsiTheme="minorHAnsi" w:cstheme="minorHAnsi"/>
          <w:bCs/>
          <w:iCs/>
          <w:sz w:val="20"/>
          <w:szCs w:val="20"/>
        </w:rPr>
        <w:t xml:space="preserve"> </w:t>
      </w:r>
      <w:r w:rsidR="00FC3FA3" w:rsidRPr="00FC3FA3">
        <w:rPr>
          <w:rFonts w:asciiTheme="minorHAnsi" w:eastAsia="SimSun" w:hAnsiTheme="minorHAnsi" w:cstheme="minorHAnsi"/>
          <w:bCs/>
          <w:iCs/>
          <w:sz w:val="20"/>
          <w:szCs w:val="20"/>
        </w:rPr>
        <w:t>Sistema de Revisión del Desempeño y Evaluación de la Implementación</w:t>
      </w:r>
      <w:r w:rsidR="00761C0B" w:rsidRPr="00761C0B">
        <w:rPr>
          <w:rFonts w:asciiTheme="minorHAnsi" w:eastAsia="SimSun" w:hAnsiTheme="minorHAnsi" w:cstheme="minorHAnsi"/>
          <w:bCs/>
          <w:iCs/>
          <w:sz w:val="20"/>
          <w:szCs w:val="20"/>
        </w:rPr>
        <w:t> </w:t>
      </w:r>
      <w:r w:rsidR="00571297">
        <w:rPr>
          <w:rFonts w:asciiTheme="minorHAnsi" w:eastAsia="SimSun" w:hAnsiTheme="minorHAnsi" w:cstheme="minorHAnsi"/>
          <w:bCs/>
          <w:iCs/>
          <w:sz w:val="20"/>
          <w:szCs w:val="20"/>
        </w:rPr>
        <w:t>(PRAIS</w:t>
      </w:r>
      <w:r w:rsidR="00FC3FA3">
        <w:rPr>
          <w:rFonts w:asciiTheme="minorHAnsi" w:eastAsia="SimSun" w:hAnsiTheme="minorHAnsi" w:cstheme="minorHAnsi"/>
          <w:bCs/>
          <w:iCs/>
          <w:sz w:val="20"/>
          <w:szCs w:val="20"/>
        </w:rPr>
        <w:t xml:space="preserve"> por sigla en inglés</w:t>
      </w:r>
      <w:r w:rsidR="00571297">
        <w:rPr>
          <w:rFonts w:asciiTheme="minorHAnsi" w:eastAsia="SimSun" w:hAnsiTheme="minorHAnsi" w:cstheme="minorHAnsi"/>
          <w:bCs/>
          <w:iCs/>
          <w:sz w:val="20"/>
          <w:szCs w:val="20"/>
        </w:rPr>
        <w:t xml:space="preserve">) </w:t>
      </w:r>
      <w:r w:rsidR="00761C0B" w:rsidRPr="00761C0B">
        <w:rPr>
          <w:rFonts w:asciiTheme="minorHAnsi" w:eastAsia="SimSun" w:hAnsiTheme="minorHAnsi" w:cstheme="minorHAnsi"/>
          <w:bCs/>
          <w:iCs/>
          <w:sz w:val="20"/>
          <w:szCs w:val="20"/>
        </w:rPr>
        <w:t>de la CNULD</w:t>
      </w:r>
      <w:r w:rsidRPr="00761C0B">
        <w:rPr>
          <w:rFonts w:asciiTheme="minorHAnsi" w:eastAsia="SimSun" w:hAnsiTheme="minorHAnsi" w:cstheme="minorHAnsi"/>
          <w:bCs/>
          <w:iCs/>
          <w:sz w:val="20"/>
          <w:szCs w:val="20"/>
        </w:rPr>
        <w:t>, el 31,20% de la superficie está degradada, afectando a la biodiversidad, la productividad agrícola y los medios de subsistencia. Entre 2014 y 2018, se perdieron 50.272 ha de bosque, principalmente debido a la conversión a la agricultura comercial (58,3%) y la agricultura de subsistencia (39,1%). Los factores directos incluyen: expansión de la frontera agrícola, sobrepastoreo, extracción insostenible de recursos, falta de una planificación eficaz del uso del suelo y cambio climático (con un aumento de la intensidad de las precipitaciones en el 65% de la cuenca). Estas condiciones afectan aproximadamente a 212.944 familias. Las zonas más vulnerables incluyen orillas bajas y laderas pronunciadas en las zonas 4, 5 y 6.</w:t>
      </w:r>
    </w:p>
    <w:p w14:paraId="5EB0EACD" w14:textId="77777777" w:rsidR="00E22762" w:rsidRPr="00D830D9" w:rsidRDefault="00E22762" w:rsidP="00E75DB1">
      <w:pPr>
        <w:jc w:val="both"/>
        <w:rPr>
          <w:rFonts w:asciiTheme="minorHAnsi" w:eastAsia="SimSun" w:hAnsiTheme="minorHAnsi" w:cstheme="minorHAnsi"/>
          <w:b/>
          <w:bCs/>
          <w:iCs/>
          <w:lang w:val="es-EC"/>
        </w:rPr>
      </w:pPr>
    </w:p>
    <w:p w14:paraId="0C9D77F9" w14:textId="52324B31" w:rsidR="00E75DB1" w:rsidRPr="00895463" w:rsidRDefault="00B93334" w:rsidP="00E75DB1">
      <w:pPr>
        <w:jc w:val="both"/>
        <w:rPr>
          <w:rFonts w:asciiTheme="minorHAnsi" w:eastAsia="SimSun" w:hAnsiTheme="minorHAnsi" w:cstheme="minorHAnsi"/>
          <w:b/>
          <w:bCs/>
          <w:iCs/>
          <w:lang w:val="es-EC"/>
        </w:rPr>
      </w:pPr>
      <w:r>
        <w:rPr>
          <w:rFonts w:asciiTheme="minorHAnsi" w:eastAsia="SimSun" w:hAnsiTheme="minorHAnsi" w:cstheme="minorHAnsi"/>
          <w:b/>
          <w:bCs/>
          <w:iCs/>
        </w:rPr>
        <w:t>Línea base</w:t>
      </w:r>
      <w:r w:rsidR="00E75DB1" w:rsidRPr="00A51E75">
        <w:rPr>
          <w:rFonts w:asciiTheme="minorHAnsi" w:eastAsia="SimSun" w:hAnsiTheme="minorHAnsi" w:cstheme="minorHAnsi"/>
          <w:b/>
          <w:bCs/>
          <w:iCs/>
        </w:rPr>
        <w:t xml:space="preserve"> (Marco legal, institucional e inversiones existentes)</w:t>
      </w:r>
    </w:p>
    <w:p w14:paraId="4A0F7F8A" w14:textId="77777777" w:rsidR="00B47BC7" w:rsidRPr="00895463" w:rsidRDefault="00B47BC7" w:rsidP="00E75DB1">
      <w:pPr>
        <w:jc w:val="both"/>
        <w:rPr>
          <w:rFonts w:asciiTheme="minorHAnsi" w:eastAsia="SimSun" w:hAnsiTheme="minorHAnsi" w:cstheme="minorHAnsi"/>
          <w:b/>
          <w:bCs/>
          <w:iCs/>
          <w:lang w:val="es-EC"/>
        </w:rPr>
      </w:pPr>
    </w:p>
    <w:p w14:paraId="0CA2F356" w14:textId="1C816CD1" w:rsidR="00B93334" w:rsidRPr="00B93334"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bookmarkStart w:id="7" w:name="_Hlk196730410"/>
      <w:r w:rsidRPr="00B93334">
        <w:rPr>
          <w:rFonts w:asciiTheme="minorHAnsi" w:eastAsia="SimSun" w:hAnsiTheme="minorHAnsi" w:cstheme="minorHAnsi"/>
          <w:bCs/>
          <w:iCs/>
          <w:sz w:val="20"/>
          <w:szCs w:val="20"/>
        </w:rPr>
        <w:t>La priorización de las áreas de intervención del proyecto se basó en una caracterización técnica detallada de las Unidades Hídricas presentes en la cuenca del río Napo, utilizando criterios como la vulnerabilidad hídrica, la presión sobre los recursos hídricos, la cobertura vegetal</w:t>
      </w:r>
      <w:r w:rsidRPr="00B93334">
        <w:rPr>
          <w:rFonts w:asciiTheme="minorHAnsi" w:eastAsia="SimSun" w:hAnsiTheme="minorHAnsi" w:cstheme="minorHAnsi"/>
          <w:bCs/>
          <w:iCs/>
          <w:vertAlign w:val="superscript"/>
        </w:rPr>
        <w:footnoteReference w:id="2"/>
      </w:r>
      <w:r w:rsidRPr="00B93334">
        <w:rPr>
          <w:rFonts w:asciiTheme="minorHAnsi" w:eastAsia="SimSun" w:hAnsiTheme="minorHAnsi" w:cstheme="minorHAnsi"/>
          <w:bCs/>
          <w:iCs/>
          <w:sz w:val="20"/>
          <w:szCs w:val="20"/>
        </w:rPr>
        <w:t xml:space="preserve">, la presencia de ecosistemas frágiles y la provisión de servicios ecosistémicos </w:t>
      </w:r>
      <w:r w:rsidRPr="00B93334">
        <w:rPr>
          <w:rFonts w:asciiTheme="minorHAnsi" w:eastAsia="SimSun" w:hAnsiTheme="minorHAnsi" w:cstheme="minorHAnsi"/>
          <w:bCs/>
          <w:iCs/>
          <w:sz w:val="20"/>
          <w:szCs w:val="20"/>
        </w:rPr>
        <w:lastRenderedPageBreak/>
        <w:t>críticos. Las tres Unidades Hidrográficas que abarcan los siete sitios priorizados son: la subcuenca del río Aguarico, la subcuenca del río Coca y la Unidad Hidrográfica CH 49789.</w:t>
      </w:r>
    </w:p>
    <w:p w14:paraId="625DE1EA" w14:textId="74987BAB" w:rsidR="00B93334" w:rsidRPr="0075000C"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75000C">
        <w:rPr>
          <w:rFonts w:asciiTheme="minorHAnsi" w:eastAsia="SimSun" w:hAnsiTheme="minorHAnsi" w:cstheme="minorHAnsi"/>
          <w:bCs/>
          <w:iCs/>
          <w:sz w:val="20"/>
          <w:szCs w:val="20"/>
        </w:rPr>
        <w:t>Inversiones y contexto de línea base en la cuenca del río Napo: La cuenca cuenta con antecedentes relevantes que configuran su línea base para la implementación del proyecto. Se han realizado esfuerzos recientes en conservación forestal, restauración ecológica y manejo sostenible del paisaje, los cuales han sido significativos, aunque aún insuficientes frente a la magnitud de la degradación ambiental en la zona.</w:t>
      </w:r>
    </w:p>
    <w:p w14:paraId="46B0A646" w14:textId="4F1FFC01" w:rsidR="00B93334" w:rsidRPr="0075000C"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75000C">
        <w:rPr>
          <w:rFonts w:asciiTheme="minorHAnsi" w:eastAsia="SimSun" w:hAnsiTheme="minorHAnsi" w:cstheme="minorHAnsi"/>
          <w:bCs/>
          <w:iCs/>
          <w:sz w:val="20"/>
          <w:szCs w:val="20"/>
        </w:rPr>
        <w:t>Entre las intervenciones clave destaca el proyecto PROAmazonía, que ha restaurado aproximadamente 15.000 hectáreas de bosque en la cuenca del río Napo, con una inversión estimada de USD 4.530.000, fortaleciendo capacidades locales y sentando las bases para procesos de restauración forestal, conservación de la biodiversidad y gestión sostenible del paisaje. Adicionalmente, el Programa de Pagos por Resultados REDD+ (PPR) restauró 200 hectáreas en el cantón Arajuno (provincia de Pastaza), con una inversión aproximada de USD 180.000; este programa tiene previsto concluir en el primer trimestre de 2026. Por su parte, el Plan Nacional de Restauración de Paisajes contribuyó con la restauración de 736 hectáreas en Pastaza, con una inversión estimada de USD 662.400. Es importante señalar que todas las inversiones relacionadas con restauración corresponden a proyectos ya concluidos (PROAmazonía) o próximos a finalizar (PPR).</w:t>
      </w:r>
    </w:p>
    <w:p w14:paraId="1F5024C6" w14:textId="34E6481F" w:rsidR="00B53BCF" w:rsidRPr="00B53BCF"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75000C">
        <w:rPr>
          <w:rFonts w:asciiTheme="minorHAnsi" w:eastAsia="SimSun" w:hAnsiTheme="minorHAnsi" w:cstheme="minorHAnsi"/>
          <w:bCs/>
          <w:iCs/>
          <w:sz w:val="20"/>
          <w:szCs w:val="20"/>
        </w:rPr>
        <w:t xml:space="preserve">En cuanto a conservación forestal y fortalecimiento de áreas protegidas, existen inversiones previas que han establecido bases técnicas relevantes para el proyecto. Estas inversiones no se consideran parte de la línea base del proyecto financiado por el FMAM, sino antecedentes complementarios que facilitarán su implementación. Las inversiones reportadas incluyen: USD 25.000 en la Estación Científica </w:t>
      </w:r>
      <w:proofErr w:type="spellStart"/>
      <w:r w:rsidRPr="0075000C">
        <w:rPr>
          <w:rFonts w:asciiTheme="minorHAnsi" w:eastAsia="SimSun" w:hAnsiTheme="minorHAnsi" w:cstheme="minorHAnsi"/>
          <w:bCs/>
          <w:iCs/>
          <w:sz w:val="20"/>
          <w:szCs w:val="20"/>
        </w:rPr>
        <w:t>Payamino</w:t>
      </w:r>
      <w:proofErr w:type="spellEnd"/>
      <w:r w:rsidRPr="0075000C">
        <w:rPr>
          <w:rFonts w:asciiTheme="minorHAnsi" w:eastAsia="SimSun" w:hAnsiTheme="minorHAnsi" w:cstheme="minorHAnsi"/>
          <w:bCs/>
          <w:iCs/>
          <w:sz w:val="20"/>
          <w:szCs w:val="20"/>
        </w:rPr>
        <w:t xml:space="preserve">; USD 50.000 para la actualización del plan de manejo del Bosque Protector </w:t>
      </w:r>
      <w:proofErr w:type="spellStart"/>
      <w:r w:rsidRPr="0075000C">
        <w:rPr>
          <w:rFonts w:asciiTheme="minorHAnsi" w:eastAsia="SimSun" w:hAnsiTheme="minorHAnsi" w:cstheme="minorHAnsi"/>
          <w:bCs/>
          <w:iCs/>
          <w:sz w:val="20"/>
          <w:szCs w:val="20"/>
        </w:rPr>
        <w:t>Habitagua</w:t>
      </w:r>
      <w:proofErr w:type="spellEnd"/>
      <w:r w:rsidRPr="0075000C">
        <w:rPr>
          <w:rFonts w:asciiTheme="minorHAnsi" w:eastAsia="SimSun" w:hAnsiTheme="minorHAnsi" w:cstheme="minorHAnsi"/>
          <w:bCs/>
          <w:iCs/>
          <w:sz w:val="20"/>
          <w:szCs w:val="20"/>
        </w:rPr>
        <w:t xml:space="preserve"> (a concluirse en 2025); USD 50.000 para la actualización en curso del plan de manejo del Bosque Protector </w:t>
      </w:r>
      <w:proofErr w:type="spellStart"/>
      <w:r w:rsidRPr="0075000C">
        <w:rPr>
          <w:rFonts w:asciiTheme="minorHAnsi" w:eastAsia="SimSun" w:hAnsiTheme="minorHAnsi" w:cstheme="minorHAnsi"/>
          <w:bCs/>
          <w:iCs/>
          <w:sz w:val="20"/>
          <w:szCs w:val="20"/>
        </w:rPr>
        <w:t>Pañacocha</w:t>
      </w:r>
      <w:proofErr w:type="spellEnd"/>
      <w:r w:rsidRPr="0075000C">
        <w:rPr>
          <w:rFonts w:asciiTheme="minorHAnsi" w:eastAsia="SimSun" w:hAnsiTheme="minorHAnsi" w:cstheme="minorHAnsi"/>
          <w:bCs/>
          <w:iCs/>
          <w:sz w:val="20"/>
          <w:szCs w:val="20"/>
        </w:rPr>
        <w:t xml:space="preserve">; USD 120.000 en el Área de Protección Hídrica (APH) Aguarico </w:t>
      </w:r>
      <w:proofErr w:type="spellStart"/>
      <w:r w:rsidRPr="0075000C">
        <w:rPr>
          <w:rFonts w:asciiTheme="minorHAnsi" w:eastAsia="SimSun" w:hAnsiTheme="minorHAnsi" w:cstheme="minorHAnsi"/>
          <w:bCs/>
          <w:iCs/>
          <w:sz w:val="20"/>
          <w:szCs w:val="20"/>
        </w:rPr>
        <w:t>Chingual</w:t>
      </w:r>
      <w:proofErr w:type="spellEnd"/>
      <w:r w:rsidRPr="0075000C">
        <w:rPr>
          <w:rFonts w:asciiTheme="minorHAnsi" w:eastAsia="SimSun" w:hAnsiTheme="minorHAnsi" w:cstheme="minorHAnsi"/>
          <w:bCs/>
          <w:iCs/>
          <w:sz w:val="20"/>
          <w:szCs w:val="20"/>
        </w:rPr>
        <w:t xml:space="preserve"> y Cofanes, invertidos por TNC para el desarrollo del plan de manejo y la declaratoria oficial del área; y USD 100.000 estimados para las Comunas del Bajo Napo (pendiente de reconocimiento oficial por parte del MAE), que serán canalizados a través de REM con cooperación de </w:t>
      </w:r>
      <w:proofErr w:type="spellStart"/>
      <w:r w:rsidRPr="0075000C">
        <w:rPr>
          <w:rFonts w:asciiTheme="minorHAnsi" w:eastAsia="SimSun" w:hAnsiTheme="minorHAnsi" w:cstheme="minorHAnsi"/>
          <w:bCs/>
          <w:iCs/>
          <w:sz w:val="20"/>
          <w:szCs w:val="20"/>
        </w:rPr>
        <w:t>Ecociencia</w:t>
      </w:r>
      <w:proofErr w:type="spellEnd"/>
      <w:r w:rsidRPr="0075000C">
        <w:rPr>
          <w:rFonts w:asciiTheme="minorHAnsi" w:eastAsia="SimSun" w:hAnsiTheme="minorHAnsi" w:cstheme="minorHAnsi"/>
          <w:bCs/>
          <w:iCs/>
          <w:sz w:val="20"/>
          <w:szCs w:val="20"/>
        </w:rPr>
        <w:t xml:space="preserve"> y </w:t>
      </w:r>
      <w:proofErr w:type="spellStart"/>
      <w:r w:rsidRPr="0075000C">
        <w:rPr>
          <w:rFonts w:asciiTheme="minorHAnsi" w:eastAsia="SimSun" w:hAnsiTheme="minorHAnsi" w:cstheme="minorHAnsi"/>
          <w:bCs/>
          <w:iCs/>
          <w:sz w:val="20"/>
          <w:szCs w:val="20"/>
        </w:rPr>
        <w:t>Colibria</w:t>
      </w:r>
      <w:proofErr w:type="spellEnd"/>
      <w:r w:rsidRPr="0075000C">
        <w:rPr>
          <w:rFonts w:asciiTheme="minorHAnsi" w:eastAsia="SimSun" w:hAnsiTheme="minorHAnsi" w:cstheme="minorHAnsi"/>
          <w:bCs/>
          <w:iCs/>
          <w:sz w:val="20"/>
          <w:szCs w:val="20"/>
        </w:rPr>
        <w:t xml:space="preserve"> para apoyar la elaboración de planes de manejo para su futura designación como Bosques </w:t>
      </w:r>
      <w:r w:rsidR="0075000C" w:rsidRPr="0075000C">
        <w:rPr>
          <w:rFonts w:asciiTheme="minorHAnsi" w:eastAsia="SimSun" w:hAnsiTheme="minorHAnsi" w:cstheme="minorHAnsi"/>
          <w:bCs/>
          <w:iCs/>
          <w:sz w:val="20"/>
          <w:szCs w:val="20"/>
        </w:rPr>
        <w:t xml:space="preserve">y Vegetación </w:t>
      </w:r>
      <w:r w:rsidRPr="0075000C">
        <w:rPr>
          <w:rFonts w:asciiTheme="minorHAnsi" w:eastAsia="SimSun" w:hAnsiTheme="minorHAnsi" w:cstheme="minorHAnsi"/>
          <w:bCs/>
          <w:iCs/>
          <w:sz w:val="20"/>
          <w:szCs w:val="20"/>
        </w:rPr>
        <w:t>Protectores (BVP). Además, el MAE ha movilizado una inversión estimada de USD 120.000 para apoyar la aprobación de Planes de Uso Sostenible, de los cuales USD 50.000 están aún por ejecutarse. Estos esfuerzos previos conforman una plataforma técnico-institucional estratégica, pero el proyecto financiado por el FMAM se centrará en la implementación efectiva y ampliación de estos planes, agregando valor más allá de las inversiones anteriores.</w:t>
      </w:r>
    </w:p>
    <w:p w14:paraId="2E93DB8D" w14:textId="23681DAD" w:rsidR="00B93334" w:rsidRPr="00B53BCF"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rPr>
      </w:pPr>
      <w:r w:rsidRPr="00B53BCF">
        <w:rPr>
          <w:rFonts w:asciiTheme="minorHAnsi" w:eastAsia="SimSun" w:hAnsiTheme="minorHAnsi" w:cstheme="minorBidi"/>
          <w:sz w:val="20"/>
          <w:szCs w:val="20"/>
        </w:rPr>
        <w:t xml:space="preserve">En el sector productivo, la Circunscripción Territorial Especial Amazónica (CTEA) financia aproximadamente USD 5,5 millones anuales para proyectos de infraestructura </w:t>
      </w:r>
      <w:proofErr w:type="spellStart"/>
      <w:r w:rsidRPr="00B53BCF">
        <w:rPr>
          <w:rFonts w:asciiTheme="minorHAnsi" w:eastAsia="SimSun" w:hAnsiTheme="minorHAnsi" w:cstheme="minorBidi"/>
          <w:sz w:val="20"/>
          <w:szCs w:val="20"/>
        </w:rPr>
        <w:t>agroproductiva</w:t>
      </w:r>
      <w:proofErr w:type="spellEnd"/>
      <w:r w:rsidRPr="00B53BCF">
        <w:rPr>
          <w:rFonts w:asciiTheme="minorHAnsi" w:eastAsia="SimSun" w:hAnsiTheme="minorHAnsi" w:cstheme="minorBidi"/>
          <w:sz w:val="20"/>
          <w:szCs w:val="20"/>
        </w:rPr>
        <w:t>, agroindustrial y certificaciones, incluyendo USD 2 millones destinados a proyectos ambientales. El Ministerio de Agricultura</w:t>
      </w:r>
      <w:r w:rsidR="00B53BCF">
        <w:rPr>
          <w:rFonts w:asciiTheme="minorHAnsi" w:eastAsia="SimSun" w:hAnsiTheme="minorHAnsi" w:cstheme="minorBidi"/>
          <w:sz w:val="20"/>
          <w:szCs w:val="20"/>
        </w:rPr>
        <w:t>,</w:t>
      </w:r>
      <w:r w:rsidRPr="00B53BCF">
        <w:rPr>
          <w:rFonts w:asciiTheme="minorHAnsi" w:eastAsia="SimSun" w:hAnsiTheme="minorHAnsi" w:cstheme="minorBidi"/>
          <w:sz w:val="20"/>
          <w:szCs w:val="20"/>
        </w:rPr>
        <w:t xml:space="preserve"> Ganadería</w:t>
      </w:r>
      <w:r w:rsidR="00B53BCF">
        <w:rPr>
          <w:rFonts w:asciiTheme="minorHAnsi" w:eastAsia="SimSun" w:hAnsiTheme="minorHAnsi" w:cstheme="minorBidi"/>
          <w:sz w:val="20"/>
          <w:szCs w:val="20"/>
        </w:rPr>
        <w:t xml:space="preserve"> y Pesca</w:t>
      </w:r>
      <w:r w:rsidRPr="00B53BCF">
        <w:rPr>
          <w:rFonts w:asciiTheme="minorHAnsi" w:eastAsia="SimSun" w:hAnsiTheme="minorHAnsi" w:cstheme="minorBidi"/>
          <w:sz w:val="20"/>
          <w:szCs w:val="20"/>
        </w:rPr>
        <w:t xml:space="preserve"> (MAG</w:t>
      </w:r>
      <w:r w:rsidR="00B53BCF">
        <w:rPr>
          <w:rFonts w:asciiTheme="minorHAnsi" w:eastAsia="SimSun" w:hAnsiTheme="minorHAnsi" w:cstheme="minorBidi"/>
          <w:sz w:val="20"/>
          <w:szCs w:val="20"/>
        </w:rPr>
        <w:t>P</w:t>
      </w:r>
      <w:r w:rsidRPr="00B53BCF">
        <w:rPr>
          <w:rFonts w:asciiTheme="minorHAnsi" w:eastAsia="SimSun" w:hAnsiTheme="minorHAnsi" w:cstheme="minorBidi"/>
          <w:sz w:val="20"/>
          <w:szCs w:val="20"/>
        </w:rPr>
        <w:t xml:space="preserve">) asignó USD 2,5 millones en 2023 para investigaciones en agrobiodiversidad y agricultura sostenible, y lidera la elaboración del Plan de Acción de Bioeconomía, </w:t>
      </w:r>
      <w:r w:rsidR="00B53BCF" w:rsidRPr="7CD6F03B">
        <w:rPr>
          <w:rFonts w:asciiTheme="minorHAnsi" w:eastAsia="SimSun" w:hAnsiTheme="minorHAnsi" w:cstheme="minorBidi"/>
          <w:sz w:val="20"/>
          <w:szCs w:val="20"/>
        </w:rPr>
        <w:t>cuya publicación está prevista para diciembre de 2025</w:t>
      </w:r>
      <w:r w:rsidRPr="00B53BCF">
        <w:rPr>
          <w:rFonts w:asciiTheme="minorHAnsi" w:eastAsia="SimSun" w:hAnsiTheme="minorHAnsi" w:cstheme="minorBidi"/>
          <w:sz w:val="20"/>
          <w:szCs w:val="20"/>
        </w:rPr>
        <w:t>.</w:t>
      </w:r>
    </w:p>
    <w:p w14:paraId="795A7694" w14:textId="11081600" w:rsidR="00B93334" w:rsidRPr="00B53BCF"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rPr>
      </w:pPr>
      <w:r w:rsidRPr="00B53BCF">
        <w:rPr>
          <w:rFonts w:asciiTheme="minorHAnsi" w:eastAsia="SimSun" w:hAnsiTheme="minorHAnsi" w:cstheme="minorBidi"/>
          <w:sz w:val="20"/>
          <w:szCs w:val="20"/>
        </w:rPr>
        <w:t>En relación con la conservación de la biodiversidad, el proyecto</w:t>
      </w:r>
      <w:r w:rsidR="00B53BCF" w:rsidRPr="00B53BCF">
        <w:rPr>
          <w:rFonts w:asciiTheme="minorHAnsi" w:eastAsia="SimSun" w:hAnsiTheme="minorHAnsi" w:cstheme="minorBidi"/>
          <w:sz w:val="20"/>
          <w:szCs w:val="20"/>
        </w:rPr>
        <w:t xml:space="preserve"> </w:t>
      </w:r>
      <w:r w:rsidR="00B53BCF">
        <w:rPr>
          <w:rFonts w:asciiTheme="minorHAnsi" w:eastAsia="SimSun" w:hAnsiTheme="minorHAnsi" w:cstheme="minorBidi"/>
          <w:sz w:val="20"/>
          <w:szCs w:val="20"/>
        </w:rPr>
        <w:t>del Subsistema Estatal de Áreas Protegidas</w:t>
      </w:r>
      <w:r w:rsidRPr="00B53BCF">
        <w:rPr>
          <w:rFonts w:asciiTheme="minorHAnsi" w:eastAsia="SimSun" w:hAnsiTheme="minorHAnsi" w:cstheme="minorBidi"/>
          <w:sz w:val="20"/>
          <w:szCs w:val="20"/>
        </w:rPr>
        <w:t> (SEAP)</w:t>
      </w:r>
      <w:r w:rsidR="00B53BCF" w:rsidRPr="00B53BCF">
        <w:rPr>
          <w:rFonts w:asciiTheme="minorHAnsi" w:eastAsia="SimSun" w:hAnsiTheme="minorHAnsi" w:cstheme="minorBidi"/>
          <w:sz w:val="20"/>
          <w:szCs w:val="20"/>
        </w:rPr>
        <w:t xml:space="preserve"> “Parques para la Vida”</w:t>
      </w:r>
      <w:r w:rsidRPr="00B53BCF">
        <w:rPr>
          <w:rFonts w:asciiTheme="minorHAnsi" w:eastAsia="SimSun" w:hAnsiTheme="minorHAnsi" w:cstheme="minorBidi"/>
          <w:sz w:val="20"/>
          <w:szCs w:val="20"/>
        </w:rPr>
        <w:t>, liderado por el MAE con asistencia técnica de la FAO y ejecutado por CONDESAN, se encuentra actualmente en ejecución hasta 2027 con financiamiento del FMAM. A nivel regional, el Banco de Desarrollo de América Latina y el Caribe (CAF) ha comprometido USD 1.250 millones hasta 2026 para restauración de ecosistemas marinos y costeros, y más de USD 2.000 millones anuales para mejorar la resiliencia ante desastres naturales, lo que podría generar impactos positivos indirectos en la Amazonía ecuatoriana.</w:t>
      </w:r>
    </w:p>
    <w:p w14:paraId="2C9E907C" w14:textId="766CF87F" w:rsidR="00B307E1" w:rsidRPr="00B307E1" w:rsidRDefault="00B307E1"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rPr>
      </w:pPr>
      <w:r w:rsidRPr="00B307E1">
        <w:rPr>
          <w:rFonts w:asciiTheme="minorHAnsi" w:eastAsia="SimSun" w:hAnsiTheme="minorHAnsi" w:cstheme="minorBidi"/>
          <w:sz w:val="20"/>
          <w:szCs w:val="20"/>
        </w:rPr>
        <w:t>Asimismo, se están desarrollando herramientas digitales como la Plataforma de Trazabilidad Agrícola, liderada por el MAGP, y proyectos de medición de huella de carbono, que podrían adaptarse para apoyar cadenas de valor sostenibles en la región amazónica. A pesar de estas inversiones, las iniciativas actuales cubren solo una fracción limitada de las necesidades de restauración en la cuenca. Se estima que menos del 10% de las áreas degradadas prioritarias cuenta actualmente con financiamiento o medidas activas de restauración. El costo promedio de restauración ecológica en la cuenca del Napo oscila entre USD 900 y USD 1.000 por hectárea, dependiendo de la estrategia empleada (regeneración natural asistida o reforestación activa). A esto se suman las presiones crecientes por 88.578 hectáreas bajo concesiones mineras y 278.661 hectáreas vinculadas a bloques petroleros activos.</w:t>
      </w:r>
    </w:p>
    <w:p w14:paraId="60F0D57F" w14:textId="77777777" w:rsidR="00B93334" w:rsidRPr="00B307E1"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B307E1">
        <w:rPr>
          <w:rFonts w:asciiTheme="minorHAnsi" w:eastAsia="SimSun" w:hAnsiTheme="minorHAnsi" w:cstheme="minorHAnsi"/>
          <w:bCs/>
          <w:iCs/>
          <w:sz w:val="20"/>
          <w:szCs w:val="20"/>
        </w:rPr>
        <w:t xml:space="preserve">Además de las actividades extractivas formales, la cuenca del río Napo enfrenta una creciente amenaza por la minería ilegal, que impulsa la deforestación, contamina fuentes hídricas, genera conflictos sociales y debilita los esfuerzos de </w:t>
      </w:r>
      <w:r w:rsidRPr="00B307E1">
        <w:rPr>
          <w:rFonts w:asciiTheme="minorHAnsi" w:eastAsia="SimSun" w:hAnsiTheme="minorHAnsi" w:cstheme="minorHAnsi"/>
          <w:bCs/>
          <w:iCs/>
          <w:sz w:val="20"/>
          <w:szCs w:val="20"/>
        </w:rPr>
        <w:lastRenderedPageBreak/>
        <w:t>manejo sostenible del territorio. Abordar la minería ilegal y sus impactos ambientales y sociales será una prioridad clave dentro de las intervenciones de gobernanza del paisaje y restauración del proyecto.</w:t>
      </w:r>
    </w:p>
    <w:p w14:paraId="123B51F7" w14:textId="4EA15031" w:rsidR="00B93334" w:rsidRPr="00B307E1" w:rsidRDefault="00B9333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B307E1">
        <w:rPr>
          <w:rFonts w:asciiTheme="minorHAnsi" w:eastAsia="SimSun" w:hAnsiTheme="minorHAnsi" w:cstheme="minorHAnsi"/>
          <w:bCs/>
          <w:iCs/>
          <w:sz w:val="20"/>
          <w:szCs w:val="20"/>
        </w:rPr>
        <w:t>Para garantizar la trazabilidad, transparencia y consistencia metodológica, la línea base será monitoreada y actualizada periódicamente a través del sistema PRAIS y la medición de los indicadores centrales del FMAM.</w:t>
      </w:r>
      <w:r w:rsidR="00213981">
        <w:rPr>
          <w:rFonts w:asciiTheme="minorHAnsi" w:eastAsia="SimSun" w:hAnsiTheme="minorHAnsi" w:cstheme="minorHAnsi"/>
          <w:bCs/>
          <w:iCs/>
          <w:sz w:val="20"/>
          <w:szCs w:val="20"/>
        </w:rPr>
        <w:t xml:space="preserve"> </w:t>
      </w:r>
      <w:proofErr w:type="gramStart"/>
      <w:r w:rsidRPr="00B307E1">
        <w:rPr>
          <w:rFonts w:asciiTheme="minorHAnsi" w:eastAsia="SimSun" w:hAnsiTheme="minorHAnsi" w:cstheme="minorHAnsi"/>
          <w:bCs/>
          <w:iCs/>
          <w:sz w:val="20"/>
          <w:szCs w:val="20"/>
        </w:rPr>
        <w:t>Total</w:t>
      </w:r>
      <w:proofErr w:type="gramEnd"/>
      <w:r w:rsidRPr="00B307E1">
        <w:rPr>
          <w:rFonts w:asciiTheme="minorHAnsi" w:eastAsia="SimSun" w:hAnsiTheme="minorHAnsi" w:cstheme="minorHAnsi"/>
          <w:bCs/>
          <w:iCs/>
          <w:sz w:val="20"/>
          <w:szCs w:val="20"/>
        </w:rPr>
        <w:t xml:space="preserve"> aproximado de inversiones existentes y proyectadas: USD 13.692.400.</w:t>
      </w:r>
    </w:p>
    <w:p w14:paraId="241AFEA2" w14:textId="77777777" w:rsidR="005D51B9" w:rsidRPr="00A51E75" w:rsidRDefault="005D51B9" w:rsidP="005D51B9">
      <w:pPr>
        <w:jc w:val="both"/>
        <w:rPr>
          <w:rFonts w:asciiTheme="minorHAnsi" w:eastAsia="SimSun" w:hAnsiTheme="minorHAnsi" w:cstheme="minorHAnsi"/>
          <w:iCs/>
          <w:sz w:val="20"/>
          <w:szCs w:val="20"/>
          <w:lang w:val="en-US"/>
        </w:rPr>
      </w:pPr>
    </w:p>
    <w:p w14:paraId="02589BD7" w14:textId="69BF976E" w:rsidR="005D51B9" w:rsidRPr="00D830D9" w:rsidRDefault="4EDD1CAE" w:rsidP="005D51B9">
      <w:pPr>
        <w:pStyle w:val="Descripcin"/>
        <w:keepNext/>
        <w:jc w:val="center"/>
        <w:rPr>
          <w:lang w:val="es-EC"/>
        </w:rPr>
      </w:pPr>
      <w:bookmarkStart w:id="8" w:name="_Toc201073146"/>
      <w:r w:rsidRPr="00A51E75">
        <w:t xml:space="preserve">Tabla </w:t>
      </w:r>
      <w:r w:rsidR="7E963F1C" w:rsidRPr="00A51E75">
        <w:fldChar w:fldCharType="begin"/>
      </w:r>
      <w:r w:rsidR="7E963F1C" w:rsidRPr="00A51E75">
        <w:instrText xml:space="preserve"> SEQ Tabla \* ARABIC </w:instrText>
      </w:r>
      <w:r w:rsidR="7E963F1C" w:rsidRPr="00A51E75">
        <w:fldChar w:fldCharType="separate"/>
      </w:r>
      <w:r w:rsidR="3851655E" w:rsidRPr="00A51E75">
        <w:rPr>
          <w:noProof/>
        </w:rPr>
        <w:t>1</w:t>
      </w:r>
      <w:r w:rsidR="7E963F1C" w:rsidRPr="00A51E75">
        <w:fldChar w:fldCharType="end"/>
      </w:r>
      <w:r w:rsidRPr="00A51E75">
        <w:t>: Cantidad de inversiones desglosadas por categoría</w:t>
      </w:r>
      <w:bookmarkEnd w:id="8"/>
    </w:p>
    <w:tbl>
      <w:tblPr>
        <w:tblStyle w:val="Tablaconcuadrcula"/>
        <w:tblW w:w="0" w:type="auto"/>
        <w:tblLook w:val="04A0" w:firstRow="1" w:lastRow="0" w:firstColumn="1" w:lastColumn="0" w:noHBand="0" w:noVBand="1"/>
      </w:tblPr>
      <w:tblGrid>
        <w:gridCol w:w="3036"/>
        <w:gridCol w:w="1870"/>
        <w:gridCol w:w="4841"/>
      </w:tblGrid>
      <w:tr w:rsidR="005D51B9" w:rsidRPr="00A51E75" w14:paraId="7ECA1AA6" w14:textId="77777777" w:rsidTr="7CD6F03B">
        <w:tc>
          <w:tcPr>
            <w:tcW w:w="0" w:type="auto"/>
          </w:tcPr>
          <w:p w14:paraId="0A079730" w14:textId="77777777" w:rsidR="005D51B9" w:rsidRPr="00A51E75" w:rsidRDefault="005D51B9">
            <w:pPr>
              <w:jc w:val="both"/>
              <w:rPr>
                <w:rFonts w:asciiTheme="minorHAnsi" w:eastAsia="SimSun" w:hAnsiTheme="minorHAnsi" w:cstheme="minorHAnsi"/>
                <w:iCs/>
                <w:sz w:val="18"/>
                <w:szCs w:val="18"/>
                <w:lang w:val="en-US"/>
              </w:rPr>
            </w:pPr>
            <w:r w:rsidRPr="00A51E75">
              <w:rPr>
                <w:rFonts w:asciiTheme="minorHAnsi" w:eastAsia="SimSun" w:hAnsiTheme="minorHAnsi" w:cstheme="minorHAnsi"/>
                <w:iCs/>
                <w:sz w:val="18"/>
                <w:szCs w:val="18"/>
              </w:rPr>
              <w:t xml:space="preserve">Categoría </w:t>
            </w:r>
          </w:p>
        </w:tc>
        <w:tc>
          <w:tcPr>
            <w:tcW w:w="0" w:type="auto"/>
          </w:tcPr>
          <w:p w14:paraId="603FCB87" w14:textId="77777777" w:rsidR="005D51B9" w:rsidRPr="00A51E75" w:rsidRDefault="005D51B9">
            <w:pPr>
              <w:jc w:val="both"/>
              <w:rPr>
                <w:rFonts w:asciiTheme="minorHAnsi" w:eastAsia="SimSun" w:hAnsiTheme="minorHAnsi" w:cstheme="minorHAnsi"/>
                <w:iCs/>
                <w:sz w:val="18"/>
                <w:szCs w:val="18"/>
                <w:lang w:val="en-US"/>
              </w:rPr>
            </w:pPr>
            <w:r w:rsidRPr="00A51E75">
              <w:rPr>
                <w:rFonts w:asciiTheme="minorHAnsi" w:eastAsia="SimSun" w:hAnsiTheme="minorHAnsi" w:cstheme="minorHAnsi"/>
                <w:iCs/>
                <w:sz w:val="18"/>
                <w:szCs w:val="18"/>
              </w:rPr>
              <w:t xml:space="preserve"> Inversión estimada (USD) </w:t>
            </w:r>
          </w:p>
        </w:tc>
        <w:tc>
          <w:tcPr>
            <w:tcW w:w="0" w:type="auto"/>
          </w:tcPr>
          <w:p w14:paraId="0A6FD1A3" w14:textId="77777777" w:rsidR="005D51B9" w:rsidRPr="00A51E75" w:rsidRDefault="005D51B9">
            <w:pPr>
              <w:jc w:val="both"/>
              <w:rPr>
                <w:rFonts w:asciiTheme="minorHAnsi" w:eastAsia="SimSun" w:hAnsiTheme="minorHAnsi" w:cstheme="minorHAnsi"/>
                <w:iCs/>
                <w:sz w:val="18"/>
                <w:szCs w:val="18"/>
                <w:lang w:val="en-US"/>
              </w:rPr>
            </w:pPr>
            <w:r w:rsidRPr="00A51E75">
              <w:rPr>
                <w:rFonts w:asciiTheme="minorHAnsi" w:eastAsia="SimSun" w:hAnsiTheme="minorHAnsi" w:cstheme="minorHAnsi"/>
                <w:iCs/>
                <w:sz w:val="18"/>
                <w:szCs w:val="18"/>
              </w:rPr>
              <w:t xml:space="preserve"> Estado de ejecución</w:t>
            </w:r>
          </w:p>
        </w:tc>
      </w:tr>
      <w:tr w:rsidR="005D51B9" w:rsidRPr="007D4F41" w14:paraId="7E63A7ED" w14:textId="77777777" w:rsidTr="7CD6F03B">
        <w:tc>
          <w:tcPr>
            <w:tcW w:w="0" w:type="auto"/>
          </w:tcPr>
          <w:p w14:paraId="2A6D5A9A" w14:textId="77777777" w:rsidR="005D51B9" w:rsidRPr="00D830D9" w:rsidRDefault="005D51B9">
            <w:pPr>
              <w:jc w:val="both"/>
              <w:rPr>
                <w:rFonts w:asciiTheme="minorHAnsi" w:eastAsia="SimSun" w:hAnsiTheme="minorHAnsi" w:cstheme="minorHAnsi"/>
                <w:iCs/>
                <w:sz w:val="18"/>
                <w:szCs w:val="18"/>
                <w:lang w:val="es-EC"/>
              </w:rPr>
            </w:pPr>
            <w:r w:rsidRPr="00A51E75">
              <w:rPr>
                <w:rFonts w:asciiTheme="minorHAnsi" w:eastAsia="SimSun" w:hAnsiTheme="minorHAnsi" w:cstheme="minorHAnsi"/>
                <w:iCs/>
                <w:sz w:val="18"/>
                <w:szCs w:val="18"/>
              </w:rPr>
              <w:t xml:space="preserve">Conservación forestal y mejora de la gestión </w:t>
            </w:r>
          </w:p>
        </w:tc>
        <w:tc>
          <w:tcPr>
            <w:tcW w:w="0" w:type="auto"/>
          </w:tcPr>
          <w:p w14:paraId="40398902" w14:textId="77777777" w:rsidR="005D51B9" w:rsidRPr="00A51E75" w:rsidRDefault="005D51B9">
            <w:pPr>
              <w:jc w:val="both"/>
              <w:rPr>
                <w:rFonts w:asciiTheme="minorHAnsi" w:eastAsia="SimSun" w:hAnsiTheme="minorHAnsi" w:cstheme="minorHAnsi"/>
                <w:iCs/>
                <w:sz w:val="18"/>
                <w:szCs w:val="18"/>
                <w:lang w:val="en-US"/>
              </w:rPr>
            </w:pPr>
            <w:r w:rsidRPr="00A51E75">
              <w:rPr>
                <w:rFonts w:asciiTheme="minorHAnsi" w:eastAsia="SimSun" w:hAnsiTheme="minorHAnsi" w:cstheme="minorHAnsi"/>
                <w:iCs/>
                <w:sz w:val="18"/>
                <w:szCs w:val="18"/>
              </w:rPr>
              <w:t xml:space="preserve"> 320,000 </w:t>
            </w:r>
          </w:p>
        </w:tc>
        <w:tc>
          <w:tcPr>
            <w:tcW w:w="0" w:type="auto"/>
          </w:tcPr>
          <w:p w14:paraId="7A49DB01" w14:textId="77777777" w:rsidR="005D51B9" w:rsidRPr="00D830D9" w:rsidRDefault="005D51B9">
            <w:pPr>
              <w:jc w:val="both"/>
              <w:rPr>
                <w:rFonts w:asciiTheme="minorHAnsi" w:eastAsia="SimSun" w:hAnsiTheme="minorHAnsi" w:cstheme="minorHAnsi"/>
                <w:iCs/>
                <w:sz w:val="18"/>
                <w:szCs w:val="18"/>
                <w:lang w:val="es-EC"/>
              </w:rPr>
            </w:pPr>
            <w:r w:rsidRPr="00A51E75">
              <w:rPr>
                <w:rFonts w:asciiTheme="minorHAnsi" w:eastAsia="SimSun" w:hAnsiTheme="minorHAnsi" w:cstheme="minorHAnsi"/>
                <w:iCs/>
                <w:sz w:val="18"/>
                <w:szCs w:val="18"/>
              </w:rPr>
              <w:t xml:space="preserve"> 50.000 USD pendientes de ejecución (Plan de Gestión para B.P. </w:t>
            </w:r>
            <w:proofErr w:type="spellStart"/>
            <w:r w:rsidRPr="00A51E75">
              <w:rPr>
                <w:rFonts w:asciiTheme="minorHAnsi" w:eastAsia="SimSun" w:hAnsiTheme="minorHAnsi" w:cstheme="minorHAnsi"/>
                <w:iCs/>
                <w:sz w:val="18"/>
                <w:szCs w:val="18"/>
              </w:rPr>
              <w:t>Pañacocha</w:t>
            </w:r>
            <w:proofErr w:type="spellEnd"/>
            <w:r w:rsidRPr="00A51E75">
              <w:rPr>
                <w:rFonts w:asciiTheme="minorHAnsi" w:eastAsia="SimSun" w:hAnsiTheme="minorHAnsi" w:cstheme="minorHAnsi"/>
                <w:iCs/>
                <w:sz w:val="18"/>
                <w:szCs w:val="18"/>
              </w:rPr>
              <w:t>)</w:t>
            </w:r>
          </w:p>
        </w:tc>
      </w:tr>
      <w:tr w:rsidR="005D51B9" w:rsidRPr="007D4F41" w14:paraId="3BA27E03" w14:textId="77777777" w:rsidTr="7CD6F03B">
        <w:tc>
          <w:tcPr>
            <w:tcW w:w="0" w:type="auto"/>
          </w:tcPr>
          <w:p w14:paraId="502E24F6" w14:textId="77777777" w:rsidR="005D51B9" w:rsidRPr="00D830D9" w:rsidRDefault="005D51B9">
            <w:pPr>
              <w:jc w:val="both"/>
              <w:rPr>
                <w:rFonts w:asciiTheme="minorHAnsi" w:eastAsia="SimSun" w:hAnsiTheme="minorHAnsi" w:cstheme="minorHAnsi"/>
                <w:iCs/>
                <w:sz w:val="18"/>
                <w:szCs w:val="18"/>
                <w:lang w:val="es-EC"/>
              </w:rPr>
            </w:pPr>
            <w:r w:rsidRPr="00A51E75">
              <w:rPr>
                <w:rFonts w:asciiTheme="minorHAnsi" w:eastAsia="SimSun" w:hAnsiTheme="minorHAnsi" w:cstheme="minorHAnsi"/>
                <w:iCs/>
                <w:sz w:val="18"/>
                <w:szCs w:val="18"/>
              </w:rPr>
              <w:t xml:space="preserve">Gestión sostenible del paisaje y bioeconomía </w:t>
            </w:r>
          </w:p>
        </w:tc>
        <w:tc>
          <w:tcPr>
            <w:tcW w:w="0" w:type="auto"/>
          </w:tcPr>
          <w:p w14:paraId="154CC092" w14:textId="77777777" w:rsidR="005D51B9" w:rsidRPr="00A51E75" w:rsidRDefault="005D51B9">
            <w:pPr>
              <w:jc w:val="both"/>
              <w:rPr>
                <w:rFonts w:asciiTheme="minorHAnsi" w:eastAsia="SimSun" w:hAnsiTheme="minorHAnsi" w:cstheme="minorHAnsi"/>
                <w:iCs/>
                <w:sz w:val="18"/>
                <w:szCs w:val="18"/>
                <w:lang w:val="en-US"/>
              </w:rPr>
            </w:pPr>
            <w:r w:rsidRPr="00A51E75">
              <w:rPr>
                <w:rFonts w:asciiTheme="minorHAnsi" w:eastAsia="SimSun" w:hAnsiTheme="minorHAnsi" w:cstheme="minorHAnsi"/>
                <w:iCs/>
                <w:sz w:val="18"/>
                <w:szCs w:val="18"/>
              </w:rPr>
              <w:t xml:space="preserve"> 8,000,000 </w:t>
            </w:r>
          </w:p>
        </w:tc>
        <w:tc>
          <w:tcPr>
            <w:tcW w:w="0" w:type="auto"/>
          </w:tcPr>
          <w:p w14:paraId="3C84544A" w14:textId="54356E8C" w:rsidR="005D51B9" w:rsidRPr="00D830D9" w:rsidRDefault="005D51B9" w:rsidP="7CD6F03B">
            <w:pPr>
              <w:jc w:val="both"/>
              <w:rPr>
                <w:rFonts w:asciiTheme="minorHAnsi" w:eastAsia="SimSun" w:hAnsiTheme="minorHAnsi" w:cstheme="minorBidi"/>
                <w:sz w:val="18"/>
                <w:szCs w:val="18"/>
                <w:lang w:val="es-EC"/>
              </w:rPr>
            </w:pPr>
            <w:r w:rsidRPr="7CD6F03B">
              <w:rPr>
                <w:rFonts w:asciiTheme="minorHAnsi" w:eastAsia="SimSun" w:hAnsiTheme="minorHAnsi" w:cstheme="minorBidi"/>
                <w:sz w:val="18"/>
                <w:szCs w:val="18"/>
              </w:rPr>
              <w:t xml:space="preserve"> Inversiones continuas y anuales (CTEA, </w:t>
            </w:r>
            <w:r w:rsidR="009E221F" w:rsidRPr="7CD6F03B">
              <w:rPr>
                <w:rFonts w:asciiTheme="minorHAnsi" w:eastAsia="SimSun" w:hAnsiTheme="minorHAnsi" w:cstheme="minorBidi"/>
                <w:sz w:val="18"/>
                <w:szCs w:val="18"/>
              </w:rPr>
              <w:t>MAGP</w:t>
            </w:r>
            <w:r w:rsidRPr="7CD6F03B">
              <w:rPr>
                <w:rFonts w:asciiTheme="minorHAnsi" w:eastAsia="SimSun" w:hAnsiTheme="minorHAnsi" w:cstheme="minorBidi"/>
                <w:sz w:val="18"/>
                <w:szCs w:val="18"/>
              </w:rPr>
              <w:t>, iniciativas de bioeconomía)</w:t>
            </w:r>
          </w:p>
        </w:tc>
      </w:tr>
      <w:tr w:rsidR="005D51B9" w:rsidRPr="007D4F41" w14:paraId="2E745A7D" w14:textId="77777777" w:rsidTr="7CD6F03B">
        <w:tc>
          <w:tcPr>
            <w:tcW w:w="0" w:type="auto"/>
          </w:tcPr>
          <w:p w14:paraId="63C91ED7" w14:textId="77777777" w:rsidR="005D51B9" w:rsidRPr="00D830D9" w:rsidRDefault="005D51B9">
            <w:pPr>
              <w:jc w:val="both"/>
              <w:rPr>
                <w:rFonts w:asciiTheme="minorHAnsi" w:eastAsia="SimSun" w:hAnsiTheme="minorHAnsi" w:cstheme="minorHAnsi"/>
                <w:iCs/>
                <w:sz w:val="18"/>
                <w:szCs w:val="18"/>
                <w:lang w:val="es-EC"/>
              </w:rPr>
            </w:pPr>
            <w:r w:rsidRPr="00A51E75">
              <w:rPr>
                <w:rFonts w:asciiTheme="minorHAnsi" w:eastAsia="SimSun" w:hAnsiTheme="minorHAnsi" w:cstheme="minorHAnsi"/>
                <w:iCs/>
                <w:sz w:val="18"/>
                <w:szCs w:val="18"/>
              </w:rPr>
              <w:t xml:space="preserve">Restauración de tierras y ecosistemas </w:t>
            </w:r>
          </w:p>
        </w:tc>
        <w:tc>
          <w:tcPr>
            <w:tcW w:w="0" w:type="auto"/>
          </w:tcPr>
          <w:p w14:paraId="35B11192" w14:textId="77777777" w:rsidR="005D51B9" w:rsidRPr="00A51E75" w:rsidRDefault="005D51B9">
            <w:pPr>
              <w:jc w:val="both"/>
              <w:rPr>
                <w:rFonts w:asciiTheme="minorHAnsi" w:eastAsia="SimSun" w:hAnsiTheme="minorHAnsi" w:cstheme="minorHAnsi"/>
                <w:iCs/>
                <w:sz w:val="18"/>
                <w:szCs w:val="18"/>
                <w:lang w:val="en-US"/>
              </w:rPr>
            </w:pPr>
            <w:r w:rsidRPr="00A51E75">
              <w:rPr>
                <w:rFonts w:asciiTheme="minorHAnsi" w:eastAsia="SimSun" w:hAnsiTheme="minorHAnsi" w:cstheme="minorHAnsi"/>
                <w:iCs/>
                <w:sz w:val="18"/>
                <w:szCs w:val="18"/>
              </w:rPr>
              <w:t xml:space="preserve"> 5,372,400 </w:t>
            </w:r>
          </w:p>
        </w:tc>
        <w:tc>
          <w:tcPr>
            <w:tcW w:w="0" w:type="auto"/>
          </w:tcPr>
          <w:p w14:paraId="64FBE45B" w14:textId="77777777" w:rsidR="005D51B9" w:rsidRPr="00D830D9" w:rsidRDefault="005D51B9">
            <w:pPr>
              <w:jc w:val="both"/>
              <w:rPr>
                <w:rFonts w:asciiTheme="minorHAnsi" w:eastAsia="SimSun" w:hAnsiTheme="minorHAnsi" w:cstheme="minorHAnsi"/>
                <w:iCs/>
                <w:sz w:val="18"/>
                <w:szCs w:val="18"/>
                <w:lang w:val="es-EC"/>
              </w:rPr>
            </w:pPr>
            <w:r w:rsidRPr="00A51E75">
              <w:rPr>
                <w:rFonts w:asciiTheme="minorHAnsi" w:eastAsia="SimSun" w:hAnsiTheme="minorHAnsi" w:cstheme="minorHAnsi"/>
                <w:iCs/>
                <w:sz w:val="18"/>
                <w:szCs w:val="18"/>
              </w:rPr>
              <w:t xml:space="preserve"> Totalmente ejecutado (proyectos PROAmazonía y PPR)</w:t>
            </w:r>
          </w:p>
        </w:tc>
      </w:tr>
    </w:tbl>
    <w:p w14:paraId="5DFA9872" w14:textId="77777777" w:rsidR="005D51B9" w:rsidRPr="00D830D9" w:rsidRDefault="005D51B9" w:rsidP="005D51B9">
      <w:pPr>
        <w:jc w:val="both"/>
        <w:rPr>
          <w:rFonts w:asciiTheme="minorHAnsi" w:eastAsia="SimSun" w:hAnsiTheme="minorHAnsi" w:cstheme="minorHAnsi"/>
          <w:iCs/>
          <w:sz w:val="20"/>
          <w:szCs w:val="20"/>
          <w:lang w:val="es-EC"/>
        </w:rPr>
      </w:pPr>
    </w:p>
    <w:bookmarkEnd w:id="7"/>
    <w:p w14:paraId="79BF918A" w14:textId="77777777" w:rsidR="006548E7" w:rsidRPr="006548E7" w:rsidRDefault="006548E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6548E7">
        <w:rPr>
          <w:rFonts w:asciiTheme="minorHAnsi" w:eastAsia="SimSun" w:hAnsiTheme="minorHAnsi" w:cstheme="minorHAnsi"/>
          <w:bCs/>
          <w:iCs/>
          <w:sz w:val="20"/>
          <w:szCs w:val="20"/>
        </w:rPr>
        <w:t>En cuanto al marco legal e institucional, el proyecto se alinea y contribuye directamente a la implementación de múltiples instrumentos nacionales, entre ellos: la Ley Orgánica de Recursos Hídricos, Usos y Aprovechamiento del Agua (</w:t>
      </w:r>
      <w:proofErr w:type="spellStart"/>
      <w:r w:rsidRPr="006548E7">
        <w:rPr>
          <w:rFonts w:asciiTheme="minorHAnsi" w:eastAsia="SimSun" w:hAnsiTheme="minorHAnsi" w:cstheme="minorHAnsi"/>
          <w:bCs/>
          <w:iCs/>
          <w:sz w:val="20"/>
          <w:szCs w:val="20"/>
        </w:rPr>
        <w:t>LORHUyA</w:t>
      </w:r>
      <w:proofErr w:type="spellEnd"/>
      <w:r w:rsidRPr="006548E7">
        <w:rPr>
          <w:rFonts w:asciiTheme="minorHAnsi" w:eastAsia="SimSun" w:hAnsiTheme="minorHAnsi" w:cstheme="minorHAnsi"/>
          <w:bCs/>
          <w:iCs/>
          <w:sz w:val="20"/>
          <w:szCs w:val="20"/>
        </w:rPr>
        <w:t>), la Estrategia y Plan de Acción Nacional de Biodiversidad (EPANB), la Estrategia Nacional de Cambio Climático, el Plan de Acción REDD+, el Plan de Acción Nacional para la Neutralidad en la Degradación de la Tierra, el Plan Nacional de Adaptación (PNA), el Plan Nacional de Mitigación del Cambio Climático (PLANMICC), la Estrategia Nacional de Economía Circular, la Evaluación Inicial de Minamata (MIA), el Libro Blanco de Bioeconomía y la Evaluación de Capacidades Nacionales (ECN).</w:t>
      </w:r>
    </w:p>
    <w:p w14:paraId="453F6214" w14:textId="459959CC" w:rsidR="006548E7" w:rsidRDefault="006548E7" w:rsidP="006548E7"/>
    <w:p w14:paraId="2F673180" w14:textId="77777777" w:rsidR="006548E7" w:rsidRPr="006548E7" w:rsidRDefault="006548E7" w:rsidP="006548E7">
      <w:pPr>
        <w:jc w:val="both"/>
        <w:rPr>
          <w:rFonts w:asciiTheme="minorHAnsi" w:eastAsia="SimSun" w:hAnsiTheme="minorHAnsi" w:cstheme="minorHAnsi"/>
          <w:b/>
          <w:bCs/>
          <w:iCs/>
        </w:rPr>
      </w:pPr>
      <w:r w:rsidRPr="006548E7">
        <w:rPr>
          <w:rFonts w:asciiTheme="minorHAnsi" w:eastAsia="SimSun" w:hAnsiTheme="minorHAnsi" w:cstheme="minorHAnsi"/>
          <w:b/>
          <w:bCs/>
          <w:iCs/>
        </w:rPr>
        <w:t>Solución a Largo Plazo (Alternativa FMAM)</w:t>
      </w:r>
    </w:p>
    <w:p w14:paraId="24E2CD66" w14:textId="5240436A" w:rsidR="006548E7" w:rsidRPr="006548E7" w:rsidRDefault="006548E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6548E7">
        <w:rPr>
          <w:rFonts w:asciiTheme="minorHAnsi" w:eastAsia="SimSun" w:hAnsiTheme="minorHAnsi" w:cstheme="minorHAnsi"/>
          <w:bCs/>
          <w:iCs/>
          <w:sz w:val="20"/>
          <w:szCs w:val="20"/>
        </w:rPr>
        <w:t>La solución a largo plazo implica promover una transición hacia el </w:t>
      </w:r>
      <w:r w:rsidRPr="00060BA1">
        <w:rPr>
          <w:rFonts w:asciiTheme="minorHAnsi" w:eastAsia="SimSun" w:hAnsiTheme="minorHAnsi" w:cstheme="minorHAnsi"/>
          <w:bCs/>
          <w:iCs/>
          <w:sz w:val="20"/>
          <w:szCs w:val="20"/>
        </w:rPr>
        <w:t>manejo sostenible del paisaje</w:t>
      </w:r>
      <w:r w:rsidRPr="006548E7">
        <w:rPr>
          <w:rFonts w:asciiTheme="minorHAnsi" w:eastAsia="SimSun" w:hAnsiTheme="minorHAnsi" w:cstheme="minorHAnsi"/>
          <w:bCs/>
          <w:iCs/>
          <w:sz w:val="20"/>
          <w:szCs w:val="20"/>
        </w:rPr>
        <w:t> y la </w:t>
      </w:r>
      <w:r w:rsidRPr="00060BA1">
        <w:rPr>
          <w:rFonts w:asciiTheme="minorHAnsi" w:eastAsia="SimSun" w:hAnsiTheme="minorHAnsi" w:cstheme="minorHAnsi"/>
          <w:bCs/>
          <w:iCs/>
          <w:sz w:val="20"/>
          <w:szCs w:val="20"/>
        </w:rPr>
        <w:t>restauración ecológica</w:t>
      </w:r>
      <w:r w:rsidRPr="006548E7">
        <w:rPr>
          <w:rFonts w:asciiTheme="minorHAnsi" w:eastAsia="SimSun" w:hAnsiTheme="minorHAnsi" w:cstheme="minorHAnsi"/>
          <w:bCs/>
          <w:iCs/>
          <w:sz w:val="20"/>
          <w:szCs w:val="20"/>
        </w:rPr>
        <w:t> en la cuenca del río Napo, mediante un enfoque de </w:t>
      </w:r>
      <w:r w:rsidRPr="00060BA1">
        <w:rPr>
          <w:rFonts w:asciiTheme="minorHAnsi" w:eastAsia="SimSun" w:hAnsiTheme="minorHAnsi" w:cstheme="minorHAnsi"/>
          <w:bCs/>
          <w:iCs/>
          <w:sz w:val="20"/>
          <w:szCs w:val="20"/>
        </w:rPr>
        <w:t>gobernanza territorial</w:t>
      </w:r>
      <w:r w:rsidRPr="006548E7">
        <w:rPr>
          <w:rFonts w:asciiTheme="minorHAnsi" w:eastAsia="SimSun" w:hAnsiTheme="minorHAnsi" w:cstheme="minorHAnsi"/>
          <w:bCs/>
          <w:iCs/>
          <w:sz w:val="20"/>
          <w:szCs w:val="20"/>
        </w:rPr>
        <w:t>, fortalecimiento de capacidades, conservación y restauración de ecosistemas, y transformación de los sistemas de producción hacia modelos sostenibles y resilientes al clima.</w:t>
      </w:r>
    </w:p>
    <w:p w14:paraId="2BEE89FD" w14:textId="77777777" w:rsidR="006548E7" w:rsidRPr="006548E7" w:rsidRDefault="006548E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6548E7">
        <w:rPr>
          <w:rFonts w:asciiTheme="minorHAnsi" w:eastAsia="SimSun" w:hAnsiTheme="minorHAnsi" w:cstheme="minorHAnsi"/>
          <w:bCs/>
          <w:iCs/>
          <w:sz w:val="20"/>
          <w:szCs w:val="20"/>
        </w:rPr>
        <w:t>Estas acciones contribuirán a la </w:t>
      </w:r>
      <w:r w:rsidRPr="00060BA1">
        <w:rPr>
          <w:rFonts w:asciiTheme="minorHAnsi" w:eastAsia="SimSun" w:hAnsiTheme="minorHAnsi" w:cstheme="minorHAnsi"/>
          <w:bCs/>
          <w:iCs/>
          <w:sz w:val="20"/>
          <w:szCs w:val="20"/>
        </w:rPr>
        <w:t>recuperación ambiental y climática</w:t>
      </w:r>
      <w:r w:rsidRPr="006548E7">
        <w:rPr>
          <w:rFonts w:asciiTheme="minorHAnsi" w:eastAsia="SimSun" w:hAnsiTheme="minorHAnsi" w:cstheme="minorHAnsi"/>
          <w:bCs/>
          <w:iCs/>
          <w:sz w:val="20"/>
          <w:szCs w:val="20"/>
        </w:rPr>
        <w:t> y a la </w:t>
      </w:r>
      <w:r w:rsidRPr="00060BA1">
        <w:rPr>
          <w:rFonts w:asciiTheme="minorHAnsi" w:eastAsia="SimSun" w:hAnsiTheme="minorHAnsi" w:cstheme="minorHAnsi"/>
          <w:bCs/>
          <w:iCs/>
          <w:sz w:val="20"/>
          <w:szCs w:val="20"/>
        </w:rPr>
        <w:t>mitigación de emisiones</w:t>
      </w:r>
      <w:r w:rsidRPr="006548E7">
        <w:rPr>
          <w:rFonts w:asciiTheme="minorHAnsi" w:eastAsia="SimSun" w:hAnsiTheme="minorHAnsi" w:cstheme="minorHAnsi"/>
          <w:bCs/>
          <w:iCs/>
          <w:sz w:val="20"/>
          <w:szCs w:val="20"/>
        </w:rPr>
        <w:t>, con un potencial estimado de reducción de </w:t>
      </w:r>
      <w:r w:rsidRPr="00060BA1">
        <w:rPr>
          <w:rFonts w:asciiTheme="minorHAnsi" w:eastAsia="SimSun" w:hAnsiTheme="minorHAnsi" w:cstheme="minorHAnsi"/>
          <w:bCs/>
          <w:iCs/>
          <w:sz w:val="20"/>
          <w:szCs w:val="20"/>
        </w:rPr>
        <w:t xml:space="preserve">605.643 </w:t>
      </w:r>
      <w:proofErr w:type="spellStart"/>
      <w:r w:rsidRPr="00060BA1">
        <w:rPr>
          <w:rFonts w:asciiTheme="minorHAnsi" w:eastAsia="SimSun" w:hAnsiTheme="minorHAnsi" w:cstheme="minorHAnsi"/>
          <w:bCs/>
          <w:iCs/>
          <w:sz w:val="20"/>
          <w:szCs w:val="20"/>
        </w:rPr>
        <w:t>tCO₂eq</w:t>
      </w:r>
      <w:proofErr w:type="spellEnd"/>
      <w:r w:rsidRPr="006548E7">
        <w:rPr>
          <w:rFonts w:asciiTheme="minorHAnsi" w:eastAsia="SimSun" w:hAnsiTheme="minorHAnsi" w:cstheme="minorHAnsi"/>
          <w:bCs/>
          <w:iCs/>
          <w:sz w:val="20"/>
          <w:szCs w:val="20"/>
        </w:rPr>
        <w:t> mediante restauración de ecosistemas y cambios en el uso del suelo. La solución se basa en un enfoque de </w:t>
      </w:r>
      <w:r w:rsidRPr="00060BA1">
        <w:rPr>
          <w:rFonts w:asciiTheme="minorHAnsi" w:eastAsia="SimSun" w:hAnsiTheme="minorHAnsi" w:cstheme="minorHAnsi"/>
          <w:bCs/>
          <w:iCs/>
          <w:sz w:val="20"/>
          <w:szCs w:val="20"/>
        </w:rPr>
        <w:t>Manejo Integrado del Paisaje (MIP)</w:t>
      </w:r>
      <w:r w:rsidRPr="006548E7">
        <w:rPr>
          <w:rFonts w:asciiTheme="minorHAnsi" w:eastAsia="SimSun" w:hAnsiTheme="minorHAnsi" w:cstheme="minorHAnsi"/>
          <w:bCs/>
          <w:iCs/>
          <w:sz w:val="20"/>
          <w:szCs w:val="20"/>
        </w:rPr>
        <w:t>, alineado con los principios del </w:t>
      </w:r>
      <w:r w:rsidRPr="00060BA1">
        <w:rPr>
          <w:rFonts w:asciiTheme="minorHAnsi" w:eastAsia="SimSun" w:hAnsiTheme="minorHAnsi" w:cstheme="minorHAnsi"/>
          <w:bCs/>
          <w:iCs/>
          <w:sz w:val="20"/>
          <w:szCs w:val="20"/>
        </w:rPr>
        <w:t>FMAM-8</w:t>
      </w:r>
      <w:r w:rsidRPr="006548E7">
        <w:rPr>
          <w:rFonts w:asciiTheme="minorHAnsi" w:eastAsia="SimSun" w:hAnsiTheme="minorHAnsi" w:cstheme="minorHAnsi"/>
          <w:bCs/>
          <w:iCs/>
          <w:sz w:val="20"/>
          <w:szCs w:val="20"/>
        </w:rPr>
        <w:t>, que integra de forma sinérgica la conservación, la restauración y la producción sostenible, considerando las dinámicas ecológicas, sociales y económicas del territorio. Más allá de los beneficios climáticos, esta solución generará </w:t>
      </w:r>
      <w:proofErr w:type="spellStart"/>
      <w:r w:rsidRPr="00060BA1">
        <w:rPr>
          <w:rFonts w:asciiTheme="minorHAnsi" w:eastAsia="SimSun" w:hAnsiTheme="minorHAnsi" w:cstheme="minorHAnsi"/>
          <w:bCs/>
          <w:iCs/>
          <w:sz w:val="20"/>
          <w:szCs w:val="20"/>
        </w:rPr>
        <w:t>co-beneficios</w:t>
      </w:r>
      <w:proofErr w:type="spellEnd"/>
      <w:r w:rsidRPr="00060BA1">
        <w:rPr>
          <w:rFonts w:asciiTheme="minorHAnsi" w:eastAsia="SimSun" w:hAnsiTheme="minorHAnsi" w:cstheme="minorHAnsi"/>
          <w:bCs/>
          <w:iCs/>
          <w:sz w:val="20"/>
          <w:szCs w:val="20"/>
        </w:rPr>
        <w:t xml:space="preserve"> significativos</w:t>
      </w:r>
      <w:r w:rsidRPr="006548E7">
        <w:rPr>
          <w:rFonts w:asciiTheme="minorHAnsi" w:eastAsia="SimSun" w:hAnsiTheme="minorHAnsi" w:cstheme="minorHAnsi"/>
          <w:bCs/>
          <w:iCs/>
          <w:sz w:val="20"/>
          <w:szCs w:val="20"/>
        </w:rPr>
        <w:t>: conservación de hábitats clave para la biodiversidad amazónica, protección de fuentes hídricas esenciales y fortalecimiento del tejido social mediante el empoderamiento de pueblos indígenas y mujeres rurales como actores clave de la transición ecológica. El proyecto busca impulsar un </w:t>
      </w:r>
      <w:r w:rsidRPr="00060BA1">
        <w:rPr>
          <w:rFonts w:asciiTheme="minorHAnsi" w:eastAsia="SimSun" w:hAnsiTheme="minorHAnsi" w:cstheme="minorHAnsi"/>
          <w:bCs/>
          <w:iCs/>
          <w:sz w:val="20"/>
          <w:szCs w:val="20"/>
        </w:rPr>
        <w:t>cambio transformador en la cuenca del río Napo</w:t>
      </w:r>
      <w:r w:rsidRPr="006548E7">
        <w:rPr>
          <w:rFonts w:asciiTheme="minorHAnsi" w:eastAsia="SimSun" w:hAnsiTheme="minorHAnsi" w:cstheme="minorHAnsi"/>
          <w:bCs/>
          <w:iCs/>
          <w:sz w:val="20"/>
          <w:szCs w:val="20"/>
        </w:rPr>
        <w:t>, promoviendo nuevas formas de gobernanza, producción y conservación que puedan replicarse en otras cuencas amazónicas y sostenerse en el tiempo.</w:t>
      </w:r>
    </w:p>
    <w:p w14:paraId="793070C5" w14:textId="3141F49D" w:rsidR="006548E7" w:rsidRDefault="006548E7" w:rsidP="006548E7"/>
    <w:p w14:paraId="1A39630E" w14:textId="77777777" w:rsidR="006548E7" w:rsidRPr="00060BA1" w:rsidRDefault="006548E7" w:rsidP="00060BA1">
      <w:pPr>
        <w:jc w:val="both"/>
        <w:rPr>
          <w:rFonts w:asciiTheme="minorHAnsi" w:eastAsia="SimSun" w:hAnsiTheme="minorHAnsi" w:cstheme="minorHAnsi"/>
          <w:b/>
          <w:bCs/>
          <w:iCs/>
        </w:rPr>
      </w:pPr>
      <w:proofErr w:type="gramStart"/>
      <w:r w:rsidRPr="00060BA1">
        <w:rPr>
          <w:rFonts w:asciiTheme="minorHAnsi" w:eastAsia="SimSun" w:hAnsiTheme="minorHAnsi" w:cstheme="minorHAnsi"/>
          <w:b/>
          <w:bCs/>
          <w:iCs/>
        </w:rPr>
        <w:t>Barreras a Superar</w:t>
      </w:r>
      <w:proofErr w:type="gramEnd"/>
      <w:r w:rsidRPr="00060BA1">
        <w:rPr>
          <w:rFonts w:asciiTheme="minorHAnsi" w:eastAsia="SimSun" w:hAnsiTheme="minorHAnsi" w:cstheme="minorHAnsi"/>
          <w:b/>
          <w:bCs/>
          <w:iCs/>
        </w:rPr>
        <w:t xml:space="preserve"> para Abordar el Problema</w:t>
      </w:r>
    </w:p>
    <w:p w14:paraId="2699DF23" w14:textId="3CDD1380" w:rsidR="006548E7" w:rsidRPr="00060BA1" w:rsidRDefault="006548E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060BA1">
        <w:rPr>
          <w:rFonts w:asciiTheme="minorHAnsi" w:eastAsia="SimSun" w:hAnsiTheme="minorHAnsi" w:cstheme="minorHAnsi"/>
          <w:bCs/>
          <w:iCs/>
          <w:sz w:val="20"/>
          <w:szCs w:val="20"/>
        </w:rPr>
        <w:t>Las barreras son:</w:t>
      </w:r>
    </w:p>
    <w:p w14:paraId="78120D64" w14:textId="77777777" w:rsidR="006548E7" w:rsidRPr="00060BA1" w:rsidRDefault="006548E7" w:rsidP="00EC2CBE">
      <w:pPr>
        <w:pStyle w:val="NormalWeb"/>
        <w:numPr>
          <w:ilvl w:val="0"/>
          <w:numId w:val="94"/>
        </w:numPr>
        <w:spacing w:before="100" w:beforeAutospacing="1" w:after="100" w:afterAutospacing="1"/>
        <w:rPr>
          <w:rFonts w:ascii="Calibri" w:hAnsi="Calibri" w:cs="Calibri"/>
          <w:color w:val="000000"/>
          <w:sz w:val="20"/>
          <w:szCs w:val="20"/>
        </w:rPr>
      </w:pPr>
      <w:r w:rsidRPr="00060BA1">
        <w:rPr>
          <w:rStyle w:val="Textoennegrita"/>
          <w:rFonts w:ascii="Calibri" w:hAnsi="Calibri" w:cs="Calibri"/>
          <w:color w:val="000000"/>
          <w:sz w:val="20"/>
          <w:szCs w:val="20"/>
        </w:rPr>
        <w:t>I</w:t>
      </w:r>
      <w:r w:rsidRPr="00060BA1">
        <w:rPr>
          <w:rFonts w:ascii="Calibri" w:hAnsi="Calibri" w:cs="Calibri"/>
          <w:sz w:val="20"/>
          <w:szCs w:val="20"/>
        </w:rPr>
        <w:t>nstitucionales</w:t>
      </w:r>
      <w:r w:rsidRPr="00060BA1">
        <w:rPr>
          <w:rStyle w:val="Textoennegrita"/>
          <w:rFonts w:ascii="Calibri" w:hAnsi="Calibri" w:cs="Calibri"/>
          <w:color w:val="000000"/>
          <w:sz w:val="20"/>
          <w:szCs w:val="20"/>
        </w:rPr>
        <w:t>:</w:t>
      </w:r>
      <w:r w:rsidRPr="00060BA1">
        <w:rPr>
          <w:rStyle w:val="apple-converted-space"/>
          <w:rFonts w:ascii="Calibri" w:hAnsi="Calibri" w:cs="Calibri"/>
          <w:color w:val="000000"/>
          <w:sz w:val="20"/>
          <w:szCs w:val="20"/>
        </w:rPr>
        <w:t> </w:t>
      </w:r>
      <w:r w:rsidRPr="00060BA1">
        <w:rPr>
          <w:rFonts w:ascii="Calibri" w:hAnsi="Calibri" w:cs="Calibri"/>
          <w:color w:val="000000"/>
          <w:sz w:val="20"/>
          <w:szCs w:val="20"/>
        </w:rPr>
        <w:t>Gobernanza fragmentada y limitada coordinación interinstitucional. Ausencia de integración sistemática de los criterios de</w:t>
      </w:r>
      <w:r w:rsidRPr="00060BA1">
        <w:rPr>
          <w:rStyle w:val="apple-converted-space"/>
          <w:rFonts w:ascii="Calibri" w:hAnsi="Calibri" w:cs="Calibri"/>
          <w:color w:val="000000"/>
          <w:sz w:val="20"/>
          <w:szCs w:val="20"/>
        </w:rPr>
        <w:t> </w:t>
      </w:r>
      <w:r w:rsidRPr="00060BA1">
        <w:rPr>
          <w:rStyle w:val="Textoennegrita"/>
          <w:rFonts w:ascii="Calibri" w:hAnsi="Calibri" w:cs="Calibri"/>
          <w:b w:val="0"/>
          <w:bCs w:val="0"/>
          <w:color w:val="000000"/>
          <w:sz w:val="20"/>
          <w:szCs w:val="20"/>
        </w:rPr>
        <w:t>Neutralidad en la Degradación de la Tierra (NDT)</w:t>
      </w:r>
      <w:r w:rsidRPr="00060BA1">
        <w:rPr>
          <w:rStyle w:val="apple-converted-space"/>
          <w:rFonts w:ascii="Calibri" w:hAnsi="Calibri" w:cs="Calibri"/>
          <w:b/>
          <w:bCs/>
          <w:color w:val="000000"/>
          <w:sz w:val="20"/>
          <w:szCs w:val="20"/>
        </w:rPr>
        <w:t> </w:t>
      </w:r>
      <w:r w:rsidRPr="00060BA1">
        <w:rPr>
          <w:rFonts w:ascii="Calibri" w:hAnsi="Calibri" w:cs="Calibri"/>
          <w:b/>
          <w:bCs/>
          <w:color w:val="000000"/>
          <w:sz w:val="20"/>
          <w:szCs w:val="20"/>
        </w:rPr>
        <w:t>en</w:t>
      </w:r>
      <w:r w:rsidRPr="00060BA1">
        <w:rPr>
          <w:rFonts w:ascii="Calibri" w:hAnsi="Calibri" w:cs="Calibri"/>
          <w:color w:val="000000"/>
          <w:sz w:val="20"/>
          <w:szCs w:val="20"/>
        </w:rPr>
        <w:t xml:space="preserve"> los planes de desarrollo y ordenamiento territorial (</w:t>
      </w:r>
      <w:r w:rsidRPr="00060BA1">
        <w:rPr>
          <w:sz w:val="20"/>
          <w:szCs w:val="20"/>
        </w:rPr>
        <w:t>PDOT</w:t>
      </w:r>
      <w:r w:rsidRPr="00060BA1">
        <w:rPr>
          <w:rFonts w:ascii="Calibri" w:hAnsi="Calibri" w:cs="Calibri"/>
          <w:color w:val="000000"/>
          <w:sz w:val="20"/>
          <w:szCs w:val="20"/>
        </w:rPr>
        <w:t>). Baja participación de comunidades indígenas y mujeres.</w:t>
      </w:r>
    </w:p>
    <w:p w14:paraId="6798A0B3" w14:textId="77777777" w:rsidR="006548E7" w:rsidRPr="00060BA1" w:rsidRDefault="006548E7" w:rsidP="00EC2CBE">
      <w:pPr>
        <w:pStyle w:val="NormalWeb"/>
        <w:numPr>
          <w:ilvl w:val="0"/>
          <w:numId w:val="94"/>
        </w:numPr>
        <w:spacing w:before="100" w:beforeAutospacing="1" w:after="100" w:afterAutospacing="1"/>
        <w:rPr>
          <w:rStyle w:val="Textoennegrita"/>
          <w:rFonts w:asciiTheme="minorHAnsi" w:hAnsiTheme="minorHAnsi" w:cstheme="minorHAnsi"/>
          <w:b w:val="0"/>
          <w:bCs w:val="0"/>
          <w:sz w:val="20"/>
          <w:szCs w:val="20"/>
        </w:rPr>
      </w:pPr>
      <w:r w:rsidRPr="00060BA1">
        <w:rPr>
          <w:rStyle w:val="Textoennegrita"/>
          <w:rFonts w:asciiTheme="minorHAnsi" w:hAnsiTheme="minorHAnsi" w:cstheme="minorHAnsi"/>
          <w:b w:val="0"/>
          <w:bCs w:val="0"/>
          <w:color w:val="000000"/>
          <w:sz w:val="20"/>
          <w:szCs w:val="20"/>
        </w:rPr>
        <w:t>Técnicas:</w:t>
      </w:r>
      <w:r w:rsidRPr="00060BA1">
        <w:rPr>
          <w:rStyle w:val="Textoennegrita"/>
          <w:rFonts w:asciiTheme="minorHAnsi" w:hAnsiTheme="minorHAnsi" w:cstheme="minorHAnsi"/>
          <w:b w:val="0"/>
          <w:bCs w:val="0"/>
          <w:sz w:val="20"/>
          <w:szCs w:val="20"/>
        </w:rPr>
        <w:t> Bajo uso de </w:t>
      </w:r>
      <w:r w:rsidRPr="00060BA1">
        <w:rPr>
          <w:rStyle w:val="Textoennegrita"/>
          <w:rFonts w:asciiTheme="minorHAnsi" w:hAnsiTheme="minorHAnsi" w:cstheme="minorHAnsi"/>
          <w:b w:val="0"/>
          <w:bCs w:val="0"/>
          <w:color w:val="000000"/>
          <w:sz w:val="20"/>
          <w:szCs w:val="20"/>
        </w:rPr>
        <w:t>Tecnologías de Manejo Sostenible de Tierras (TMST)</w:t>
      </w:r>
      <w:r w:rsidRPr="00060BA1">
        <w:rPr>
          <w:rStyle w:val="Textoennegrita"/>
          <w:rFonts w:asciiTheme="minorHAnsi" w:hAnsiTheme="minorHAnsi" w:cstheme="minorHAnsi"/>
          <w:b w:val="0"/>
          <w:bCs w:val="0"/>
          <w:sz w:val="20"/>
          <w:szCs w:val="20"/>
        </w:rPr>
        <w:t> pese a la alta disponibilidad de áreas prioritarias. Acceso limitado a tecnologías de monitoreo y conocimiento técnico especializado.</w:t>
      </w:r>
    </w:p>
    <w:p w14:paraId="6559D81B" w14:textId="77777777" w:rsidR="006548E7" w:rsidRPr="00060BA1" w:rsidRDefault="006548E7" w:rsidP="00EC2CBE">
      <w:pPr>
        <w:pStyle w:val="NormalWeb"/>
        <w:numPr>
          <w:ilvl w:val="0"/>
          <w:numId w:val="94"/>
        </w:numPr>
        <w:spacing w:before="100" w:beforeAutospacing="1" w:after="100" w:afterAutospacing="1"/>
        <w:rPr>
          <w:rStyle w:val="Textoennegrita"/>
          <w:rFonts w:asciiTheme="minorHAnsi" w:hAnsiTheme="minorHAnsi" w:cstheme="minorHAnsi"/>
          <w:b w:val="0"/>
          <w:bCs w:val="0"/>
          <w:sz w:val="20"/>
          <w:szCs w:val="20"/>
        </w:rPr>
      </w:pPr>
      <w:r w:rsidRPr="00060BA1">
        <w:rPr>
          <w:rStyle w:val="Textoennegrita"/>
          <w:rFonts w:asciiTheme="minorHAnsi" w:hAnsiTheme="minorHAnsi" w:cstheme="minorHAnsi"/>
          <w:b w:val="0"/>
          <w:bCs w:val="0"/>
          <w:color w:val="000000"/>
          <w:sz w:val="20"/>
          <w:szCs w:val="20"/>
        </w:rPr>
        <w:t>Sociales:</w:t>
      </w:r>
      <w:r w:rsidRPr="00060BA1">
        <w:rPr>
          <w:rStyle w:val="Textoennegrita"/>
          <w:rFonts w:asciiTheme="minorHAnsi" w:hAnsiTheme="minorHAnsi" w:cstheme="minorHAnsi"/>
          <w:b w:val="0"/>
          <w:bCs w:val="0"/>
          <w:sz w:val="20"/>
          <w:szCs w:val="20"/>
        </w:rPr>
        <w:t> Acceso limitado a financiamiento e incentivos. Ausencia de programas sostenidos y limitaciones en certificación, regulación y acceso a mercados.</w:t>
      </w:r>
    </w:p>
    <w:p w14:paraId="196286EC" w14:textId="77777777" w:rsidR="00060BA1" w:rsidRPr="00060BA1" w:rsidRDefault="00060BA1" w:rsidP="00060BA1">
      <w:pPr>
        <w:pStyle w:val="Ttulo3"/>
        <w:rPr>
          <w:color w:val="000000"/>
          <w:sz w:val="20"/>
          <w:szCs w:val="20"/>
        </w:rPr>
      </w:pPr>
      <w:r w:rsidRPr="00060BA1">
        <w:rPr>
          <w:rStyle w:val="Textoennegrita"/>
          <w:b w:val="0"/>
          <w:bCs w:val="0"/>
          <w:color w:val="000000"/>
          <w:sz w:val="20"/>
          <w:szCs w:val="20"/>
        </w:rPr>
        <w:lastRenderedPageBreak/>
        <w:t>Alineación con Compromisos Nacionales</w:t>
      </w:r>
    </w:p>
    <w:p w14:paraId="73DED469" w14:textId="77777777" w:rsidR="00060BA1" w:rsidRPr="00060BA1" w:rsidRDefault="00060BA1"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060BA1">
        <w:rPr>
          <w:rFonts w:asciiTheme="minorHAnsi" w:eastAsia="SimSun" w:hAnsiTheme="minorHAnsi" w:cstheme="minorHAnsi"/>
          <w:bCs/>
          <w:iCs/>
          <w:sz w:val="20"/>
          <w:szCs w:val="20"/>
        </w:rPr>
        <w:t>El proyecto está alineado con los principales compromisos ambientales, climáticos y de desarrollo sostenible del Ecuador. En el marco del Acuerdo de París, contribuye a la Contribución Determinada a Nivel Nacional (NDC) mediante la reducción de emisiones de gases de efecto invernadero (GEI) y el fortalecimiento de la resiliencia climática, especialmente en territorios indígenas y rurales.</w:t>
      </w:r>
    </w:p>
    <w:p w14:paraId="4687C7B1" w14:textId="77777777" w:rsidR="00060BA1" w:rsidRPr="00060BA1" w:rsidRDefault="00060BA1"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060BA1">
        <w:rPr>
          <w:rFonts w:asciiTheme="minorHAnsi" w:eastAsia="SimSun" w:hAnsiTheme="minorHAnsi" w:cstheme="minorHAnsi"/>
          <w:bCs/>
          <w:iCs/>
          <w:sz w:val="20"/>
          <w:szCs w:val="20"/>
        </w:rPr>
        <w:t>En cuanto a la biodiversidad, el proyecto respalda la Estrategia Nacional de Biodiversidad y su Plan de Acción (EPANB), mediante acciones de conservación y restauración en paisajes estratégicos y mecanismos de gobernanza participativa.</w:t>
      </w:r>
    </w:p>
    <w:p w14:paraId="62049B67" w14:textId="77777777" w:rsidR="00060BA1" w:rsidRPr="00060BA1" w:rsidRDefault="00060BA1"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060BA1">
        <w:rPr>
          <w:rFonts w:asciiTheme="minorHAnsi" w:eastAsia="SimSun" w:hAnsiTheme="minorHAnsi" w:cstheme="minorHAnsi"/>
          <w:bCs/>
          <w:iCs/>
          <w:sz w:val="20"/>
          <w:szCs w:val="20"/>
        </w:rPr>
        <w:t>También está alineado con la Estrategia Nacional de Calidad del Agua (ENCA) y el ODS 6, al proteger fuentes hídricas clave mediante Áreas de Protección Hídrica (APH) y mejorar la gobernanza del recurso hídrico. Responde, además, a los objetivos de la Estrategia Nacional de Cambio Climático (ENCC) y del Plan Nacional de Adaptación (PNA), al integrar medidas basadas en ecosistemas y reducir vulnerabilidades locales ante el cambio climático.</w:t>
      </w:r>
    </w:p>
    <w:p w14:paraId="65CAB0E8" w14:textId="77777777" w:rsidR="00060BA1" w:rsidRPr="00060BA1" w:rsidRDefault="00060BA1"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060BA1">
        <w:rPr>
          <w:rFonts w:asciiTheme="minorHAnsi" w:eastAsia="SimSun" w:hAnsiTheme="minorHAnsi" w:cstheme="minorHAnsi"/>
          <w:bCs/>
          <w:iCs/>
          <w:sz w:val="20"/>
          <w:szCs w:val="20"/>
        </w:rPr>
        <w:t>El proyecto promueve prácticas productivas regenerativas, alineadas con la Estrategia de Economía Circular, y contribuye al PLANMICC mediante la reducción de la deforestación. Apoya también la implementación de la Evaluación Inicial de Minamata (MIA) al ofrecer alternativas sostenibles frente a la minería informal. Finalmente, en concordancia con el Libro Blanco de la Bioeconomía y su futura estrategia nacional, fomenta el bioemprendimiento y el uso sostenible de la biodiversidad.</w:t>
      </w:r>
    </w:p>
    <w:p w14:paraId="721E04B3" w14:textId="77777777" w:rsidR="005C4C82" w:rsidRPr="00A75AC0" w:rsidRDefault="005C4C82"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A75AC0">
        <w:rPr>
          <w:rFonts w:asciiTheme="minorHAnsi" w:eastAsia="SimSun" w:hAnsiTheme="minorHAnsi" w:cstheme="minorHAnsi"/>
          <w:bCs/>
          <w:iCs/>
          <w:sz w:val="20"/>
          <w:szCs w:val="20"/>
        </w:rPr>
        <w:t>Finalmente, el proyecto respalda la implementación del Plan Nacional de Restauración del Paisaje y del Programa de Acción Nacional para la Neutralidad en la Degradación de la Tierra (PAN-NDT), contribuyendo a la neutralidad en la degradación de la tierra y al fortalecimiento de capacidades, en línea con la Evaluación de Capacidades Nacionales (ECN).</w:t>
      </w:r>
    </w:p>
    <w:p w14:paraId="04A73480" w14:textId="77777777" w:rsidR="005C4C82" w:rsidRPr="00A75AC0" w:rsidRDefault="005C4C82"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A75AC0">
        <w:rPr>
          <w:rFonts w:asciiTheme="minorHAnsi" w:eastAsia="SimSun" w:hAnsiTheme="minorHAnsi" w:cstheme="minorHAnsi"/>
          <w:bCs/>
          <w:iCs/>
          <w:sz w:val="20"/>
          <w:szCs w:val="20"/>
        </w:rPr>
        <w:t xml:space="preserve">Este proyecto contribuye a los objetivos del FMAM-8: BD-1, LD-1 y CCM-1, mediante acciones integradas de conservación, restauración y gestión sostenible del paisaje. Conserva y mejora la gestión de 125.000 ha (CI-1), restaura 4.020 ha (CI-3.1 y CI-3.2), promueve prácticas sostenibles en 45.179 ha (CI-4.1 y CI-4.3), y evita la emisión de 605.643 </w:t>
      </w:r>
      <w:proofErr w:type="spellStart"/>
      <w:r w:rsidRPr="00A75AC0">
        <w:rPr>
          <w:rFonts w:asciiTheme="minorHAnsi" w:eastAsia="SimSun" w:hAnsiTheme="minorHAnsi" w:cstheme="minorHAnsi"/>
          <w:bCs/>
          <w:iCs/>
          <w:sz w:val="20"/>
          <w:szCs w:val="20"/>
        </w:rPr>
        <w:t>tCO₂eq</w:t>
      </w:r>
      <w:proofErr w:type="spellEnd"/>
      <w:r w:rsidRPr="00A75AC0">
        <w:rPr>
          <w:rFonts w:asciiTheme="minorHAnsi" w:eastAsia="SimSun" w:hAnsiTheme="minorHAnsi" w:cstheme="minorHAnsi"/>
          <w:bCs/>
          <w:iCs/>
          <w:sz w:val="20"/>
          <w:szCs w:val="20"/>
        </w:rPr>
        <w:t> (CI-6) mediante la reducción de la deforestación. Beneficiará directamente a 7.676 personas (CI-11), con enfoque en mujeres y pueblos indígenas. Estas acciones generan beneficios ambientales globales y apoyan los compromisos del Ecuador con las NDC, los ODS y la Neutralidad en la Degradación de la Tierra (NDT).</w:t>
      </w:r>
    </w:p>
    <w:p w14:paraId="1D95D484" w14:textId="29137836" w:rsidR="005C4C82" w:rsidRPr="00A75AC0" w:rsidRDefault="005C4C82"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A75AC0">
        <w:rPr>
          <w:rFonts w:asciiTheme="minorHAnsi" w:eastAsia="SimSun" w:hAnsiTheme="minorHAnsi" w:cstheme="minorHAnsi"/>
          <w:bCs/>
          <w:iCs/>
          <w:sz w:val="20"/>
          <w:szCs w:val="20"/>
        </w:rPr>
        <w:t>El proyecto ha sido diseñado para responder a escenarios futuros de creciente degradación ambiental en la cuenca del río Napo, donde la deforestación, la expansión agrícola no sostenible, las actividades extractivas y los efectos del cambio climático amenazan la biodiversidad y la resiliencia de los ecosistemas. En un escenario pesimista, persisten barreras estructurales como la débil gobernanza, la limitada coordinación interinstitucional, el escaso acceso a financiamiento y la baja adopción de prácticas sostenibles, todo ello agravado por un contexto climático cada vez más adverso. En dicho escenario, el proyecto apunta a asegurar al menos una reducción del 8% en la tasa de deforestación, mediante estrategias integrales centradas en la restauración ecológica, el manejo sostenible de tierras y bosques, y el fortalecimiento de capacidades locales.</w:t>
      </w:r>
    </w:p>
    <w:p w14:paraId="52687B54" w14:textId="02692ADE" w:rsidR="00A75AC0" w:rsidRDefault="005C4C82"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A75AC0">
        <w:rPr>
          <w:rFonts w:asciiTheme="minorHAnsi" w:eastAsia="SimSun" w:hAnsiTheme="minorHAnsi" w:cstheme="minorHAnsi"/>
          <w:bCs/>
          <w:iCs/>
          <w:sz w:val="20"/>
          <w:szCs w:val="20"/>
        </w:rPr>
        <w:t>En un escenario optimista, la coordinación efectiva entre el MAE, los gobiernos locales (</w:t>
      </w:r>
      <w:proofErr w:type="spellStart"/>
      <w:r w:rsidRPr="00A75AC0">
        <w:rPr>
          <w:rFonts w:asciiTheme="minorHAnsi" w:eastAsia="SimSun" w:hAnsiTheme="minorHAnsi" w:cstheme="minorHAnsi"/>
          <w:bCs/>
          <w:iCs/>
          <w:sz w:val="20"/>
          <w:szCs w:val="20"/>
        </w:rPr>
        <w:t>GADs</w:t>
      </w:r>
      <w:proofErr w:type="spellEnd"/>
      <w:r w:rsidRPr="00A75AC0">
        <w:rPr>
          <w:rFonts w:asciiTheme="minorHAnsi" w:eastAsia="SimSun" w:hAnsiTheme="minorHAnsi" w:cstheme="minorHAnsi"/>
          <w:bCs/>
          <w:iCs/>
          <w:sz w:val="20"/>
          <w:szCs w:val="20"/>
        </w:rPr>
        <w:t>), las comunidades indígenas y locales, y otros actores clave como FODESNA, la Circunscripción Territorial Especial Amazónica, el Fondo Indígena para América Latina, el Fondo de Biocorredor Amazónico, y la cooperación internacional —incluyendo esfuerzos de restauración de la Agencia de los Estados Unidos para el Desarrollo Internacional</w:t>
      </w:r>
      <w:r w:rsidR="00B56952">
        <w:rPr>
          <w:rFonts w:asciiTheme="minorHAnsi" w:eastAsia="SimSun" w:hAnsiTheme="minorHAnsi" w:cstheme="minorHAnsi"/>
          <w:bCs/>
          <w:iCs/>
          <w:sz w:val="20"/>
          <w:szCs w:val="20"/>
        </w:rPr>
        <w:t xml:space="preserve"> </w:t>
      </w:r>
      <w:r w:rsidRPr="00A75AC0">
        <w:rPr>
          <w:rFonts w:asciiTheme="minorHAnsi" w:eastAsia="SimSun" w:hAnsiTheme="minorHAnsi" w:cstheme="minorHAnsi"/>
          <w:bCs/>
          <w:iCs/>
          <w:sz w:val="20"/>
          <w:szCs w:val="20"/>
        </w:rPr>
        <w:t>— permite acelerar la transición hacia un modelo de desarrollo regenerativo y resiliente al clima. En este escenario, se prevé el despliegue de incentivos económicos de pequeña escala a través de acuerdos de conservación, producción sostenible, agregación de valor y fortalecimiento social. Asimismo, se planifica la restauración piloto de 4.020 hectáreas, lo que contribuirá a mejorar la calidad del agua, aumentar la producción pesquera, reducir gastos en enfermedades gastrointestinales y mejorar la nutrición, posicionando la restauración forestal como una actividad estratégica para los gobiernos locales.</w:t>
      </w:r>
    </w:p>
    <w:p w14:paraId="78975B6D" w14:textId="50FE6BA6" w:rsidR="005C4C82" w:rsidRPr="00B56952" w:rsidRDefault="005C4C82" w:rsidP="00EC2CBE">
      <w:pPr>
        <w:pStyle w:val="Prrafodelista"/>
        <w:numPr>
          <w:ilvl w:val="0"/>
          <w:numId w:val="3"/>
        </w:numPr>
        <w:tabs>
          <w:tab w:val="clear" w:pos="360"/>
          <w:tab w:val="num" w:pos="0"/>
        </w:tabs>
        <w:spacing w:before="100" w:beforeAutospacing="1" w:after="100" w:afterAutospacing="1"/>
        <w:ind w:left="0" w:hanging="502"/>
        <w:jc w:val="both"/>
        <w:rPr>
          <w:rFonts w:asciiTheme="minorHAnsi" w:eastAsia="SimSun" w:hAnsiTheme="minorHAnsi" w:cstheme="minorHAnsi"/>
          <w:bCs/>
          <w:iCs/>
          <w:sz w:val="20"/>
          <w:szCs w:val="20"/>
        </w:rPr>
      </w:pPr>
      <w:r w:rsidRPr="00B56952">
        <w:rPr>
          <w:rFonts w:asciiTheme="minorHAnsi" w:eastAsia="SimSun" w:hAnsiTheme="minorHAnsi" w:cstheme="minorHAnsi"/>
          <w:bCs/>
          <w:iCs/>
          <w:sz w:val="20"/>
          <w:szCs w:val="20"/>
        </w:rPr>
        <w:t>El proyecto generará los siguientes Beneficios Ambientales Globales (BAG):</w:t>
      </w:r>
      <w:r w:rsidR="00B56952" w:rsidRPr="00B56952">
        <w:rPr>
          <w:rFonts w:asciiTheme="minorHAnsi" w:eastAsia="SimSun" w:hAnsiTheme="minorHAnsi" w:cstheme="minorHAnsi"/>
          <w:bCs/>
          <w:iCs/>
          <w:sz w:val="20"/>
          <w:szCs w:val="20"/>
        </w:rPr>
        <w:t xml:space="preserve"> </w:t>
      </w:r>
      <w:r w:rsidRPr="00B56952">
        <w:rPr>
          <w:rFonts w:asciiTheme="minorHAnsi" w:eastAsia="SimSun" w:hAnsiTheme="minorHAnsi" w:cstheme="minorHAnsi"/>
          <w:bCs/>
          <w:iCs/>
          <w:sz w:val="20"/>
          <w:szCs w:val="20"/>
        </w:rPr>
        <w:t>7.676 personas beneficiadas (40% mujeres) a través de acciones de gobernanza, restauración, producción sostenible y monitoreo (CI-11);</w:t>
      </w:r>
      <w:r w:rsidR="00B56952" w:rsidRPr="00B56952">
        <w:rPr>
          <w:rFonts w:asciiTheme="minorHAnsi" w:eastAsia="SimSun" w:hAnsiTheme="minorHAnsi" w:cstheme="minorHAnsi"/>
          <w:bCs/>
          <w:iCs/>
          <w:sz w:val="20"/>
          <w:szCs w:val="20"/>
        </w:rPr>
        <w:t xml:space="preserve"> </w:t>
      </w:r>
      <w:r w:rsidRPr="00B56952">
        <w:rPr>
          <w:rFonts w:asciiTheme="minorHAnsi" w:eastAsia="SimSun" w:hAnsiTheme="minorHAnsi" w:cstheme="minorHAnsi"/>
          <w:bCs/>
          <w:iCs/>
          <w:sz w:val="20"/>
          <w:szCs w:val="20"/>
        </w:rPr>
        <w:t>125.000 hectáreas bajo conservación o gestión sostenible (CI-1);</w:t>
      </w:r>
      <w:r w:rsidR="00B56952" w:rsidRPr="00B56952">
        <w:rPr>
          <w:rFonts w:asciiTheme="minorHAnsi" w:eastAsia="SimSun" w:hAnsiTheme="minorHAnsi" w:cstheme="minorHAnsi"/>
          <w:bCs/>
          <w:iCs/>
          <w:sz w:val="20"/>
          <w:szCs w:val="20"/>
        </w:rPr>
        <w:t xml:space="preserve"> </w:t>
      </w:r>
      <w:r w:rsidRPr="00B56952">
        <w:rPr>
          <w:rFonts w:asciiTheme="minorHAnsi" w:eastAsia="SimSun" w:hAnsiTheme="minorHAnsi" w:cstheme="minorHAnsi"/>
          <w:bCs/>
          <w:iCs/>
          <w:sz w:val="20"/>
          <w:szCs w:val="20"/>
        </w:rPr>
        <w:t>4.020 hectáreas restauradas, incluyendo 1.000 ha mediante regeneración natural y 3.020 ha mediante sistemas productivos regenerativos (CI-3.1 y CI-3.2);</w:t>
      </w:r>
      <w:r w:rsidR="00B56952" w:rsidRPr="00B56952">
        <w:rPr>
          <w:rFonts w:asciiTheme="minorHAnsi" w:eastAsia="SimSun" w:hAnsiTheme="minorHAnsi" w:cstheme="minorHAnsi"/>
          <w:bCs/>
          <w:iCs/>
          <w:sz w:val="20"/>
          <w:szCs w:val="20"/>
        </w:rPr>
        <w:t xml:space="preserve"> </w:t>
      </w:r>
      <w:r w:rsidRPr="00B56952">
        <w:rPr>
          <w:rFonts w:asciiTheme="minorHAnsi" w:eastAsia="SimSun" w:hAnsiTheme="minorHAnsi" w:cstheme="minorHAnsi"/>
          <w:bCs/>
          <w:iCs/>
          <w:sz w:val="20"/>
          <w:szCs w:val="20"/>
        </w:rPr>
        <w:t>45.179 hectáreas bajo prácticas mejoradas (21.189 ha forestales y 23.990 ha agroproductivas) (CI-4.1 y CI-4.3);</w:t>
      </w:r>
      <w:r w:rsidR="00B56952" w:rsidRPr="00B56952">
        <w:rPr>
          <w:rFonts w:asciiTheme="minorHAnsi" w:eastAsia="SimSun" w:hAnsiTheme="minorHAnsi" w:cstheme="minorHAnsi"/>
          <w:bCs/>
          <w:iCs/>
          <w:sz w:val="20"/>
          <w:szCs w:val="20"/>
        </w:rPr>
        <w:t xml:space="preserve"> </w:t>
      </w:r>
      <w:r w:rsidRPr="00B56952">
        <w:rPr>
          <w:rFonts w:asciiTheme="minorHAnsi" w:eastAsia="SimSun" w:hAnsiTheme="minorHAnsi" w:cstheme="minorHAnsi"/>
          <w:bCs/>
          <w:iCs/>
          <w:sz w:val="20"/>
          <w:szCs w:val="20"/>
        </w:rPr>
        <w:t xml:space="preserve">605.643 </w:t>
      </w:r>
      <w:proofErr w:type="spellStart"/>
      <w:r w:rsidRPr="00B56952">
        <w:rPr>
          <w:rFonts w:asciiTheme="minorHAnsi" w:eastAsia="SimSun" w:hAnsiTheme="minorHAnsi" w:cstheme="minorHAnsi"/>
          <w:bCs/>
          <w:iCs/>
          <w:sz w:val="20"/>
          <w:szCs w:val="20"/>
        </w:rPr>
        <w:t>tCO₂eq</w:t>
      </w:r>
      <w:proofErr w:type="spellEnd"/>
      <w:r w:rsidRPr="00B56952">
        <w:rPr>
          <w:rFonts w:asciiTheme="minorHAnsi" w:eastAsia="SimSun" w:hAnsiTheme="minorHAnsi" w:cstheme="minorHAnsi"/>
          <w:bCs/>
          <w:iCs/>
          <w:sz w:val="20"/>
          <w:szCs w:val="20"/>
        </w:rPr>
        <w:t> en emisiones evitadas (CI-6).</w:t>
      </w:r>
      <w:r w:rsidR="00B56952" w:rsidRPr="00B56952">
        <w:rPr>
          <w:rFonts w:asciiTheme="minorHAnsi" w:eastAsia="SimSun" w:hAnsiTheme="minorHAnsi" w:cstheme="minorHAnsi"/>
          <w:bCs/>
          <w:iCs/>
          <w:sz w:val="20"/>
          <w:szCs w:val="20"/>
        </w:rPr>
        <w:t xml:space="preserve"> </w:t>
      </w:r>
      <w:r w:rsidRPr="00B56952">
        <w:rPr>
          <w:rFonts w:asciiTheme="minorHAnsi" w:eastAsia="SimSun" w:hAnsiTheme="minorHAnsi" w:cstheme="minorHAnsi"/>
          <w:bCs/>
          <w:iCs/>
          <w:sz w:val="20"/>
          <w:szCs w:val="20"/>
        </w:rPr>
        <w:t>Estos resultados contribuirán a la conservación de la biodiversidad, la mejora de la seguridad hídrica y el fortalecimiento de la resiliencia climática de los pueblos y nacionalidades indígenas.</w:t>
      </w:r>
    </w:p>
    <w:p w14:paraId="619B63F9" w14:textId="77777777" w:rsidR="005C4C82" w:rsidRPr="00B56952" w:rsidRDefault="005C4C82"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B56952">
        <w:rPr>
          <w:rFonts w:asciiTheme="minorHAnsi" w:eastAsia="SimSun" w:hAnsiTheme="minorHAnsi" w:cstheme="minorHAnsi"/>
          <w:bCs/>
          <w:iCs/>
          <w:sz w:val="20"/>
          <w:szCs w:val="20"/>
        </w:rPr>
        <w:t>El proyecto está diseñado para operar bajo el escenario más desafiante, pero con flexibilidad para adaptarse y escalar sus acciones en un contexto más favorable, promoviendo así impactos sostenibles a largo plazo sobre la biodiversidad, el clima, el agua y el desarrollo local.</w:t>
      </w:r>
    </w:p>
    <w:bookmarkEnd w:id="6"/>
    <w:p w14:paraId="02CA1EF3" w14:textId="384D3CA3" w:rsidR="00785EFF" w:rsidRPr="00D830D9" w:rsidRDefault="00785EFF" w:rsidP="008B6F84">
      <w:pPr>
        <w:jc w:val="both"/>
        <w:rPr>
          <w:rFonts w:asciiTheme="minorHAnsi" w:eastAsia="SimSun" w:hAnsiTheme="minorHAnsi" w:cstheme="minorHAnsi"/>
          <w:i/>
          <w:sz w:val="20"/>
          <w:szCs w:val="20"/>
          <w:lang w:val="es-EC"/>
        </w:rPr>
      </w:pPr>
    </w:p>
    <w:p w14:paraId="5DEDD0D0" w14:textId="77777777" w:rsidR="008B6F84" w:rsidRPr="00A51E75" w:rsidRDefault="00211737" w:rsidP="008B6F84">
      <w:pPr>
        <w:keepNext/>
        <w:pBdr>
          <w:top w:val="single" w:sz="4" w:space="1" w:color="auto"/>
        </w:pBdr>
        <w:tabs>
          <w:tab w:val="num" w:pos="720"/>
        </w:tabs>
        <w:suppressAutoHyphens/>
        <w:ind w:left="720" w:hanging="720"/>
        <w:jc w:val="both"/>
        <w:outlineLvl w:val="0"/>
        <w:rPr>
          <w:rFonts w:asciiTheme="minorHAnsi" w:eastAsia="SimSun" w:hAnsiTheme="minorHAnsi" w:cstheme="minorHAnsi"/>
          <w:b/>
          <w:smallCaps/>
          <w:spacing w:val="-2"/>
          <w:sz w:val="28"/>
          <w:szCs w:val="20"/>
          <w:lang w:val="en-US"/>
        </w:rPr>
      </w:pPr>
      <w:bookmarkStart w:id="9" w:name="_Toc221696294"/>
      <w:bookmarkStart w:id="10" w:name="_Toc207800911"/>
      <w:r w:rsidRPr="00A51E75">
        <w:rPr>
          <w:rFonts w:asciiTheme="minorHAnsi" w:eastAsia="SimSun" w:hAnsiTheme="minorHAnsi" w:cstheme="minorHAnsi"/>
          <w:b/>
          <w:smallCaps/>
          <w:spacing w:val="-2"/>
          <w:sz w:val="28"/>
          <w:szCs w:val="20"/>
        </w:rPr>
        <w:t>Estrategia</w:t>
      </w:r>
      <w:bookmarkEnd w:id="9"/>
      <w:r w:rsidRPr="00A51E75">
        <w:rPr>
          <w:rFonts w:asciiTheme="minorHAnsi" w:eastAsia="SimSun" w:hAnsiTheme="minorHAnsi" w:cstheme="minorHAnsi"/>
          <w:b/>
          <w:smallCaps/>
          <w:spacing w:val="-2"/>
          <w:sz w:val="28"/>
          <w:szCs w:val="20"/>
        </w:rPr>
        <w:t xml:space="preserve"> </w:t>
      </w:r>
      <w:bookmarkEnd w:id="10"/>
    </w:p>
    <w:p w14:paraId="3D318EF4" w14:textId="45DBCF8D" w:rsidR="00F77038" w:rsidRPr="00F77038" w:rsidRDefault="00F77038"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bookmarkStart w:id="11" w:name="_Hlk196746637"/>
      <w:bookmarkStart w:id="12" w:name="_Hlk196350523"/>
      <w:r w:rsidRPr="00F77038">
        <w:rPr>
          <w:rFonts w:asciiTheme="minorHAnsi" w:eastAsia="SimSun" w:hAnsiTheme="minorHAnsi" w:cstheme="minorHAnsi"/>
          <w:bCs/>
          <w:iCs/>
          <w:sz w:val="20"/>
          <w:szCs w:val="20"/>
        </w:rPr>
        <w:t>La Teoría del Cambio (TdC) del proyecto, presentada en la Figura 1, se basa en un cambio de paradigma integral: la integración del Manejo Sostenible de Tierras (MST), la planificación territorial participativa, la restauración ecológica, la inclusión financiera innovadora, la gestión del conocimiento y el aprovechamiento de soluciones digitales como instrumentos clave para revertir la degradación ambiental y fortalecer la resiliencia en la cuenca del río Napo. Esta transformación permitirá consolidar territorios sostenibles, mejorar la provisión de servicios ecosistémicos críticos y fortalecer los medios de vida locales, en coherencia con las prioridades del FMAM-8.</w:t>
      </w:r>
    </w:p>
    <w:p w14:paraId="29E2C967" w14:textId="3708C46D" w:rsidR="00F77038" w:rsidRPr="00F77038" w:rsidRDefault="00F77038" w:rsidP="00EC2CBE">
      <w:pPr>
        <w:pStyle w:val="Prrafodelista"/>
        <w:numPr>
          <w:ilvl w:val="0"/>
          <w:numId w:val="3"/>
        </w:numPr>
        <w:tabs>
          <w:tab w:val="clear" w:pos="360"/>
        </w:tabs>
        <w:ind w:left="0" w:hanging="502"/>
        <w:jc w:val="both"/>
        <w:rPr>
          <w:rFonts w:asciiTheme="minorHAnsi" w:eastAsia="SimSun" w:hAnsiTheme="minorHAnsi" w:cstheme="minorBidi"/>
          <w:sz w:val="20"/>
          <w:szCs w:val="20"/>
        </w:rPr>
      </w:pPr>
      <w:r w:rsidRPr="00F77038">
        <w:rPr>
          <w:rFonts w:asciiTheme="minorHAnsi" w:eastAsia="SimSun" w:hAnsiTheme="minorHAnsi" w:cstheme="minorBidi"/>
          <w:sz w:val="20"/>
          <w:szCs w:val="20"/>
        </w:rPr>
        <w:t>Las intervenciones “duras” previstas en el marco del proyecto —como la restauración de áreas degradadas, la implementación de prácticas sostenibles de manejo de suelos, el fortalecimiento de la gestión de áreas protegidas, y la provisión de infraestructura y equipamiento para actividades de conservación— están diseñadas para generar resultados medibles e impactos en los Beneficios Ambientales Globales (BAG). Estas acciones de campo contribuirán directamente a incrementar la superficie bajo manejo sostenible, mejorar el estado de conservación de la biodiversidad y reducir/remover emisiones de gases de efecto invernadero (GEI), cuantificadas mediante el indicador CI-6 en un horizonte de 20 años. De este modo, las inversiones físicas y operativas del proyecto se traducirán en beneficios ambientales verificables, alineados con los compromisos del FMAM-8 y con las metas nacionales de conservación y mitigación del cambio climático.</w:t>
      </w:r>
    </w:p>
    <w:p w14:paraId="57A9FD46" w14:textId="16AE2216" w:rsidR="00F77038" w:rsidRDefault="00F77038"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rPr>
      </w:pPr>
      <w:r w:rsidRPr="00F77038">
        <w:rPr>
          <w:rFonts w:asciiTheme="minorHAnsi" w:eastAsia="SimSun" w:hAnsiTheme="minorHAnsi" w:cstheme="minorBidi"/>
          <w:sz w:val="20"/>
          <w:szCs w:val="20"/>
        </w:rPr>
        <w:t>La TdC articula progresivamente productos, resultados y BAG: los productos directos (como instrumentos normativos actualizados, restauración de tierras, mecanismos financieros operativos, plataformas digitales y sistemas de monitoreo) facilitarán la generación de resultados (fortalecimiento de capacidades institucionales, cambios en los comportamientos productivos y mejora de las dinámicas de gobernanza), que a su vez conducirán al logro de BAG a nivel local, nacional y global. La TdC es de naturaleza dinámica y será revisada periódicamente durante la ejecución del proyecto para ajustarse a los cambios contextuales, los resultados del sistema de Monitoreo, Evaluación y Aprendizaje (MEL), y nuevas oportunidades de escalamiento.</w:t>
      </w:r>
    </w:p>
    <w:p w14:paraId="2F6651F4" w14:textId="7E2855D3" w:rsidR="00F77038" w:rsidRPr="00F77038" w:rsidRDefault="00F7703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El proyecto aborda la degradación ambiental multifactorial de la cuenca del río Napo, impulsada por actividades antrópicas (expansión agrícola no sostenible, deforestación, extracción de recursos, fragmentación de hábitats y contaminación hídrica) y fenómenos naturales (actividad volcánica, deslizamientos de tierra, lluvias intensas e impactos del cambio climático).</w:t>
      </w:r>
    </w:p>
    <w:p w14:paraId="0362CA39" w14:textId="6CBD50EF" w:rsidR="00F77038" w:rsidRPr="00F77038" w:rsidRDefault="00F7703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De acuerdo con proyecciones del Sistema de Planificación de Resiliencia frente al Cambio Climático (SPRACC), se prevé un aumento de las temperaturas, alteraciones en los regímenes de precipitación y una mayor frecuencia de eventos extremos, en un contexto de débil planificación territorial y limitados incentivos para el uso sostenible del suelo.</w:t>
      </w:r>
    </w:p>
    <w:p w14:paraId="39899863" w14:textId="77777777" w:rsidR="00F77038" w:rsidRPr="00CA70DF" w:rsidRDefault="00F7703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El proyecto identifica las siguientes </w:t>
      </w:r>
      <w:r w:rsidRPr="00CA70DF">
        <w:rPr>
          <w:rFonts w:asciiTheme="minorHAnsi" w:eastAsia="SimSun" w:hAnsiTheme="minorHAnsi" w:cstheme="minorHAnsi"/>
          <w:iCs/>
          <w:sz w:val="20"/>
          <w:szCs w:val="20"/>
        </w:rPr>
        <w:t>barreras estructurales críticas:</w:t>
      </w:r>
    </w:p>
    <w:p w14:paraId="6EA7DA17" w14:textId="77777777" w:rsidR="00F77038" w:rsidRPr="00F77038" w:rsidRDefault="00F77038" w:rsidP="00EC2CBE">
      <w:pPr>
        <w:numPr>
          <w:ilvl w:val="0"/>
          <w:numId w:val="22"/>
        </w:numPr>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Coordinación institucional limitada.</w:t>
      </w:r>
    </w:p>
    <w:p w14:paraId="3866932D" w14:textId="77777777" w:rsidR="00F77038" w:rsidRPr="00F77038" w:rsidRDefault="00F77038" w:rsidP="00EC2CBE">
      <w:pPr>
        <w:numPr>
          <w:ilvl w:val="0"/>
          <w:numId w:val="22"/>
        </w:numPr>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Baja adopción tecnológica de prácticas de restauración y producción sostenible.</w:t>
      </w:r>
    </w:p>
    <w:p w14:paraId="5228F1B3" w14:textId="77777777" w:rsidR="00F77038" w:rsidRPr="00F77038" w:rsidRDefault="00F77038" w:rsidP="00EC2CBE">
      <w:pPr>
        <w:numPr>
          <w:ilvl w:val="0"/>
          <w:numId w:val="22"/>
        </w:numPr>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Débil sostenibilidad financiera de las iniciativas ambientales.</w:t>
      </w:r>
    </w:p>
    <w:p w14:paraId="07CD3D64" w14:textId="77777777" w:rsidR="00F77038" w:rsidRPr="00F77038" w:rsidRDefault="00F77038" w:rsidP="00EC2CBE">
      <w:pPr>
        <w:numPr>
          <w:ilvl w:val="0"/>
          <w:numId w:val="22"/>
        </w:numPr>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Participación limitada de mujeres, jóvenes y pueblos indígenas.</w:t>
      </w:r>
    </w:p>
    <w:p w14:paraId="34B777F9" w14:textId="77777777" w:rsidR="00F77038" w:rsidRPr="00F77038" w:rsidRDefault="00F77038" w:rsidP="00EC2CBE">
      <w:pPr>
        <w:numPr>
          <w:ilvl w:val="0"/>
          <w:numId w:val="22"/>
        </w:numPr>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Competencia en el uso del suelo por modelos extractivos más rentables.</w:t>
      </w:r>
    </w:p>
    <w:p w14:paraId="5E011186" w14:textId="6EF128CF" w:rsidR="00F77038" w:rsidRPr="00F77038" w:rsidRDefault="00F77038" w:rsidP="00EC2CBE">
      <w:pPr>
        <w:numPr>
          <w:ilvl w:val="0"/>
          <w:numId w:val="22"/>
        </w:numPr>
        <w:jc w:val="both"/>
        <w:rPr>
          <w:rFonts w:asciiTheme="minorHAnsi" w:eastAsia="SimSun" w:hAnsiTheme="minorHAnsi" w:cstheme="minorHAnsi"/>
          <w:iCs/>
          <w:sz w:val="20"/>
          <w:szCs w:val="20"/>
        </w:rPr>
      </w:pPr>
      <w:r w:rsidRPr="00F77038">
        <w:rPr>
          <w:rFonts w:asciiTheme="minorHAnsi" w:eastAsia="SimSun" w:hAnsiTheme="minorHAnsi" w:cstheme="minorHAnsi"/>
          <w:iCs/>
          <w:sz w:val="20"/>
          <w:szCs w:val="20"/>
        </w:rPr>
        <w:t>Insuficiencia de mercados inclusivos y mecanismos financieros para productos sostenibles.</w:t>
      </w:r>
    </w:p>
    <w:p w14:paraId="04DB6113" w14:textId="77777777" w:rsidR="00F77038" w:rsidRPr="00CA70DF" w:rsidRDefault="00F7703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Para alcanzar los resultados esperados, el proyecto se sustenta en los siguientes supuestos clave:</w:t>
      </w:r>
    </w:p>
    <w:p w14:paraId="6F27D01E" w14:textId="77777777" w:rsidR="00F77038" w:rsidRPr="00CA70DF" w:rsidRDefault="00F77038" w:rsidP="00EC2CBE">
      <w:pPr>
        <w:numPr>
          <w:ilvl w:val="0"/>
          <w:numId w:val="23"/>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A1. Gobernanza efectiva: Se mantiene el compromiso político y técnico a nivel nacional y local para actualizar los instrumentos de gestión territorial y fortalecer los acuerdos de cogestión.</w:t>
      </w:r>
    </w:p>
    <w:p w14:paraId="65681445" w14:textId="77777777" w:rsidR="00F77038" w:rsidRPr="00CA70DF" w:rsidRDefault="00F77038" w:rsidP="00EC2CBE">
      <w:pPr>
        <w:numPr>
          <w:ilvl w:val="0"/>
          <w:numId w:val="23"/>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 xml:space="preserve">A2. Restauración y producción sostenibles: Los </w:t>
      </w:r>
      <w:proofErr w:type="spellStart"/>
      <w:r w:rsidRPr="00CA70DF">
        <w:rPr>
          <w:rFonts w:asciiTheme="minorHAnsi" w:eastAsia="SimSun" w:hAnsiTheme="minorHAnsi" w:cstheme="minorHAnsi"/>
          <w:iCs/>
          <w:sz w:val="20"/>
          <w:szCs w:val="20"/>
        </w:rPr>
        <w:t>GADs</w:t>
      </w:r>
      <w:proofErr w:type="spellEnd"/>
      <w:r w:rsidRPr="00CA70DF">
        <w:rPr>
          <w:rFonts w:asciiTheme="minorHAnsi" w:eastAsia="SimSun" w:hAnsiTheme="minorHAnsi" w:cstheme="minorHAnsi"/>
          <w:iCs/>
          <w:sz w:val="20"/>
          <w:szCs w:val="20"/>
        </w:rPr>
        <w:t>, comunidades y productores aseguran la sostenibilidad de los procesos de restauración y promueven la diversificación productiva.</w:t>
      </w:r>
    </w:p>
    <w:p w14:paraId="64DE8131" w14:textId="77777777" w:rsidR="00F77038" w:rsidRPr="00CA70DF" w:rsidRDefault="00F77038" w:rsidP="00EC2CBE">
      <w:pPr>
        <w:numPr>
          <w:ilvl w:val="0"/>
          <w:numId w:val="23"/>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A3. Financiamiento inclusivo: Se consolidan alianzas público-privadas que facilitan el acceso a mecanismos financieros para mujeres, jóvenes y pueblos indígenas.</w:t>
      </w:r>
    </w:p>
    <w:p w14:paraId="470F24BE" w14:textId="77777777" w:rsidR="00F77038" w:rsidRPr="00CA70DF" w:rsidRDefault="00F77038" w:rsidP="00EC2CBE">
      <w:pPr>
        <w:numPr>
          <w:ilvl w:val="0"/>
          <w:numId w:val="23"/>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A4. Gestión del conocimiento: Los actores locales adoptan y utilizan eficazmente los sistemas de monitoreo y plataformas digitales para la toma de decisiones adaptativa.</w:t>
      </w:r>
    </w:p>
    <w:p w14:paraId="396F3D96" w14:textId="77777777" w:rsidR="00CA70DF" w:rsidRPr="00CA70DF" w:rsidRDefault="00CA70DF"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La estrategia de intervención se despliega a través de </w:t>
      </w:r>
      <w:r w:rsidRPr="00CA70DF">
        <w:rPr>
          <w:rFonts w:asciiTheme="minorHAnsi" w:eastAsia="SimSun" w:hAnsiTheme="minorHAnsi" w:cstheme="minorHAnsi"/>
          <w:b/>
          <w:bCs/>
          <w:iCs/>
          <w:sz w:val="20"/>
          <w:szCs w:val="20"/>
        </w:rPr>
        <w:t>cuatro vías de impacto</w:t>
      </w:r>
      <w:r w:rsidRPr="00CA70DF">
        <w:rPr>
          <w:rFonts w:asciiTheme="minorHAnsi" w:eastAsia="SimSun" w:hAnsiTheme="minorHAnsi" w:cstheme="minorHAnsi"/>
          <w:iCs/>
          <w:sz w:val="20"/>
          <w:szCs w:val="20"/>
        </w:rPr>
        <w:t>, alineadas con los componentes del proyecto:</w:t>
      </w:r>
    </w:p>
    <w:p w14:paraId="7B9A6EF1" w14:textId="77777777" w:rsidR="00CA70DF" w:rsidRPr="00CA70DF" w:rsidRDefault="00CA70DF" w:rsidP="00EC2CBE">
      <w:pPr>
        <w:numPr>
          <w:ilvl w:val="0"/>
          <w:numId w:val="24"/>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 xml:space="preserve">Gobernanza y planificación territorial (Componente 1): Fortalecimiento de capacidades de los </w:t>
      </w:r>
      <w:proofErr w:type="spellStart"/>
      <w:r w:rsidRPr="00CA70DF">
        <w:rPr>
          <w:rFonts w:asciiTheme="minorHAnsi" w:eastAsia="SimSun" w:hAnsiTheme="minorHAnsi" w:cstheme="minorHAnsi"/>
          <w:iCs/>
          <w:sz w:val="20"/>
          <w:szCs w:val="20"/>
        </w:rPr>
        <w:t>GADs</w:t>
      </w:r>
      <w:proofErr w:type="spellEnd"/>
      <w:r w:rsidRPr="00CA70DF">
        <w:rPr>
          <w:rFonts w:asciiTheme="minorHAnsi" w:eastAsia="SimSun" w:hAnsiTheme="minorHAnsi" w:cstheme="minorHAnsi"/>
          <w:iCs/>
          <w:sz w:val="20"/>
          <w:szCs w:val="20"/>
        </w:rPr>
        <w:t xml:space="preserve"> y comunidades indígenas, integración de los PDOT y los Planes de Vida, validación participativa, establecimiento de plataformas de diálogo multiactor y mejora de los instrumentos de ordenamiento territorial.</w:t>
      </w:r>
    </w:p>
    <w:p w14:paraId="6E9F1061" w14:textId="77777777" w:rsidR="00CA70DF" w:rsidRPr="00CA70DF" w:rsidRDefault="00CA70DF" w:rsidP="00EC2CBE">
      <w:pPr>
        <w:numPr>
          <w:ilvl w:val="0"/>
          <w:numId w:val="24"/>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lastRenderedPageBreak/>
        <w:t xml:space="preserve">Restauración ecológica y prácticas sostenibles (Componente 2): Restauración de 4.020 ha de tierras degradadas, conservación/mejora de 125.000 ha de bosques y paisajes productivos, manejo sostenible de 45.179 ha (≥21.189 ha de bosques de gestión comunitaria y ≥23.990 ha de sistemas </w:t>
      </w:r>
      <w:proofErr w:type="spellStart"/>
      <w:r w:rsidRPr="00CA70DF">
        <w:rPr>
          <w:rFonts w:asciiTheme="minorHAnsi" w:eastAsia="SimSun" w:hAnsiTheme="minorHAnsi" w:cstheme="minorHAnsi"/>
          <w:iCs/>
          <w:sz w:val="20"/>
          <w:szCs w:val="20"/>
        </w:rPr>
        <w:t>agroproductivos</w:t>
      </w:r>
      <w:proofErr w:type="spellEnd"/>
      <w:r w:rsidRPr="00CA70DF">
        <w:rPr>
          <w:rFonts w:asciiTheme="minorHAnsi" w:eastAsia="SimSun" w:hAnsiTheme="minorHAnsi" w:cstheme="minorHAnsi"/>
          <w:iCs/>
          <w:sz w:val="20"/>
          <w:szCs w:val="20"/>
        </w:rPr>
        <w:t xml:space="preserve">), capacitación de ≥961 personas en manejo forestal sostenible y ≥3.265 personas en producción sostenible, resultando en la reducción de 605.643 </w:t>
      </w:r>
      <w:proofErr w:type="spellStart"/>
      <w:r w:rsidRPr="00CA70DF">
        <w:rPr>
          <w:rFonts w:asciiTheme="minorHAnsi" w:eastAsia="SimSun" w:hAnsiTheme="minorHAnsi" w:cstheme="minorHAnsi"/>
          <w:iCs/>
          <w:sz w:val="20"/>
          <w:szCs w:val="20"/>
        </w:rPr>
        <w:t>tCO₂eq</w:t>
      </w:r>
      <w:proofErr w:type="spellEnd"/>
      <w:r w:rsidRPr="00CA70DF">
        <w:rPr>
          <w:rFonts w:asciiTheme="minorHAnsi" w:eastAsia="SimSun" w:hAnsiTheme="minorHAnsi" w:cstheme="minorHAnsi"/>
          <w:iCs/>
          <w:sz w:val="20"/>
          <w:szCs w:val="20"/>
        </w:rPr>
        <w:t>.</w:t>
      </w:r>
    </w:p>
    <w:p w14:paraId="67444AC1" w14:textId="77777777" w:rsidR="00CA70DF" w:rsidRPr="00CA70DF" w:rsidRDefault="00CA70DF" w:rsidP="00EC2CBE">
      <w:pPr>
        <w:numPr>
          <w:ilvl w:val="0"/>
          <w:numId w:val="24"/>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Financiamiento transformador e inclusión económica (Componente 3): Creación de un Fondo Revolvente Verde, líneas de crédito adaptadas y plataformas de comercialización sostenible, beneficiando al menos a 2.200 personas, con enfoque en mujeres, jóvenes y pueblos indígenas.</w:t>
      </w:r>
    </w:p>
    <w:p w14:paraId="41F4AF25" w14:textId="77777777" w:rsidR="00CA70DF" w:rsidRPr="00CA70DF" w:rsidRDefault="00CA70DF" w:rsidP="00EC2CBE">
      <w:pPr>
        <w:numPr>
          <w:ilvl w:val="0"/>
          <w:numId w:val="24"/>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Monitoreo participativo, gestión del conocimiento y soluciones digitales (Componente 4): Implementación de un Sistema de Alerta Temprana (SAT), plataformas digitales interoperables, monitoreo comunitario, fortalecimiento de capacidades locales y despliegue de una plataforma virtual multilingüe de aprendizaje.</w:t>
      </w:r>
    </w:p>
    <w:p w14:paraId="28302B15" w14:textId="77777777" w:rsidR="00CA70DF" w:rsidRPr="00CA70DF" w:rsidRDefault="00CA70DF"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Cada producto generado (regulaciones actualizadas, hectáreas restauradas, mecanismos de acceso financiero, sistemas de monitoreo instalados) habilitará un conjunto de resultados (gobernanza fortalecida, adopción de prácticas sostenibles de manejo del suelo, acceso a mercados diferenciados, mayor resiliencia climática local), que en conjunto conducirán al logro de los siguientes Beneficios Ambientales Globales (BAG):</w:t>
      </w:r>
    </w:p>
    <w:p w14:paraId="5AF192ED" w14:textId="77777777" w:rsidR="00CA70DF" w:rsidRPr="00CA70DF" w:rsidRDefault="00CA70DF" w:rsidP="00EC2CBE">
      <w:pPr>
        <w:numPr>
          <w:ilvl w:val="0"/>
          <w:numId w:val="25"/>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CI-1: 125.000 ha de áreas terrestres protegidas o con manejo mejorado.</w:t>
      </w:r>
    </w:p>
    <w:p w14:paraId="009E8730" w14:textId="77777777" w:rsidR="00CA70DF" w:rsidRPr="00CA70DF" w:rsidRDefault="00CA70DF" w:rsidP="00EC2CBE">
      <w:pPr>
        <w:numPr>
          <w:ilvl w:val="0"/>
          <w:numId w:val="25"/>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CI-3: 4.020 ha de tierras y ecosistemas restaurados (3.020 ha bajo restauración productiva y 1.000 ha bajo restauración ecológica).</w:t>
      </w:r>
    </w:p>
    <w:p w14:paraId="5CB4DDEE" w14:textId="77777777" w:rsidR="00CA70DF" w:rsidRPr="00CA70DF" w:rsidRDefault="00CA70DF" w:rsidP="00EC2CBE">
      <w:pPr>
        <w:numPr>
          <w:ilvl w:val="0"/>
          <w:numId w:val="25"/>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CI-4: 45.179 ha bajo prácticas mejoradas (Manejo Sostenible de Tierras - MST).</w:t>
      </w:r>
    </w:p>
    <w:p w14:paraId="21B2D4B9" w14:textId="77777777" w:rsidR="00CA70DF" w:rsidRPr="00CA70DF" w:rsidRDefault="00CA70DF" w:rsidP="00EC2CBE">
      <w:pPr>
        <w:numPr>
          <w:ilvl w:val="0"/>
          <w:numId w:val="25"/>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 xml:space="preserve">CI-6: 605.643 toneladas de </w:t>
      </w:r>
      <w:proofErr w:type="spellStart"/>
      <w:r w:rsidRPr="00CA70DF">
        <w:rPr>
          <w:rFonts w:asciiTheme="minorHAnsi" w:eastAsia="SimSun" w:hAnsiTheme="minorHAnsi" w:cstheme="minorHAnsi"/>
          <w:iCs/>
          <w:sz w:val="20"/>
          <w:szCs w:val="20"/>
        </w:rPr>
        <w:t>CO₂eq</w:t>
      </w:r>
      <w:proofErr w:type="spellEnd"/>
      <w:r w:rsidRPr="00CA70DF">
        <w:rPr>
          <w:rFonts w:asciiTheme="minorHAnsi" w:eastAsia="SimSun" w:hAnsiTheme="minorHAnsi" w:cstheme="minorHAnsi"/>
          <w:iCs/>
          <w:sz w:val="20"/>
          <w:szCs w:val="20"/>
        </w:rPr>
        <w:t xml:space="preserve"> evitadas.</w:t>
      </w:r>
    </w:p>
    <w:p w14:paraId="18826DC8" w14:textId="19A9F179" w:rsidR="00CA70DF" w:rsidRPr="00943C92" w:rsidRDefault="00CA70DF" w:rsidP="00EC2CBE">
      <w:pPr>
        <w:numPr>
          <w:ilvl w:val="0"/>
          <w:numId w:val="25"/>
        </w:numPr>
        <w:jc w:val="both"/>
        <w:rPr>
          <w:rFonts w:asciiTheme="minorHAnsi" w:eastAsia="SimSun" w:hAnsiTheme="minorHAnsi" w:cstheme="minorHAnsi"/>
          <w:iCs/>
          <w:sz w:val="20"/>
          <w:szCs w:val="20"/>
        </w:rPr>
      </w:pPr>
      <w:r w:rsidRPr="00CA70DF">
        <w:rPr>
          <w:rFonts w:asciiTheme="minorHAnsi" w:eastAsia="SimSun" w:hAnsiTheme="minorHAnsi" w:cstheme="minorHAnsi"/>
          <w:iCs/>
          <w:sz w:val="20"/>
          <w:szCs w:val="20"/>
        </w:rPr>
        <w:t>CI-11: 7.676 personas beneficiadas directamente, con al menos un 40% mujeres.</w:t>
      </w:r>
    </w:p>
    <w:p w14:paraId="212F56B9" w14:textId="0BE2861E" w:rsidR="00CA70DF" w:rsidRPr="00167B86" w:rsidRDefault="00167B86"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167B86">
        <w:rPr>
          <w:rFonts w:asciiTheme="minorHAnsi" w:eastAsia="SimSun" w:hAnsiTheme="minorHAnsi" w:cstheme="minorHAnsi"/>
          <w:iCs/>
          <w:sz w:val="20"/>
          <w:szCs w:val="20"/>
        </w:rPr>
        <w:t>Además</w:t>
      </w:r>
      <w:r w:rsidR="00CA70DF" w:rsidRPr="00167B86">
        <w:rPr>
          <w:rFonts w:asciiTheme="minorHAnsi" w:eastAsia="SimSun" w:hAnsiTheme="minorHAnsi" w:cstheme="minorHAnsi"/>
          <w:iCs/>
          <w:sz w:val="20"/>
          <w:szCs w:val="20"/>
        </w:rPr>
        <w:t>, el proyecto promoverá </w:t>
      </w:r>
      <w:r w:rsidR="00CA70DF" w:rsidRPr="00167B86">
        <w:rPr>
          <w:rFonts w:asciiTheme="minorHAnsi" w:eastAsia="SimSun" w:hAnsiTheme="minorHAnsi" w:cstheme="minorHAnsi"/>
          <w:b/>
          <w:bCs/>
          <w:iCs/>
          <w:sz w:val="20"/>
          <w:szCs w:val="20"/>
        </w:rPr>
        <w:t>beneficios sociales</w:t>
      </w:r>
      <w:r w:rsidR="00CA70DF" w:rsidRPr="00167B86">
        <w:rPr>
          <w:rFonts w:asciiTheme="minorHAnsi" w:eastAsia="SimSun" w:hAnsiTheme="minorHAnsi" w:cstheme="minorHAnsi"/>
          <w:iCs/>
          <w:sz w:val="20"/>
          <w:szCs w:val="20"/>
        </w:rPr>
        <w:t> (acceso equitativo a servicios y oportunidades económicas inclusivas) y otros </w:t>
      </w:r>
      <w:r w:rsidR="00CA70DF" w:rsidRPr="00167B86">
        <w:rPr>
          <w:rFonts w:asciiTheme="minorHAnsi" w:eastAsia="SimSun" w:hAnsiTheme="minorHAnsi" w:cstheme="minorHAnsi"/>
          <w:b/>
          <w:bCs/>
          <w:iCs/>
          <w:sz w:val="20"/>
          <w:szCs w:val="20"/>
        </w:rPr>
        <w:t>beneficios ambientales</w:t>
      </w:r>
      <w:r w:rsidR="00CA70DF" w:rsidRPr="00167B86">
        <w:rPr>
          <w:rFonts w:asciiTheme="minorHAnsi" w:eastAsia="SimSun" w:hAnsiTheme="minorHAnsi" w:cstheme="minorHAnsi"/>
          <w:iCs/>
          <w:sz w:val="20"/>
          <w:szCs w:val="20"/>
        </w:rPr>
        <w:t> (restauración de ecosistemas críticos).</w:t>
      </w:r>
    </w:p>
    <w:p w14:paraId="24D71E1E" w14:textId="7C98C1DB" w:rsidR="00CA70DF" w:rsidRPr="00574171" w:rsidRDefault="00CA70DF"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La participación continua y significativa de actores clave se garantizará mediante el Plan de Participación de las Partes Interesadas (</w:t>
      </w:r>
      <w:r w:rsidR="00167B86" w:rsidRPr="00574171">
        <w:rPr>
          <w:rFonts w:asciiTheme="minorHAnsi" w:eastAsia="SimSun" w:hAnsiTheme="minorHAnsi" w:cstheme="minorHAnsi"/>
          <w:iCs/>
          <w:sz w:val="20"/>
          <w:szCs w:val="20"/>
        </w:rPr>
        <w:t>PPPI</w:t>
      </w:r>
      <w:r w:rsidRPr="00574171">
        <w:rPr>
          <w:rFonts w:asciiTheme="minorHAnsi" w:eastAsia="SimSun" w:hAnsiTheme="minorHAnsi" w:cstheme="minorHAnsi"/>
          <w:iCs/>
          <w:sz w:val="20"/>
          <w:szCs w:val="20"/>
        </w:rPr>
        <w:t>), activando mecanismos como los consejos de cuenca, comités de cogestión, redes de mujeres y jóvenes, y sistemas locales de retroalimentación. En el marco del Producto 1.1.3 (Proyectos diseñados con criterios de paisaje y equidad de género incluidos en los Planes de Vida) y el Producto 3.1.3(financiamiento para proyectos comunitarios vinculados a Planes de Vida), la ejecución directa estará a cargo de los Gobiernos Autónomos Descentralizados (</w:t>
      </w:r>
      <w:proofErr w:type="spellStart"/>
      <w:r w:rsidRPr="00574171">
        <w:rPr>
          <w:rFonts w:asciiTheme="minorHAnsi" w:eastAsia="SimSun" w:hAnsiTheme="minorHAnsi" w:cstheme="minorHAnsi"/>
          <w:iCs/>
          <w:sz w:val="20"/>
          <w:szCs w:val="20"/>
        </w:rPr>
        <w:t>GADs</w:t>
      </w:r>
      <w:proofErr w:type="spellEnd"/>
      <w:r w:rsidRPr="00574171">
        <w:rPr>
          <w:rFonts w:asciiTheme="minorHAnsi" w:eastAsia="SimSun" w:hAnsiTheme="minorHAnsi" w:cstheme="minorHAnsi"/>
          <w:iCs/>
          <w:sz w:val="20"/>
          <w:szCs w:val="20"/>
        </w:rPr>
        <w:t>), la Secretaría Técnica de la Circunscripción Territorial Amazónica, y las organizaciones representativas de las nacionalidades indígenas del área de intervención.</w:t>
      </w:r>
      <w:r w:rsidR="00574171" w:rsidRPr="00574171">
        <w:rPr>
          <w:rFonts w:asciiTheme="minorHAnsi" w:eastAsia="SimSun" w:hAnsiTheme="minorHAnsi" w:cstheme="minorHAnsi"/>
          <w:iCs/>
          <w:sz w:val="20"/>
          <w:szCs w:val="20"/>
        </w:rPr>
        <w:t xml:space="preserve"> </w:t>
      </w:r>
      <w:r w:rsidRPr="00574171">
        <w:rPr>
          <w:rFonts w:asciiTheme="minorHAnsi" w:eastAsia="SimSun" w:hAnsiTheme="minorHAnsi" w:cstheme="minorHAnsi"/>
          <w:iCs/>
          <w:sz w:val="20"/>
          <w:szCs w:val="20"/>
        </w:rPr>
        <w:t>El Producto 1.1.3 establecerá el diseño participativo de proyectos que integren criterios de paisaje y equidad de género en concordancia con los Planes de Vida, asegurando pertinencia cultural y ambiental, mientras que el Producto 3.1.3</w:t>
      </w:r>
      <w:r w:rsidR="00167B86" w:rsidRPr="00574171">
        <w:rPr>
          <w:rFonts w:asciiTheme="minorHAnsi" w:eastAsia="SimSun" w:hAnsiTheme="minorHAnsi" w:cstheme="minorHAnsi"/>
          <w:iCs/>
          <w:sz w:val="20"/>
          <w:szCs w:val="20"/>
        </w:rPr>
        <w:t xml:space="preserve"> </w:t>
      </w:r>
      <w:r w:rsidRPr="00574171">
        <w:rPr>
          <w:rFonts w:asciiTheme="minorHAnsi" w:eastAsia="SimSun" w:hAnsiTheme="minorHAnsi" w:cstheme="minorHAnsi"/>
          <w:iCs/>
          <w:sz w:val="20"/>
          <w:szCs w:val="20"/>
        </w:rPr>
        <w:t>proveerá el mecanismo inicial de financiamiento para su implementación. De esta forma, la identificación, priorización y ejecución en territorio se realizará de forma coordinada, asegurando el cumplimiento de los criterios de elegibilidad y objetivos del proyecto, así como su contribución a los BAG y a la equidad de género.</w:t>
      </w:r>
    </w:p>
    <w:p w14:paraId="1BF59118" w14:textId="77777777" w:rsidR="00574171" w:rsidRPr="00574171" w:rsidRDefault="00574171"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La sostenibilidad del proyecto se garantizará mediante:</w:t>
      </w:r>
    </w:p>
    <w:p w14:paraId="36CC0A21" w14:textId="77777777" w:rsidR="00574171" w:rsidRPr="00574171" w:rsidRDefault="00574171" w:rsidP="00EC2CBE">
      <w:pPr>
        <w:numPr>
          <w:ilvl w:val="0"/>
          <w:numId w:val="26"/>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La integración de las acciones en los instrumentos de planificación territorial.</w:t>
      </w:r>
    </w:p>
    <w:p w14:paraId="4CAD679C" w14:textId="77777777" w:rsidR="00574171" w:rsidRPr="00574171" w:rsidRDefault="00574171" w:rsidP="00EC2CBE">
      <w:pPr>
        <w:numPr>
          <w:ilvl w:val="0"/>
          <w:numId w:val="26"/>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La formalización de mecanismos financieros, tales como el Fondo Revolvente Verde y los Pagos por Servicios Ecosistémicos (PSE).</w:t>
      </w:r>
    </w:p>
    <w:p w14:paraId="336C9A6C" w14:textId="77777777" w:rsidR="00574171" w:rsidRPr="00574171" w:rsidRDefault="00574171" w:rsidP="00EC2CBE">
      <w:pPr>
        <w:numPr>
          <w:ilvl w:val="0"/>
          <w:numId w:val="26"/>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La transferencia de la operación y gestión de las plataformas territoriales de monitoreo ambiental —entendidas como espacios de coordinación multisectorial y sistemas digitales para el monitoreo de la biodiversidad y el agua— junto con brigadas comunitarias capacitadas, a las autoridades locales, las estructuras de gobernanza indígena y las organizaciones comunitarias. Esta transferencia busca asegurar la continuidad del monitoreo de los ecosistemas, las actividades de restauración y las funciones de coordinación territorial una vez finalizado el proyecto.</w:t>
      </w:r>
    </w:p>
    <w:p w14:paraId="686CF766" w14:textId="77777777" w:rsidR="00574171" w:rsidRPr="00574171" w:rsidRDefault="00574171" w:rsidP="00EC2CBE">
      <w:pPr>
        <w:numPr>
          <w:ilvl w:val="0"/>
          <w:numId w:val="26"/>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Una estrategia de salida estructurada, supervisada por un Comité de Sostenibilidad.</w:t>
      </w:r>
    </w:p>
    <w:p w14:paraId="375BFFE9" w14:textId="77777777" w:rsidR="00574171" w:rsidRPr="00574171" w:rsidRDefault="00574171" w:rsidP="00EC2CBE">
      <w:pPr>
        <w:numPr>
          <w:ilvl w:val="0"/>
          <w:numId w:val="26"/>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El mantenimiento de plataformas digitales de aprendizaje virtual, así como de los sistemas de monitoreo y trazabilidad.</w:t>
      </w:r>
    </w:p>
    <w:p w14:paraId="5F757126" w14:textId="77777777" w:rsidR="00574171" w:rsidRPr="00574171" w:rsidRDefault="00574171" w:rsidP="00EC2CBE">
      <w:pPr>
        <w:numPr>
          <w:ilvl w:val="0"/>
          <w:numId w:val="26"/>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La sistematización del conocimiento, la replicabilidad de buenas prácticas y la articulación con redes de cooperación Sur–Sur, que respaldarán el escalamiento territorial de las intervenciones.</w:t>
      </w:r>
    </w:p>
    <w:bookmarkEnd w:id="11"/>
    <w:bookmarkEnd w:id="12"/>
    <w:p w14:paraId="465C1057" w14:textId="77777777" w:rsidR="00574171" w:rsidRPr="00574171" w:rsidRDefault="00574171"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El proyecto activa las cuatro palancas transformadoras identificadas por el FMAM</w:t>
      </w:r>
      <w:r w:rsidRPr="00574171">
        <w:rPr>
          <w:rFonts w:asciiTheme="minorHAnsi" w:eastAsia="SimSun" w:hAnsiTheme="minorHAnsi" w:cstheme="minorHAnsi"/>
          <w:iCs/>
          <w:sz w:val="20"/>
          <w:szCs w:val="20"/>
        </w:rPr>
        <w:noBreakHyphen/>
        <w:t>8:</w:t>
      </w:r>
    </w:p>
    <w:p w14:paraId="54EBA4E8" w14:textId="77777777" w:rsidR="00574171" w:rsidRPr="00574171" w:rsidRDefault="00574171" w:rsidP="00EC2CBE">
      <w:pPr>
        <w:numPr>
          <w:ilvl w:val="0"/>
          <w:numId w:val="27"/>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Fortalecimiento de la gobernanza y de las políticas públicas.</w:t>
      </w:r>
    </w:p>
    <w:p w14:paraId="6F22472C" w14:textId="77777777" w:rsidR="00574171" w:rsidRPr="00574171" w:rsidRDefault="00574171" w:rsidP="00EC2CBE">
      <w:pPr>
        <w:numPr>
          <w:ilvl w:val="0"/>
          <w:numId w:val="27"/>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lastRenderedPageBreak/>
        <w:t>Movilización de recursos financieros innovadores.</w:t>
      </w:r>
    </w:p>
    <w:p w14:paraId="11115C99" w14:textId="77777777" w:rsidR="00574171" w:rsidRPr="00574171" w:rsidRDefault="00574171" w:rsidP="00EC2CBE">
      <w:pPr>
        <w:numPr>
          <w:ilvl w:val="0"/>
          <w:numId w:val="27"/>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Establecimiento de diálogos sistemáticos multiactor.</w:t>
      </w:r>
    </w:p>
    <w:p w14:paraId="621A0590" w14:textId="77777777" w:rsidR="00574171" w:rsidRPr="00574171" w:rsidRDefault="00574171" w:rsidP="00EC2CBE">
      <w:pPr>
        <w:numPr>
          <w:ilvl w:val="0"/>
          <w:numId w:val="27"/>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Promoción de la innovación y la gestión del conocimiento para la resiliencia.</w:t>
      </w:r>
    </w:p>
    <w:p w14:paraId="1B54570E" w14:textId="77777777" w:rsidR="00574171" w:rsidRPr="00574171" w:rsidRDefault="00574171"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Asimismo, contribuye directamente a marcos estratégicos internacionales, entre ellos el Marco de Cooperación de las Naciones Unidas para el Desarrollo Sostenible (UNSDCF) Ecuador 2023–2027, el Plan Estratégico del PNUD 2022–2025, las NDC, el Plan Nacional de Adaptación (PNA), el Plan de Acción para la Neutralidad en la Degradación de la Tierra (PAN</w:t>
      </w:r>
      <w:r w:rsidRPr="00574171">
        <w:rPr>
          <w:rFonts w:asciiTheme="minorHAnsi" w:eastAsia="SimSun" w:hAnsiTheme="minorHAnsi" w:cstheme="minorHAnsi"/>
          <w:iCs/>
          <w:sz w:val="20"/>
          <w:szCs w:val="20"/>
        </w:rPr>
        <w:noBreakHyphen/>
        <w:t>NDT), REDD+, el Marco Mundial de la Biodiversidad, y los ODS 6, 13, 15, 16 y 17.</w:t>
      </w:r>
    </w:p>
    <w:p w14:paraId="0D9C8397" w14:textId="77777777" w:rsidR="00574171" w:rsidRPr="00574171" w:rsidRDefault="00574171"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El proyecto contempla dos escenarios futuros:</w:t>
      </w:r>
    </w:p>
    <w:p w14:paraId="4870E09E" w14:textId="77777777" w:rsidR="00574171" w:rsidRPr="00574171" w:rsidRDefault="00574171" w:rsidP="00EC2CBE">
      <w:pPr>
        <w:numPr>
          <w:ilvl w:val="0"/>
          <w:numId w:val="28"/>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Escenario pesimista: Persisten las barreras estructurales, la adopción de prácticas sostenibles sigue siendo limitada y la apropiación del conocimiento es débil.</w:t>
      </w:r>
    </w:p>
    <w:p w14:paraId="2D65E00C" w14:textId="77777777" w:rsidR="00574171" w:rsidRPr="00574171" w:rsidRDefault="00574171" w:rsidP="00EC2CBE">
      <w:pPr>
        <w:numPr>
          <w:ilvl w:val="0"/>
          <w:numId w:val="28"/>
        </w:numPr>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Escenario optimista: Se logra una articulación efectiva entre el MAE, los </w:t>
      </w:r>
      <w:proofErr w:type="spellStart"/>
      <w:r w:rsidRPr="00574171">
        <w:rPr>
          <w:rFonts w:asciiTheme="minorHAnsi" w:eastAsia="SimSun" w:hAnsiTheme="minorHAnsi" w:cstheme="minorHAnsi"/>
          <w:iCs/>
          <w:sz w:val="20"/>
          <w:szCs w:val="20"/>
        </w:rPr>
        <w:t>GADs</w:t>
      </w:r>
      <w:proofErr w:type="spellEnd"/>
      <w:r w:rsidRPr="00574171">
        <w:rPr>
          <w:rFonts w:asciiTheme="minorHAnsi" w:eastAsia="SimSun" w:hAnsiTheme="minorHAnsi" w:cstheme="minorHAnsi"/>
          <w:iCs/>
          <w:sz w:val="20"/>
          <w:szCs w:val="20"/>
        </w:rPr>
        <w:t> y las comunidades, se adopta de manera generalizada el manejo regenerativo del paisaje y se fortalecen los mecanismos financieros e institucionales.</w:t>
      </w:r>
    </w:p>
    <w:p w14:paraId="3850ED40" w14:textId="77777777" w:rsidR="00574171" w:rsidRPr="00574171" w:rsidRDefault="00574171" w:rsidP="00574171">
      <w:pPr>
        <w:pStyle w:val="Prrafodelista"/>
        <w:ind w:left="0"/>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El diseño del proyecto garantiza resiliencia y capacidad de adaptación en ambos escenarios.</w:t>
      </w:r>
    </w:p>
    <w:p w14:paraId="13AA6F45" w14:textId="77777777" w:rsidR="00574171" w:rsidRPr="00574171" w:rsidRDefault="00574171"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74171">
        <w:rPr>
          <w:rFonts w:asciiTheme="minorHAnsi" w:eastAsia="SimSun" w:hAnsiTheme="minorHAnsi" w:cstheme="minorHAnsi"/>
          <w:iCs/>
          <w:sz w:val="20"/>
          <w:szCs w:val="20"/>
        </w:rPr>
        <w:t>El enfoque de género, orientado por el Plan de Acción de Género (PAG), asegura la participación efectiva y equitativa de mujeres, jóvenes y pueblos indígenas en todos los componentes del proyecto, contribuyendo al cierre de brechas históricas en el acceso a recursos, liderazgo y beneficios económicos.</w:t>
      </w:r>
    </w:p>
    <w:p w14:paraId="7747B85F" w14:textId="77777777" w:rsidR="00574171" w:rsidRPr="00574171" w:rsidRDefault="00574171" w:rsidP="00574171">
      <w:pPr>
        <w:keepNext/>
        <w:ind w:right="180"/>
        <w:jc w:val="both"/>
        <w:rPr>
          <w:rFonts w:ascii="Calibri" w:hAnsi="Calibri" w:cs="Calibri"/>
          <w:sz w:val="20"/>
          <w:szCs w:val="20"/>
        </w:rPr>
      </w:pPr>
      <w:r w:rsidRPr="00574171">
        <w:rPr>
          <w:rFonts w:ascii="Calibri" w:hAnsi="Calibri" w:cs="Calibri"/>
          <w:sz w:val="20"/>
          <w:szCs w:val="20"/>
        </w:rPr>
        <w:t>Las intervenciones “duras” del proyecto —que abarcan la restauración de ecosistemas degradados, el manejo sostenible de suelos y bosques, el fortalecimiento de la gobernanza de áreas protegidas y la provisión de infraestructura y equipamiento para la conservación— han sido diseñadas estratégicamente para generar Beneficios Ambientales Globales (BAG) medibles y verificables en el marco del FMAM</w:t>
      </w:r>
      <w:r w:rsidRPr="00574171">
        <w:rPr>
          <w:rFonts w:ascii="Calibri" w:hAnsi="Calibri" w:cs="Calibri"/>
          <w:sz w:val="20"/>
          <w:szCs w:val="20"/>
        </w:rPr>
        <w:noBreakHyphen/>
        <w:t>8.</w:t>
      </w:r>
    </w:p>
    <w:p w14:paraId="157906A1" w14:textId="77777777" w:rsidR="00574171" w:rsidRPr="00574171" w:rsidRDefault="00574171" w:rsidP="00574171">
      <w:pPr>
        <w:keepNext/>
        <w:ind w:right="180"/>
        <w:jc w:val="both"/>
        <w:rPr>
          <w:rFonts w:ascii="Calibri" w:hAnsi="Calibri" w:cs="Calibri"/>
          <w:sz w:val="20"/>
          <w:szCs w:val="20"/>
        </w:rPr>
      </w:pPr>
      <w:r w:rsidRPr="00574171">
        <w:rPr>
          <w:rFonts w:ascii="Calibri" w:hAnsi="Calibri" w:cs="Calibri"/>
          <w:sz w:val="20"/>
          <w:szCs w:val="20"/>
        </w:rPr>
        <w:t>En el marco del Producto 2.1.1, se implementarán modelos de gestión integrada para las unidades hidrográficas del Aguarico, Alto Coca y Alto Napo (incluida el Área de Protección Hídrica Aguarico–</w:t>
      </w:r>
      <w:proofErr w:type="spellStart"/>
      <w:r w:rsidRPr="00574171">
        <w:rPr>
          <w:rFonts w:ascii="Calibri" w:hAnsi="Calibri" w:cs="Calibri"/>
          <w:sz w:val="20"/>
          <w:szCs w:val="20"/>
        </w:rPr>
        <w:t>Chingual</w:t>
      </w:r>
      <w:proofErr w:type="spellEnd"/>
      <w:r w:rsidRPr="00574171">
        <w:rPr>
          <w:rFonts w:ascii="Calibri" w:hAnsi="Calibri" w:cs="Calibri"/>
          <w:sz w:val="20"/>
          <w:szCs w:val="20"/>
        </w:rPr>
        <w:t>–Cofanes), que abarcan 35.000 ha de APH existentes. Las acciones combinarán planificación y medidas de campo, tales como evaluaciones hidrológicas, la restauración de al menos 1.000 ha en áreas de importancia hidrológica, el uso sostenible de productos forestales no maderables (PFNM) y el monitoreo participativo del agua y la biodiversidad. Estas medidas mejorarán la efectividad de la gestión (CI</w:t>
      </w:r>
      <w:r w:rsidRPr="00574171">
        <w:rPr>
          <w:rFonts w:ascii="Calibri" w:hAnsi="Calibri" w:cs="Calibri"/>
          <w:sz w:val="20"/>
          <w:szCs w:val="20"/>
        </w:rPr>
        <w:noBreakHyphen/>
        <w:t>1), restaurarán tierras degradadas (CI</w:t>
      </w:r>
      <w:r w:rsidRPr="00574171">
        <w:rPr>
          <w:rFonts w:ascii="Calibri" w:hAnsi="Calibri" w:cs="Calibri"/>
          <w:sz w:val="20"/>
          <w:szCs w:val="20"/>
        </w:rPr>
        <w:noBreakHyphen/>
        <w:t>3) y reducirán las presiones de deforestación, al tiempo que fortalecen la resiliencia hidrológica y el almacenamiento de carbono (CI</w:t>
      </w:r>
      <w:r w:rsidRPr="00574171">
        <w:rPr>
          <w:rFonts w:ascii="Calibri" w:hAnsi="Calibri" w:cs="Calibri"/>
          <w:sz w:val="20"/>
          <w:szCs w:val="20"/>
        </w:rPr>
        <w:noBreakHyphen/>
        <w:t>6).</w:t>
      </w:r>
    </w:p>
    <w:p w14:paraId="5F001A8A" w14:textId="77777777" w:rsidR="00574171" w:rsidRPr="00574171" w:rsidRDefault="00574171" w:rsidP="00574171">
      <w:pPr>
        <w:keepNext/>
        <w:ind w:right="180"/>
        <w:jc w:val="both"/>
        <w:rPr>
          <w:rFonts w:ascii="Calibri" w:hAnsi="Calibri" w:cs="Calibri"/>
          <w:sz w:val="20"/>
          <w:szCs w:val="20"/>
        </w:rPr>
      </w:pPr>
      <w:r w:rsidRPr="00574171">
        <w:rPr>
          <w:rFonts w:ascii="Calibri" w:hAnsi="Calibri" w:cs="Calibri"/>
          <w:sz w:val="20"/>
          <w:szCs w:val="20"/>
        </w:rPr>
        <w:t xml:space="preserve">En el marco del Producto 2.1.3, el proyecto fortalecerá la conservación y el manejo sostenible de 90.000 ha de bosques protectores y otras áreas protegidas, incluida la declaratoria de 40.000 ha de nuevas áreas protegidas, mediante planes de manejo actualizados, acuerdos de conservación y modelos de uso sostenible. Adicionalmente, 21.189 </w:t>
      </w:r>
      <w:proofErr w:type="spellStart"/>
      <w:r w:rsidRPr="00574171">
        <w:rPr>
          <w:rFonts w:ascii="Calibri" w:hAnsi="Calibri" w:cs="Calibri"/>
          <w:sz w:val="20"/>
          <w:szCs w:val="20"/>
        </w:rPr>
        <w:t>haserán</w:t>
      </w:r>
      <w:proofErr w:type="spellEnd"/>
      <w:r w:rsidRPr="00574171">
        <w:rPr>
          <w:rFonts w:ascii="Calibri" w:hAnsi="Calibri" w:cs="Calibri"/>
          <w:sz w:val="20"/>
          <w:szCs w:val="20"/>
        </w:rPr>
        <w:t xml:space="preserve"> incorporadas al manejo forestal sostenible a través de asistencia técnica, modelos comunitarios y el desarrollo de cadenas de valor de PFNM. Estas actividades contribuirán a la mejora de la efectividad de la gestión (CI</w:t>
      </w:r>
      <w:r w:rsidRPr="00574171">
        <w:rPr>
          <w:rFonts w:ascii="Calibri" w:hAnsi="Calibri" w:cs="Calibri"/>
          <w:sz w:val="20"/>
          <w:szCs w:val="20"/>
        </w:rPr>
        <w:noBreakHyphen/>
        <w:t>1), la expansión de paisajes productivos sostenibles (CI</w:t>
      </w:r>
      <w:r w:rsidRPr="00574171">
        <w:rPr>
          <w:rFonts w:ascii="Calibri" w:hAnsi="Calibri" w:cs="Calibri"/>
          <w:sz w:val="20"/>
          <w:szCs w:val="20"/>
        </w:rPr>
        <w:noBreakHyphen/>
        <w:t>4) y la mitigación del cambio climático mediante la reducción de emisiones y el fortalecimiento de las reservas de carbono forestal (CI</w:t>
      </w:r>
      <w:r w:rsidRPr="00574171">
        <w:rPr>
          <w:rFonts w:ascii="Calibri" w:hAnsi="Calibri" w:cs="Calibri"/>
          <w:sz w:val="20"/>
          <w:szCs w:val="20"/>
        </w:rPr>
        <w:noBreakHyphen/>
        <w:t>6).</w:t>
      </w:r>
    </w:p>
    <w:p w14:paraId="220707FC" w14:textId="77777777" w:rsidR="00574171" w:rsidRPr="00574171" w:rsidRDefault="00574171" w:rsidP="00574171">
      <w:pPr>
        <w:keepNext/>
        <w:ind w:right="180"/>
        <w:jc w:val="both"/>
        <w:rPr>
          <w:rFonts w:ascii="Calibri" w:hAnsi="Calibri" w:cs="Calibri"/>
          <w:sz w:val="20"/>
          <w:szCs w:val="20"/>
        </w:rPr>
      </w:pPr>
      <w:r w:rsidRPr="00574171">
        <w:rPr>
          <w:rFonts w:ascii="Calibri" w:hAnsi="Calibri" w:cs="Calibri"/>
          <w:sz w:val="20"/>
          <w:szCs w:val="20"/>
        </w:rPr>
        <w:t>Al vincular explícitamente cada inversión operativa —ya sea en restauración ecológica, protección hidrológica o sistemas productivos sostenibles— con indicadores específicos de BAG, el proyecto asegura una cadena de resultados sólida, desde insumos y productos hasta resultados e impactos. Esto garantiza que las intervenciones físicas actúen como palancas estratégicas para generar beneficios socioeconómicos locales y cumplir con los compromisos ambientales globales, particularmente en conservación de la biodiversidad, mitigación del cambio climático y neutralidad en la degradación de la tierra.</w:t>
      </w:r>
    </w:p>
    <w:p w14:paraId="00B5B329" w14:textId="77777777" w:rsidR="00574171" w:rsidRPr="00D830D9" w:rsidRDefault="00574171" w:rsidP="00454F0C">
      <w:pPr>
        <w:rPr>
          <w:lang w:val="es-EC"/>
        </w:rPr>
        <w:sectPr w:rsidR="00574171" w:rsidRPr="00D830D9" w:rsidSect="00DE4984">
          <w:pgSz w:w="12240" w:h="15840" w:code="1"/>
          <w:pgMar w:top="1440" w:right="1043" w:bottom="1440" w:left="1440" w:header="720" w:footer="431" w:gutter="0"/>
          <w:cols w:space="708"/>
          <w:titlePg/>
          <w:docGrid w:linePitch="360"/>
        </w:sectPr>
      </w:pPr>
    </w:p>
    <w:p w14:paraId="168B4C02" w14:textId="2D908F52" w:rsidR="009E7DB5" w:rsidRPr="00D830D9" w:rsidRDefault="00A90597" w:rsidP="05DB8549">
      <w:pPr>
        <w:keepNext/>
        <w:jc w:val="center"/>
        <w:rPr>
          <w:rFonts w:asciiTheme="minorHAnsi" w:hAnsiTheme="minorHAnsi" w:cstheme="minorBidi"/>
          <w:lang w:val="es-EC"/>
        </w:rPr>
      </w:pPr>
      <w:r w:rsidRPr="00A90597">
        <w:rPr>
          <w:rFonts w:asciiTheme="minorHAnsi" w:hAnsiTheme="minorHAnsi" w:cstheme="minorBidi"/>
          <w:noProof/>
        </w:rPr>
        <w:lastRenderedPageBreak/>
        <w:drawing>
          <wp:inline distT="0" distB="0" distL="0" distR="0" wp14:anchorId="1DD6F7AF" wp14:editId="1C391F0C">
            <wp:extent cx="7683500" cy="5762625"/>
            <wp:effectExtent l="0" t="0" r="0" b="3175"/>
            <wp:docPr id="19264097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09773" name=""/>
                    <pic:cNvPicPr/>
                  </pic:nvPicPr>
                  <pic:blipFill>
                    <a:blip r:embed="rId16"/>
                    <a:stretch>
                      <a:fillRect/>
                    </a:stretch>
                  </pic:blipFill>
                  <pic:spPr>
                    <a:xfrm>
                      <a:off x="0" y="0"/>
                      <a:ext cx="7684342" cy="5763257"/>
                    </a:xfrm>
                    <a:prstGeom prst="rect">
                      <a:avLst/>
                    </a:prstGeom>
                  </pic:spPr>
                </pic:pic>
              </a:graphicData>
            </a:graphic>
          </wp:inline>
        </w:drawing>
      </w:r>
      <w:r w:rsidR="02E8DF66" w:rsidRPr="00A51E75">
        <w:rPr>
          <w:rFonts w:asciiTheme="minorHAnsi" w:hAnsiTheme="minorHAnsi" w:cstheme="minorBidi"/>
        </w:rPr>
        <w:t xml:space="preserve"> </w:t>
      </w:r>
    </w:p>
    <w:p w14:paraId="55A6D4E1" w14:textId="18D978A0" w:rsidR="009E7DB5" w:rsidRPr="00D830D9" w:rsidRDefault="40D892FF" w:rsidP="05DB8549">
      <w:pPr>
        <w:pStyle w:val="Descripcin"/>
        <w:jc w:val="center"/>
        <w:rPr>
          <w:rFonts w:asciiTheme="minorHAnsi" w:hAnsiTheme="minorHAnsi" w:cstheme="minorBidi"/>
          <w:lang w:val="es-EC"/>
        </w:rPr>
        <w:sectPr w:rsidR="009E7DB5" w:rsidRPr="00D830D9" w:rsidSect="009E7DB5">
          <w:pgSz w:w="15840" w:h="12240" w:orient="landscape" w:code="1"/>
          <w:pgMar w:top="1440" w:right="1440" w:bottom="1440" w:left="1440" w:header="720" w:footer="431" w:gutter="0"/>
          <w:cols w:space="708"/>
          <w:titlePg/>
          <w:docGrid w:linePitch="360"/>
        </w:sectPr>
      </w:pPr>
      <w:r w:rsidRPr="00A51E75">
        <w:rPr>
          <w:rFonts w:asciiTheme="minorHAnsi" w:hAnsiTheme="minorHAnsi" w:cstheme="minorBidi"/>
        </w:rPr>
        <w:t xml:space="preserve">Figura </w:t>
      </w:r>
      <w:r w:rsidR="009E7DB5" w:rsidRPr="00A51E75">
        <w:rPr>
          <w:rFonts w:asciiTheme="minorHAnsi" w:hAnsiTheme="minorHAnsi" w:cstheme="minorBidi"/>
        </w:rPr>
        <w:fldChar w:fldCharType="begin"/>
      </w:r>
      <w:r w:rsidR="009E7DB5" w:rsidRPr="00A51E75">
        <w:rPr>
          <w:rFonts w:asciiTheme="minorHAnsi" w:hAnsiTheme="minorHAnsi" w:cstheme="minorBidi"/>
        </w:rPr>
        <w:instrText xml:space="preserve"> SEQ Figura \* ARABIC </w:instrText>
      </w:r>
      <w:r w:rsidR="009E7DB5" w:rsidRPr="00A51E75">
        <w:rPr>
          <w:rFonts w:asciiTheme="minorHAnsi" w:hAnsiTheme="minorHAnsi" w:cstheme="minorBidi"/>
        </w:rPr>
        <w:fldChar w:fldCharType="separate"/>
      </w:r>
      <w:r w:rsidR="69EE4866" w:rsidRPr="00A51E75">
        <w:rPr>
          <w:rFonts w:asciiTheme="minorHAnsi" w:hAnsiTheme="minorHAnsi" w:cstheme="minorBidi"/>
          <w:noProof/>
        </w:rPr>
        <w:t>1</w:t>
      </w:r>
      <w:r w:rsidR="009E7DB5" w:rsidRPr="00A51E75">
        <w:rPr>
          <w:rFonts w:asciiTheme="minorHAnsi" w:hAnsiTheme="minorHAnsi" w:cstheme="minorBidi"/>
        </w:rPr>
        <w:fldChar w:fldCharType="end"/>
      </w:r>
      <w:r w:rsidRPr="00A51E75">
        <w:rPr>
          <w:rFonts w:asciiTheme="minorHAnsi" w:hAnsiTheme="minorHAnsi" w:cstheme="minorBidi"/>
        </w:rPr>
        <w:t>: Teoría del Cambio</w:t>
      </w:r>
    </w:p>
    <w:p w14:paraId="3FEC542C" w14:textId="77777777" w:rsidR="008B6F84" w:rsidRPr="00D830D9" w:rsidRDefault="00211737" w:rsidP="008B6F84">
      <w:pPr>
        <w:keepNext/>
        <w:pBdr>
          <w:top w:val="single" w:sz="4" w:space="1" w:color="auto"/>
        </w:pBdr>
        <w:tabs>
          <w:tab w:val="num" w:pos="720"/>
        </w:tabs>
        <w:suppressAutoHyphens/>
        <w:ind w:left="720" w:hanging="720"/>
        <w:jc w:val="both"/>
        <w:outlineLvl w:val="0"/>
        <w:rPr>
          <w:rFonts w:asciiTheme="minorHAnsi" w:eastAsia="SimSun" w:hAnsiTheme="minorHAnsi" w:cstheme="minorHAnsi"/>
          <w:b/>
          <w:smallCaps/>
          <w:spacing w:val="-2"/>
          <w:sz w:val="28"/>
          <w:szCs w:val="28"/>
          <w:lang w:val="es-EC"/>
        </w:rPr>
      </w:pPr>
      <w:bookmarkStart w:id="13" w:name="_Toc221696295"/>
      <w:r w:rsidRPr="00A51E75">
        <w:rPr>
          <w:rFonts w:asciiTheme="minorHAnsi" w:eastAsia="SimSun" w:hAnsiTheme="minorHAnsi" w:cstheme="minorHAnsi"/>
          <w:b/>
          <w:smallCaps/>
          <w:spacing w:val="-2"/>
          <w:sz w:val="28"/>
          <w:szCs w:val="28"/>
        </w:rPr>
        <w:lastRenderedPageBreak/>
        <w:t>Resultados y alianzas</w:t>
      </w:r>
      <w:bookmarkEnd w:id="13"/>
      <w:r w:rsidRPr="00A51E75">
        <w:rPr>
          <w:rFonts w:asciiTheme="minorHAnsi" w:eastAsia="SimSun" w:hAnsiTheme="minorHAnsi" w:cstheme="minorHAnsi"/>
          <w:b/>
          <w:smallCaps/>
          <w:spacing w:val="-2"/>
          <w:sz w:val="28"/>
          <w:szCs w:val="28"/>
        </w:rPr>
        <w:t xml:space="preserve"> </w:t>
      </w:r>
    </w:p>
    <w:p w14:paraId="524EA503" w14:textId="77777777" w:rsidR="00E203DD" w:rsidRDefault="00E203DD" w:rsidP="008B6F84">
      <w:pPr>
        <w:jc w:val="both"/>
        <w:rPr>
          <w:rFonts w:asciiTheme="minorHAnsi" w:eastAsia="SimSun" w:hAnsiTheme="minorHAnsi" w:cstheme="minorHAnsi"/>
          <w:b/>
          <w:i/>
          <w:sz w:val="20"/>
          <w:szCs w:val="20"/>
          <w:lang w:val="es-EC"/>
        </w:rPr>
      </w:pPr>
    </w:p>
    <w:p w14:paraId="1F4E0A9E" w14:textId="77777777" w:rsidR="00E203DD" w:rsidRPr="00E203DD" w:rsidRDefault="00E203D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E203DD">
        <w:rPr>
          <w:rFonts w:asciiTheme="minorHAnsi" w:eastAsia="SimSun" w:hAnsiTheme="minorHAnsi" w:cstheme="minorHAnsi"/>
          <w:iCs/>
          <w:sz w:val="20"/>
          <w:szCs w:val="20"/>
        </w:rPr>
        <w:t>El proyecto tiene como objetivo contribuir a la gestión integrada del paisaje, mediante el uso sostenible del suelo, el manejo forestal sostenible y la gestión integrada de los recursos hídricos, a través de la diversificación de medios de vida, la mejora de la eficiencia de los sistemas productivos y la conservación de los ecosistemas y la biodiversidad en la cuenca del río Napo.</w:t>
      </w:r>
    </w:p>
    <w:p w14:paraId="0FFA1456" w14:textId="13A426CC" w:rsidR="00E203DD" w:rsidRPr="00E203DD" w:rsidRDefault="00E203D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E203DD">
        <w:rPr>
          <w:rFonts w:asciiTheme="minorHAnsi" w:eastAsia="SimSun" w:hAnsiTheme="minorHAnsi" w:cstheme="minorHAnsi"/>
          <w:iCs/>
          <w:sz w:val="20"/>
          <w:szCs w:val="20"/>
        </w:rPr>
        <w:t xml:space="preserve">En </w:t>
      </w:r>
      <w:r>
        <w:rPr>
          <w:rFonts w:asciiTheme="minorHAnsi" w:eastAsia="SimSun" w:hAnsiTheme="minorHAnsi" w:cstheme="minorHAnsi"/>
          <w:iCs/>
          <w:sz w:val="20"/>
          <w:szCs w:val="20"/>
        </w:rPr>
        <w:t>la búsqueda</w:t>
      </w:r>
      <w:r w:rsidRPr="00E203DD">
        <w:rPr>
          <w:rFonts w:asciiTheme="minorHAnsi" w:eastAsia="SimSun" w:hAnsiTheme="minorHAnsi" w:cstheme="minorHAnsi"/>
          <w:iCs/>
          <w:sz w:val="20"/>
          <w:szCs w:val="20"/>
        </w:rPr>
        <w:t xml:space="preserve"> de este objetivo, el proyecto impulsará un cambio transformador mediante la implementación de un modelo de gestión integrada del paisaje que articule la planificación territorial, la gobernanza del agua, la conservación de la biodiversidad, la restauración de tierras y la producción sostenible. Este enfoque integrará una perspectiva de género, interseccional y de derechos de los pueblos indígenas.</w:t>
      </w:r>
    </w:p>
    <w:p w14:paraId="07EADEEB" w14:textId="09BC1AE0" w:rsidR="00E203DD" w:rsidRPr="00E203DD" w:rsidRDefault="00E203D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Pr>
          <w:rFonts w:asciiTheme="minorHAnsi" w:eastAsia="SimSun" w:hAnsiTheme="minorHAnsi" w:cstheme="minorHAnsi"/>
          <w:iCs/>
          <w:sz w:val="20"/>
          <w:szCs w:val="20"/>
        </w:rPr>
        <w:t>Mediante</w:t>
      </w:r>
      <w:r w:rsidRPr="00E203DD">
        <w:rPr>
          <w:rFonts w:asciiTheme="minorHAnsi" w:eastAsia="SimSun" w:hAnsiTheme="minorHAnsi" w:cstheme="minorHAnsi"/>
          <w:iCs/>
          <w:sz w:val="20"/>
          <w:szCs w:val="20"/>
        </w:rPr>
        <w:t xml:space="preserve"> la implementación de políticas multinivel, el fortalecimiento de capacidades locales y la mejora del acceso a mecanismos de financiamiento climático, se espera que el proyecto:</w:t>
      </w:r>
    </w:p>
    <w:p w14:paraId="58768F46" w14:textId="77777777" w:rsidR="00E203DD" w:rsidRPr="00E203DD" w:rsidRDefault="00E203DD" w:rsidP="00EC2CBE">
      <w:pPr>
        <w:pStyle w:val="Prrafodelista"/>
        <w:numPr>
          <w:ilvl w:val="0"/>
          <w:numId w:val="4"/>
        </w:numPr>
        <w:jc w:val="both"/>
        <w:rPr>
          <w:rFonts w:asciiTheme="minorHAnsi" w:eastAsia="SimSun" w:hAnsiTheme="minorHAnsi" w:cstheme="minorBidi"/>
          <w:sz w:val="20"/>
          <w:szCs w:val="20"/>
        </w:rPr>
      </w:pPr>
      <w:r w:rsidRPr="00E203DD">
        <w:rPr>
          <w:rFonts w:asciiTheme="minorHAnsi" w:eastAsia="SimSun" w:hAnsiTheme="minorHAnsi" w:cstheme="minorBidi"/>
          <w:sz w:val="20"/>
          <w:szCs w:val="20"/>
        </w:rPr>
        <w:t>Proteja la biodiversidad y mantenga la conectividad ecológica mediante la conservación y uso sostenible de los ecosistemas forestales y hábitats de especies amenazadas, en línea con los compromisos de Ecuador en el marco del Convenio sobre la Diversidad Biológica (CDB).</w:t>
      </w:r>
    </w:p>
    <w:p w14:paraId="57634938" w14:textId="77777777" w:rsidR="00E203DD" w:rsidRPr="00E203DD" w:rsidRDefault="00E203DD" w:rsidP="00EC2CBE">
      <w:pPr>
        <w:pStyle w:val="Prrafodelista"/>
        <w:numPr>
          <w:ilvl w:val="0"/>
          <w:numId w:val="4"/>
        </w:numPr>
        <w:jc w:val="both"/>
        <w:rPr>
          <w:rFonts w:asciiTheme="minorHAnsi" w:eastAsia="SimSun" w:hAnsiTheme="minorHAnsi" w:cstheme="minorBidi"/>
          <w:sz w:val="20"/>
          <w:szCs w:val="20"/>
        </w:rPr>
      </w:pPr>
      <w:r w:rsidRPr="00E203DD">
        <w:rPr>
          <w:rFonts w:asciiTheme="minorHAnsi" w:eastAsia="SimSun" w:hAnsiTheme="minorHAnsi" w:cstheme="minorBidi"/>
          <w:sz w:val="20"/>
          <w:szCs w:val="20"/>
        </w:rPr>
        <w:t>Reduzca la degradación de tierras y mejore la salud de ecosistemas prioritarios, contribuyendo a las metas de Neutralidad en la Degradación de la Tierra (NDT) de Ecuador en el marco de la CNULD, mediante la promoción del Manejo Sostenible de Tierras (MST), la restauración y la protección de fuentes hídricas.</w:t>
      </w:r>
    </w:p>
    <w:p w14:paraId="16FCCC8D" w14:textId="77777777" w:rsidR="00E203DD" w:rsidRPr="00E203DD" w:rsidRDefault="00E203DD" w:rsidP="00EC2CBE">
      <w:pPr>
        <w:pStyle w:val="Prrafodelista"/>
        <w:numPr>
          <w:ilvl w:val="0"/>
          <w:numId w:val="4"/>
        </w:numPr>
        <w:jc w:val="both"/>
        <w:rPr>
          <w:rFonts w:asciiTheme="minorHAnsi" w:eastAsia="SimSun" w:hAnsiTheme="minorHAnsi" w:cstheme="minorBidi"/>
          <w:sz w:val="20"/>
          <w:szCs w:val="20"/>
        </w:rPr>
      </w:pPr>
      <w:r w:rsidRPr="00E203DD">
        <w:rPr>
          <w:rFonts w:asciiTheme="minorHAnsi" w:eastAsia="SimSun" w:hAnsiTheme="minorHAnsi" w:cstheme="minorBidi"/>
          <w:sz w:val="20"/>
          <w:szCs w:val="20"/>
        </w:rPr>
        <w:t>Mitigue el cambio climático y fortalezca la resiliencia comunitaria, especialmente de mujeres y pueblos indígenas, promoviendo sistemas de producción rural de bajas emisiones y restaurando paisajes ricos en carbono, en contribución a las metas climáticas nacionales (NDC) bajo la CMNUCC.</w:t>
      </w:r>
    </w:p>
    <w:p w14:paraId="7B400394" w14:textId="77777777" w:rsidR="00E203DD" w:rsidRPr="00E203DD" w:rsidRDefault="00E203DD" w:rsidP="00EC2CBE">
      <w:pPr>
        <w:pStyle w:val="Prrafodelista"/>
        <w:numPr>
          <w:ilvl w:val="0"/>
          <w:numId w:val="4"/>
        </w:numPr>
        <w:jc w:val="both"/>
        <w:rPr>
          <w:rFonts w:asciiTheme="minorHAnsi" w:eastAsia="SimSun" w:hAnsiTheme="minorHAnsi" w:cstheme="minorBidi"/>
          <w:sz w:val="20"/>
          <w:szCs w:val="20"/>
        </w:rPr>
      </w:pPr>
      <w:r w:rsidRPr="00E203DD">
        <w:rPr>
          <w:rFonts w:asciiTheme="minorHAnsi" w:eastAsia="SimSun" w:hAnsiTheme="minorHAnsi" w:cstheme="minorBidi"/>
          <w:sz w:val="20"/>
          <w:szCs w:val="20"/>
        </w:rPr>
        <w:t xml:space="preserve">Fortalezca los sistemas de gobernanza ambiental territorial mediante la </w:t>
      </w:r>
      <w:proofErr w:type="gramStart"/>
      <w:r w:rsidRPr="00E203DD">
        <w:rPr>
          <w:rFonts w:asciiTheme="minorHAnsi" w:eastAsia="SimSun" w:hAnsiTheme="minorHAnsi" w:cstheme="minorBidi"/>
          <w:sz w:val="20"/>
          <w:szCs w:val="20"/>
        </w:rPr>
        <w:t>participación activa</w:t>
      </w:r>
      <w:proofErr w:type="gramEnd"/>
      <w:r w:rsidRPr="00E203DD">
        <w:rPr>
          <w:rFonts w:asciiTheme="minorHAnsi" w:eastAsia="SimSun" w:hAnsiTheme="minorHAnsi" w:cstheme="minorBidi"/>
          <w:sz w:val="20"/>
          <w:szCs w:val="20"/>
        </w:rPr>
        <w:t xml:space="preserve"> de actores locales, gobiernos autónomos descentralizados (</w:t>
      </w:r>
      <w:proofErr w:type="spellStart"/>
      <w:r w:rsidRPr="00E203DD">
        <w:rPr>
          <w:rFonts w:asciiTheme="minorHAnsi" w:eastAsia="SimSun" w:hAnsiTheme="minorHAnsi" w:cstheme="minorBidi"/>
          <w:sz w:val="20"/>
          <w:szCs w:val="20"/>
        </w:rPr>
        <w:t>GADs</w:t>
      </w:r>
      <w:proofErr w:type="spellEnd"/>
      <w:r w:rsidRPr="00E203DD">
        <w:rPr>
          <w:rFonts w:asciiTheme="minorHAnsi" w:eastAsia="SimSun" w:hAnsiTheme="minorHAnsi" w:cstheme="minorBidi"/>
          <w:sz w:val="20"/>
          <w:szCs w:val="20"/>
        </w:rPr>
        <w:t>), autoridades indígenas, academia y sector privado.</w:t>
      </w:r>
    </w:p>
    <w:p w14:paraId="61D6341B" w14:textId="77777777" w:rsidR="00E203DD" w:rsidRPr="00E203DD" w:rsidRDefault="00E203DD" w:rsidP="00EC2CBE">
      <w:pPr>
        <w:pStyle w:val="Prrafodelista"/>
        <w:numPr>
          <w:ilvl w:val="0"/>
          <w:numId w:val="4"/>
        </w:numPr>
        <w:jc w:val="both"/>
        <w:rPr>
          <w:rFonts w:asciiTheme="minorHAnsi" w:eastAsia="SimSun" w:hAnsiTheme="minorHAnsi" w:cstheme="minorBidi"/>
          <w:sz w:val="20"/>
          <w:szCs w:val="20"/>
        </w:rPr>
      </w:pPr>
      <w:r w:rsidRPr="00E203DD">
        <w:rPr>
          <w:rFonts w:asciiTheme="minorHAnsi" w:eastAsia="SimSun" w:hAnsiTheme="minorHAnsi" w:cstheme="minorBidi"/>
          <w:sz w:val="20"/>
          <w:szCs w:val="20"/>
        </w:rPr>
        <w:t>Genere conocimientos, evidencias y lecciones aprendidas escalables que contribuyan al aprendizaje global sobre enfoques de gestión integrada del paisaje en el bioma amazónico.</w:t>
      </w:r>
    </w:p>
    <w:p w14:paraId="7199ED03" w14:textId="77777777" w:rsidR="00E203DD" w:rsidRPr="00E203DD" w:rsidRDefault="00E203D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E203DD">
        <w:rPr>
          <w:rFonts w:asciiTheme="minorHAnsi" w:eastAsia="SimSun" w:hAnsiTheme="minorHAnsi" w:cstheme="minorHAnsi"/>
          <w:iCs/>
          <w:sz w:val="20"/>
          <w:szCs w:val="20"/>
        </w:rPr>
        <w:t>Todos los productos y resultados del proyecto se implementarán en coherencia con el Plan de Acción de Género (PAG), que define estrategias específicas para reducir las brechas de género, garantizar la participación de mujeres y jóvenes, y promover un desarrollo inclusivo y sostenible en el territorio de intervención. Estos cambios serán medidos a través de indicadores sensibles al género, ambientales, económicos y sociales, y se reflejarán en el marco de resultados del proyecto y sus informes periódicos.</w:t>
      </w:r>
    </w:p>
    <w:p w14:paraId="1A58B733" w14:textId="77777777" w:rsidR="00E203DD" w:rsidRDefault="00E203DD" w:rsidP="00AF2738">
      <w:pPr>
        <w:jc w:val="both"/>
        <w:rPr>
          <w:rFonts w:asciiTheme="minorHAnsi" w:hAnsiTheme="minorHAnsi" w:cstheme="minorHAnsi"/>
          <w:bCs/>
          <w:sz w:val="20"/>
          <w:szCs w:val="20"/>
          <w:lang w:val="es-EC"/>
        </w:rPr>
      </w:pPr>
    </w:p>
    <w:p w14:paraId="3D84FFFB" w14:textId="77777777" w:rsidR="00E203DD" w:rsidRPr="00E203DD" w:rsidRDefault="00E203DD" w:rsidP="00E203DD">
      <w:pPr>
        <w:jc w:val="both"/>
        <w:rPr>
          <w:rFonts w:asciiTheme="minorHAnsi" w:hAnsiTheme="minorHAnsi" w:cstheme="minorHAnsi"/>
          <w:b/>
          <w:bCs/>
          <w:sz w:val="20"/>
          <w:szCs w:val="20"/>
        </w:rPr>
      </w:pPr>
      <w:r w:rsidRPr="00E203DD">
        <w:rPr>
          <w:rFonts w:asciiTheme="minorHAnsi" w:hAnsiTheme="minorHAnsi" w:cstheme="minorHAnsi"/>
          <w:b/>
          <w:bCs/>
          <w:sz w:val="20"/>
          <w:szCs w:val="20"/>
        </w:rPr>
        <w:t>Componente 1: Marco de Gobernanza Multinivel y Coordinación para la Gestión Territorial</w:t>
      </w:r>
    </w:p>
    <w:p w14:paraId="325D13E1" w14:textId="77777777" w:rsidR="00E203DD" w:rsidRPr="00E203DD" w:rsidRDefault="00E203D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E203DD">
        <w:rPr>
          <w:rFonts w:asciiTheme="minorHAnsi" w:eastAsia="SimSun" w:hAnsiTheme="minorHAnsi" w:cstheme="minorHAnsi"/>
          <w:iCs/>
          <w:sz w:val="20"/>
          <w:szCs w:val="20"/>
        </w:rPr>
        <w:t>Este componente tiene como objetivo establecer y fortalecer un marco de gobernanza territorial que articule la planificación a nivel local, regional y nacional para la gestión integrada del paisaje en la cuenca del río Napo. Promoverá una gobernanza inclusiva, basada en la participación efectiva de pueblos indígenas, mujeres y jóvenes, mediante la implementación de instrumentos normativos, acuerdos interinstitucionales y capacidades técnicas que aseguren la sostenibilidad de la gestión del suelo, la biodiversidad y los recursos hídricos.</w:t>
      </w:r>
    </w:p>
    <w:p w14:paraId="37D07475" w14:textId="0AB83CCD" w:rsidR="00E203DD" w:rsidRDefault="00E203DD" w:rsidP="00E203DD"/>
    <w:p w14:paraId="53107E8D" w14:textId="77777777" w:rsidR="00E203DD" w:rsidRPr="00E203DD" w:rsidRDefault="00E203DD" w:rsidP="00E203DD">
      <w:pPr>
        <w:jc w:val="both"/>
        <w:rPr>
          <w:rFonts w:asciiTheme="minorHAnsi" w:hAnsiTheme="minorHAnsi" w:cstheme="minorHAnsi"/>
          <w:b/>
          <w:bCs/>
          <w:sz w:val="20"/>
          <w:szCs w:val="20"/>
        </w:rPr>
      </w:pPr>
      <w:r w:rsidRPr="00E203DD">
        <w:rPr>
          <w:rFonts w:asciiTheme="minorHAnsi" w:hAnsiTheme="minorHAnsi" w:cstheme="minorHAnsi"/>
          <w:b/>
          <w:bCs/>
          <w:sz w:val="20"/>
          <w:szCs w:val="20"/>
        </w:rPr>
        <w:t>Resultado 1.1: Marco normativo fortalecido e instrumentos de planificación local actualizados mediante métodos participativos para la gestión integrada del paisaje, la biodiversidad y el agua</w:t>
      </w:r>
    </w:p>
    <w:p w14:paraId="1D80505B" w14:textId="77777777" w:rsidR="00E203DD" w:rsidRDefault="00E203DD" w:rsidP="00E203DD">
      <w:pPr>
        <w:jc w:val="both"/>
        <w:rPr>
          <w:rFonts w:asciiTheme="minorHAnsi" w:hAnsiTheme="minorHAnsi" w:cstheme="minorHAnsi"/>
          <w:b/>
          <w:bCs/>
          <w:sz w:val="20"/>
          <w:szCs w:val="20"/>
        </w:rPr>
      </w:pPr>
    </w:p>
    <w:p w14:paraId="3AD3BD17" w14:textId="294D81FB" w:rsidR="00E203DD" w:rsidRPr="00E203DD" w:rsidRDefault="00E203DD" w:rsidP="00E203DD">
      <w:pPr>
        <w:jc w:val="both"/>
        <w:rPr>
          <w:rFonts w:asciiTheme="minorHAnsi" w:hAnsiTheme="minorHAnsi" w:cstheme="minorHAnsi"/>
          <w:b/>
          <w:bCs/>
          <w:sz w:val="20"/>
          <w:szCs w:val="20"/>
        </w:rPr>
      </w:pPr>
      <w:r w:rsidRPr="00E203DD">
        <w:rPr>
          <w:rFonts w:asciiTheme="minorHAnsi" w:hAnsiTheme="minorHAnsi" w:cstheme="minorHAnsi"/>
          <w:b/>
          <w:bCs/>
          <w:sz w:val="20"/>
          <w:szCs w:val="20"/>
        </w:rPr>
        <w:t>1.1.1. Implementación de políticas y normativas para la gestión territorial y la NDT, validadas por mujeres y hombres a nivel local.</w:t>
      </w:r>
    </w:p>
    <w:p w14:paraId="6809FB56" w14:textId="77777777" w:rsidR="00E203DD" w:rsidRPr="002D2A2E" w:rsidRDefault="00E203D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2D2A2E">
        <w:rPr>
          <w:rFonts w:asciiTheme="minorHAnsi" w:eastAsia="SimSun" w:hAnsiTheme="minorHAnsi" w:cstheme="minorHAnsi"/>
          <w:iCs/>
          <w:sz w:val="20"/>
          <w:szCs w:val="20"/>
        </w:rPr>
        <w:t>Las representantes de grupos de mujeres, pueblos indígenas y juventudes participarán de forma activa y significativa en la implementación de políticas y normativas para la gestión territorial integrada, garantizando una aplicación coherente mediante mecanismos de gobernanza multinivel y multiactor. Las actividades incluirán:</w:t>
      </w:r>
    </w:p>
    <w:p w14:paraId="61FC063B"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1.1.1.1. Diseñar metodologías inclusivas e integrales que aseguren la participación equitativa de mujeres, pueblos indígenas y jóvenes en la implementación de políticas y normativas, considerando diversas realidades, promoviendo la equidad de género y aplicando salvaguardas sociales y ambientales, abordando barreras de acceso como la sobrecarga de cuidados o la falta de tiempo.</w:t>
      </w:r>
    </w:p>
    <w:p w14:paraId="1C87E62B"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1.1.1.2. Implementar programas de fortalecimiento de capacidades para mujeres y jóvenes sobre gestión territorial integrada y toma de decisiones, promoviendo su liderazgo en espacios de gobernanza.</w:t>
      </w:r>
    </w:p>
    <w:p w14:paraId="2495C635"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lastRenderedPageBreak/>
        <w:t>1.1.1.3. Fortalecer y articular el marco normativo vigente para la gestión territorial y la NDT, priorizando la implementación coherente de políticas e instrumentos existentes.</w:t>
      </w:r>
    </w:p>
    <w:p w14:paraId="20E196C7"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1.1.1.4. Promover la creación de un (1) mecanismo de gobernanza multinivel y multiactor, con enfoque de paisaje, que mejore la coordinación de acciones, la coherencia de políticas y la sostenibilidad del proyecto, alineando instrumentos de planificación como los PDOT, PUGS, Planes de Vida, y planes de manejo de BVP y APH.</w:t>
      </w:r>
    </w:p>
    <w:p w14:paraId="09621AA0"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1.1.1.5. Definir la estructura de participación y modalidad de gestión del mecanismo de gobernanza.</w:t>
      </w:r>
    </w:p>
    <w:p w14:paraId="13A426CC"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1.1.1.6. Ampliar el alcance territorial del Observatorio de Degradación de Tierras para abordar la gestión integrada de unidades hidrográficas en la cuenca del río Napo. Las metas se alinearán con el Plan de Acción REDD+ y serán reportadas mediante los sistemas SIGMA y SIS del MAE.</w:t>
      </w:r>
    </w:p>
    <w:p w14:paraId="1B711C34"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1.1.1.7. Con base en una iniciativa piloto con enfoque de planificación por cuenca, desarrollar una norma participativa para la gestión territorial integrada que sea aprobada por el MAE e incorporada por los </w:t>
      </w:r>
      <w:proofErr w:type="spellStart"/>
      <w:r w:rsidRPr="00E203DD">
        <w:rPr>
          <w:rFonts w:asciiTheme="minorHAnsi" w:hAnsiTheme="minorHAnsi" w:cstheme="minorHAnsi"/>
          <w:sz w:val="20"/>
          <w:szCs w:val="20"/>
        </w:rPr>
        <w:t>GADs</w:t>
      </w:r>
      <w:proofErr w:type="spellEnd"/>
      <w:r w:rsidRPr="00E203DD">
        <w:rPr>
          <w:rFonts w:asciiTheme="minorHAnsi" w:hAnsiTheme="minorHAnsi" w:cstheme="minorHAnsi"/>
          <w:sz w:val="20"/>
          <w:szCs w:val="20"/>
        </w:rPr>
        <w:t> en sus procesos de planificación.</w:t>
      </w:r>
    </w:p>
    <w:p w14:paraId="5D53C44A" w14:textId="77777777" w:rsidR="00E203DD" w:rsidRPr="00E203DD" w:rsidRDefault="00E203DD" w:rsidP="00E203DD">
      <w:pPr>
        <w:ind w:left="360"/>
        <w:jc w:val="both"/>
        <w:rPr>
          <w:rFonts w:asciiTheme="minorHAnsi" w:hAnsiTheme="minorHAnsi" w:cstheme="minorHAnsi"/>
          <w:sz w:val="20"/>
          <w:szCs w:val="20"/>
        </w:rPr>
      </w:pPr>
      <w:r w:rsidRPr="00E203DD">
        <w:rPr>
          <w:rFonts w:asciiTheme="minorHAnsi" w:hAnsiTheme="minorHAnsi" w:cstheme="minorHAnsi"/>
          <w:sz w:val="20"/>
          <w:szCs w:val="20"/>
        </w:rPr>
        <w:t>1.1.1.8. Diseñar lineamientos técnicos con enfoque de género e interseccional, basados en el PAG, para la formulación, implementación y monitoreo de políticas e instrumentos territoriales.</w:t>
      </w:r>
    </w:p>
    <w:p w14:paraId="30B642D8" w14:textId="77777777" w:rsidR="00E203DD" w:rsidRDefault="00E203DD" w:rsidP="00AF2738">
      <w:pPr>
        <w:jc w:val="both"/>
        <w:rPr>
          <w:rFonts w:asciiTheme="minorHAnsi" w:hAnsiTheme="minorHAnsi" w:cstheme="minorHAnsi"/>
          <w:bCs/>
          <w:sz w:val="20"/>
          <w:szCs w:val="20"/>
          <w:lang w:val="es-EC"/>
        </w:rPr>
      </w:pPr>
    </w:p>
    <w:p w14:paraId="28719F4C" w14:textId="77777777" w:rsidR="00015267" w:rsidRDefault="00015267" w:rsidP="00015267">
      <w:pPr>
        <w:jc w:val="both"/>
        <w:rPr>
          <w:rFonts w:asciiTheme="minorHAnsi" w:hAnsiTheme="minorHAnsi" w:cstheme="minorHAnsi"/>
          <w:b/>
          <w:bCs/>
          <w:sz w:val="20"/>
          <w:szCs w:val="20"/>
        </w:rPr>
      </w:pPr>
      <w:r w:rsidRPr="002D2A2E">
        <w:rPr>
          <w:rFonts w:asciiTheme="minorHAnsi" w:hAnsiTheme="minorHAnsi" w:cstheme="minorHAnsi"/>
          <w:b/>
          <w:bCs/>
          <w:sz w:val="20"/>
          <w:szCs w:val="20"/>
        </w:rPr>
        <w:t>1.1.2. Acuerdos interinstitucionales de cogestión que promueven la formulación conjunta de proyectos entre el MAE, los gobiernos locales y otros actores relevantes, incluidos grupos indígenas y de mujeres.</w:t>
      </w:r>
    </w:p>
    <w:p w14:paraId="29F8E819" w14:textId="77777777" w:rsidR="00015267" w:rsidRPr="002D2A2E" w:rsidRDefault="00015267"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2D2A2E">
        <w:rPr>
          <w:rFonts w:asciiTheme="minorHAnsi" w:eastAsia="SimSun" w:hAnsiTheme="minorHAnsi" w:cstheme="minorHAnsi"/>
          <w:iCs/>
          <w:sz w:val="20"/>
          <w:szCs w:val="20"/>
        </w:rPr>
        <w:t>Las alianzas estratégicas y acuerdos interinstitucionales son instrumentos clave para movilizar y coordinar esfuerzos hacia una gestión multinivel, integrada, coherente e inclusiva—especialmente en el marco de un proyecto complejo como este y en un paisaje como la cuenca del río Napo, que involucra múltiples variables y actores. Para alcanzar este producto, se llevarán a cabo las siguientes actividades:</w:t>
      </w:r>
    </w:p>
    <w:p w14:paraId="4CECD77B"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1.1.2.1. Promover acuerdos de cogestión, memorandos de entendimiento y cartas de compromiso entre el MAE, el MAGP, los </w:t>
      </w:r>
      <w:proofErr w:type="spellStart"/>
      <w:r w:rsidRPr="00015267">
        <w:rPr>
          <w:rFonts w:asciiTheme="minorHAnsi" w:hAnsiTheme="minorHAnsi" w:cstheme="minorBidi"/>
          <w:sz w:val="20"/>
          <w:szCs w:val="20"/>
        </w:rPr>
        <w:t>GADs</w:t>
      </w:r>
      <w:proofErr w:type="spellEnd"/>
      <w:r w:rsidRPr="00015267">
        <w:rPr>
          <w:rFonts w:asciiTheme="minorHAnsi" w:hAnsiTheme="minorHAnsi" w:cstheme="minorBidi"/>
          <w:sz w:val="20"/>
          <w:szCs w:val="20"/>
        </w:rPr>
        <w:t>, comunidades indígenas, agricultores familiares y mujeres, con el fin de fortalecer la gestión territorial sostenible.</w:t>
      </w:r>
    </w:p>
    <w:p w14:paraId="35135FB4"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1.1.2.2. Establecer al menos dos acuerdos de cogestión en temas relevantes al proyecto—como la gestión conjunta de áreas de conservación (por ejemplo, Bosques Protectores o Patrimonio Forestal del Estado), la gobernanza de cuencas en unidades hidrográficas priorizadas, el uso sostenible de productos forestales no maderables (PFNM) o la creación de plataformas interinstitucionales para la planificación territorial—garantizando coherencia política con el marco de gobernanza multinivel y fortaleciendo capacidades para la formulación e implementación de proyectos alineados con el marco normativo armonizado.</w:t>
      </w:r>
    </w:p>
    <w:p w14:paraId="434B43F3" w14:textId="21FD039D" w:rsid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1.1.2.3. Establecer mecanismos de monitoreo y reporte desagregados por sexo, edad y etnicidad para los acuerdos de cogestión (1.1.2) y los proyectos diseñados (1.1.3), en alineación con el PAG y el PPPI. Los </w:t>
      </w:r>
      <w:proofErr w:type="spellStart"/>
      <w:r w:rsidRPr="00015267">
        <w:rPr>
          <w:rFonts w:asciiTheme="minorHAnsi" w:hAnsiTheme="minorHAnsi" w:cstheme="minorBidi"/>
          <w:sz w:val="20"/>
          <w:szCs w:val="20"/>
        </w:rPr>
        <w:t>GADs</w:t>
      </w:r>
      <w:proofErr w:type="spellEnd"/>
      <w:r w:rsidRPr="00015267">
        <w:rPr>
          <w:rFonts w:asciiTheme="minorHAnsi" w:hAnsiTheme="minorHAnsi" w:cstheme="minorBidi"/>
          <w:sz w:val="20"/>
          <w:szCs w:val="20"/>
        </w:rPr>
        <w:t>, la CTEA y</w:t>
      </w:r>
      <w:r w:rsidR="00395D53">
        <w:rPr>
          <w:rFonts w:asciiTheme="minorHAnsi" w:hAnsiTheme="minorHAnsi" w:cstheme="minorBidi"/>
          <w:sz w:val="20"/>
          <w:szCs w:val="20"/>
        </w:rPr>
        <w:t xml:space="preserve"> </w:t>
      </w:r>
      <w:r w:rsidRPr="00015267">
        <w:rPr>
          <w:rFonts w:asciiTheme="minorHAnsi" w:hAnsiTheme="minorHAnsi" w:cstheme="minorBidi"/>
          <w:sz w:val="20"/>
          <w:szCs w:val="20"/>
        </w:rPr>
        <w:t>las nacionalidades</w:t>
      </w:r>
      <w:r w:rsidR="00395D53">
        <w:rPr>
          <w:rFonts w:asciiTheme="minorHAnsi" w:hAnsiTheme="minorHAnsi" w:cstheme="minorBidi"/>
          <w:sz w:val="20"/>
          <w:szCs w:val="20"/>
        </w:rPr>
        <w:t xml:space="preserve"> </w:t>
      </w:r>
      <w:r w:rsidRPr="00015267">
        <w:rPr>
          <w:rFonts w:asciiTheme="minorHAnsi" w:hAnsiTheme="minorHAnsi" w:cstheme="minorBidi"/>
          <w:sz w:val="20"/>
          <w:szCs w:val="20"/>
        </w:rPr>
        <w:t>indígenas actuarán como implementadores directos de las iniciativas contempladas en los Productos 1.1.3 y 3.1.3, desempeñando un papel clave en la identificación, planificación y ejecución de proyectos alineados con los Planes de Vida de pueblos y nacionalidades indígenas. Estos actores participarán en la identificación de prioridades territoriales y en la planificación participativa de iniciativas que integren conservación, restauración, manejo sostenible de tierras y bosques (MST/MFS), producción sostenible, protección de fuentes hídricas y acciones específicas para la conservación y restauración de la biodiversidad, incorporando criterios de equidad de género y salvaguardas ambientales. Las acciones de biodiversidad buscarán mantener y mejorar el estado de conservación de especies amenazadas, fortalecer la conectividad ecológica entre áreas protegidas y corredores biológicos, y proteger ecosistemas críticos para la resiliencia climática. Para la implementación, los </w:t>
      </w:r>
      <w:proofErr w:type="spellStart"/>
      <w:r w:rsidRPr="00015267">
        <w:rPr>
          <w:rFonts w:asciiTheme="minorHAnsi" w:hAnsiTheme="minorHAnsi" w:cstheme="minorBidi"/>
          <w:sz w:val="20"/>
          <w:szCs w:val="20"/>
        </w:rPr>
        <w:t>GADs</w:t>
      </w:r>
      <w:proofErr w:type="spellEnd"/>
      <w:r w:rsidRPr="00015267">
        <w:rPr>
          <w:rFonts w:asciiTheme="minorHAnsi" w:hAnsiTheme="minorHAnsi" w:cstheme="minorBidi"/>
          <w:sz w:val="20"/>
          <w:szCs w:val="20"/>
        </w:rPr>
        <w:t> y la CTEA facilitarán el acceso a mecanismos de financiamiento públicos, climáticos y de biodiversidad (Fondo Común de la CTEA, BDE, BanEcuador, fondos de biodiversidad, mecanismos REDD+ y otros fondos internacionales), asegurando su alineación con los instrumentos de planificación territorial (</w:t>
      </w:r>
      <w:proofErr w:type="spellStart"/>
      <w:r w:rsidRPr="00015267">
        <w:rPr>
          <w:rFonts w:asciiTheme="minorHAnsi" w:hAnsiTheme="minorHAnsi" w:cstheme="minorBidi"/>
          <w:sz w:val="20"/>
          <w:szCs w:val="20"/>
        </w:rPr>
        <w:t>PDOTs</w:t>
      </w:r>
      <w:proofErr w:type="spellEnd"/>
      <w:r w:rsidRPr="00015267">
        <w:rPr>
          <w:rFonts w:asciiTheme="minorHAnsi" w:hAnsiTheme="minorHAnsi" w:cstheme="minorBidi"/>
          <w:sz w:val="20"/>
          <w:szCs w:val="20"/>
        </w:rPr>
        <w:t xml:space="preserve">, </w:t>
      </w:r>
      <w:proofErr w:type="spellStart"/>
      <w:r w:rsidRPr="00015267">
        <w:rPr>
          <w:rFonts w:asciiTheme="minorHAnsi" w:hAnsiTheme="minorHAnsi" w:cstheme="minorBidi"/>
          <w:sz w:val="20"/>
          <w:szCs w:val="20"/>
        </w:rPr>
        <w:t>PUGSs</w:t>
      </w:r>
      <w:proofErr w:type="spellEnd"/>
      <w:r w:rsidRPr="00015267">
        <w:rPr>
          <w:rFonts w:asciiTheme="minorHAnsi" w:hAnsiTheme="minorHAnsi" w:cstheme="minorBidi"/>
          <w:sz w:val="20"/>
          <w:szCs w:val="20"/>
        </w:rPr>
        <w:t xml:space="preserve">, </w:t>
      </w:r>
      <w:proofErr w:type="spellStart"/>
      <w:r w:rsidRPr="00015267">
        <w:rPr>
          <w:rFonts w:asciiTheme="minorHAnsi" w:hAnsiTheme="minorHAnsi" w:cstheme="minorBidi"/>
          <w:sz w:val="20"/>
          <w:szCs w:val="20"/>
        </w:rPr>
        <w:t>PIAs</w:t>
      </w:r>
      <w:proofErr w:type="spellEnd"/>
      <w:r w:rsidRPr="00015267">
        <w:rPr>
          <w:rFonts w:asciiTheme="minorHAnsi" w:hAnsiTheme="minorHAnsi" w:cstheme="minorBidi"/>
          <w:sz w:val="20"/>
          <w:szCs w:val="20"/>
        </w:rPr>
        <w:t>). Las organizaciones y nacionalidades indígenas, en coordinación con los </w:t>
      </w:r>
      <w:proofErr w:type="spellStart"/>
      <w:r w:rsidRPr="00015267">
        <w:rPr>
          <w:rFonts w:asciiTheme="minorHAnsi" w:hAnsiTheme="minorHAnsi" w:cstheme="minorBidi"/>
          <w:sz w:val="20"/>
          <w:szCs w:val="20"/>
        </w:rPr>
        <w:t>GADs</w:t>
      </w:r>
      <w:proofErr w:type="spellEnd"/>
      <w:r w:rsidRPr="00015267">
        <w:rPr>
          <w:rFonts w:asciiTheme="minorHAnsi" w:hAnsiTheme="minorHAnsi" w:cstheme="minorBidi"/>
          <w:sz w:val="20"/>
          <w:szCs w:val="20"/>
        </w:rPr>
        <w:t> y la CTEA, liderarán la ejecución en territorio, garantizando que las inversiones se orienten a los Planes de Vida y herramientas de gestión integrada (APH, ZPH, BVP), y fortaleciendo las capacidades de liderazgo (especialmente de mujeres y jóvenes) en la formulación, gestión, monitoreo y sostenibilidad de proyectos.</w:t>
      </w:r>
    </w:p>
    <w:p w14:paraId="397A86A9"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1.1.2.4. Promover la creación y fortalecimiento de comités de cogestión para bosques protectores como instrumentos clave para la gestión comunitaria, la conservación y el uso sostenible de los recursos forestales.</w:t>
      </w:r>
    </w:p>
    <w:p w14:paraId="2C8CE2E1"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lastRenderedPageBreak/>
        <w:t>1.1.2.5. Elaborar lineamientos participativos para la gestión de los recursos hídricos y crear espacios de consulta con participación indígena y de mujeres (mínimo 40%).</w:t>
      </w:r>
    </w:p>
    <w:p w14:paraId="33E89147"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 xml:space="preserve">1.1.2.6. Integrar criterios de cambio climático, NDT, conservación de la biodiversidad, restauración y gestión del agua en los instrumentos y políticas locales, mediante el fortalecimiento del conocimiento </w:t>
      </w:r>
      <w:proofErr w:type="spellStart"/>
      <w:r w:rsidRPr="00015267">
        <w:rPr>
          <w:rFonts w:asciiTheme="minorHAnsi" w:hAnsiTheme="minorHAnsi" w:cstheme="minorBidi"/>
          <w:sz w:val="20"/>
          <w:szCs w:val="20"/>
        </w:rPr>
        <w:t>hidroclimático</w:t>
      </w:r>
      <w:proofErr w:type="spellEnd"/>
      <w:r w:rsidRPr="00015267">
        <w:rPr>
          <w:rFonts w:asciiTheme="minorHAnsi" w:hAnsiTheme="minorHAnsi" w:cstheme="minorBidi"/>
          <w:sz w:val="20"/>
          <w:szCs w:val="20"/>
        </w:rPr>
        <w:t xml:space="preserve"> y capacidades en gestión forestal, NDT y restauración—alineado con el Plan de Acción REDD+, el Plan Nacional de Acción NDT, y otros instrumentos de planificación (PDOT, PUGS).</w:t>
      </w:r>
    </w:p>
    <w:p w14:paraId="7C1A2BD4"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1.1.2.7. Establecer acuerdos con universidades (por ejemplo, IKIAM, USFQ) para la investigación aplicada y pasantías estudiantiles en el marco del proyecto.</w:t>
      </w:r>
    </w:p>
    <w:p w14:paraId="751E3E77"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1.1.2.8. Analizar las plataformas existentes de diálogo multisectorial en las provincias de intervención del proyecto y evaluar su pertinencia frente a los objetivos del proyecto, con el fin de fortalecerlas o, de ser necesario, establecer espacios provinciales de gobernanza y coordinación intersectorial que se vinculen al mecanismo de gobernanza a nivel de cuenca.</w:t>
      </w:r>
    </w:p>
    <w:p w14:paraId="244F63C0"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1.1.2.9. Establecer acuerdos mediante mecanismos como Subvenciones de Bajo Valor (SBV) y Acuerdos con Partes Responsables (APR), entre otros.</w:t>
      </w:r>
    </w:p>
    <w:p w14:paraId="14B294CB" w14:textId="77777777" w:rsidR="00015267" w:rsidRPr="00015267" w:rsidRDefault="00015267" w:rsidP="00015267">
      <w:pPr>
        <w:ind w:left="360"/>
        <w:jc w:val="both"/>
        <w:rPr>
          <w:rFonts w:asciiTheme="minorHAnsi" w:hAnsiTheme="minorHAnsi" w:cstheme="minorBidi"/>
          <w:sz w:val="20"/>
          <w:szCs w:val="20"/>
        </w:rPr>
      </w:pPr>
      <w:r w:rsidRPr="00015267">
        <w:rPr>
          <w:rFonts w:asciiTheme="minorHAnsi" w:hAnsiTheme="minorHAnsi" w:cstheme="minorBidi"/>
          <w:sz w:val="20"/>
          <w:szCs w:val="20"/>
        </w:rPr>
        <w:t xml:space="preserve">1.1.2.10. Promover conexiones con programas nacionales e internacionales (por ejemplo, CTEA, FBCA, FILAC, etc.) y fortalecer espacios de coordinación como la Mesa REDD+, la Corporación </w:t>
      </w:r>
      <w:proofErr w:type="spellStart"/>
      <w:r w:rsidRPr="00015267">
        <w:rPr>
          <w:rFonts w:asciiTheme="minorHAnsi" w:hAnsiTheme="minorHAnsi" w:cstheme="minorBidi"/>
          <w:sz w:val="20"/>
          <w:szCs w:val="20"/>
        </w:rPr>
        <w:t>Chakra</w:t>
      </w:r>
      <w:proofErr w:type="spellEnd"/>
      <w:r w:rsidRPr="00015267">
        <w:rPr>
          <w:rFonts w:asciiTheme="minorHAnsi" w:hAnsiTheme="minorHAnsi" w:cstheme="minorBidi"/>
          <w:sz w:val="20"/>
          <w:szCs w:val="20"/>
        </w:rPr>
        <w:t>, las redes juveniles y la Red de Jóvenes de la Reserva de Biósfera del Yasuní.</w:t>
      </w:r>
    </w:p>
    <w:p w14:paraId="3A316ED3" w14:textId="77777777" w:rsidR="00E203DD" w:rsidRDefault="00E203DD" w:rsidP="00AF2738">
      <w:pPr>
        <w:jc w:val="both"/>
        <w:rPr>
          <w:rFonts w:asciiTheme="minorHAnsi" w:hAnsiTheme="minorHAnsi" w:cstheme="minorHAnsi"/>
          <w:bCs/>
          <w:sz w:val="20"/>
          <w:szCs w:val="20"/>
          <w:lang w:val="es-EC"/>
        </w:rPr>
      </w:pPr>
    </w:p>
    <w:p w14:paraId="537492DD" w14:textId="43228275" w:rsidR="00E46158" w:rsidRPr="00E46158" w:rsidRDefault="00E46158" w:rsidP="00E46158">
      <w:pPr>
        <w:jc w:val="both"/>
        <w:rPr>
          <w:rFonts w:asciiTheme="minorHAnsi" w:hAnsiTheme="minorHAnsi" w:cstheme="minorHAnsi"/>
          <w:b/>
          <w:bCs/>
          <w:sz w:val="20"/>
          <w:szCs w:val="20"/>
        </w:rPr>
      </w:pPr>
      <w:r w:rsidRPr="00E46158">
        <w:rPr>
          <w:rFonts w:asciiTheme="minorHAnsi" w:hAnsiTheme="minorHAnsi" w:cstheme="minorHAnsi"/>
          <w:b/>
          <w:bCs/>
          <w:sz w:val="20"/>
          <w:szCs w:val="20"/>
        </w:rPr>
        <w:t xml:space="preserve">1.1.3. Proyectos diseñados con criterios de </w:t>
      </w:r>
      <w:r>
        <w:rPr>
          <w:rFonts w:asciiTheme="minorHAnsi" w:hAnsiTheme="minorHAnsi" w:cstheme="minorHAnsi"/>
          <w:b/>
          <w:bCs/>
          <w:sz w:val="20"/>
          <w:szCs w:val="20"/>
        </w:rPr>
        <w:t>paisaje</w:t>
      </w:r>
      <w:r w:rsidRPr="00E46158">
        <w:rPr>
          <w:rFonts w:asciiTheme="minorHAnsi" w:hAnsiTheme="minorHAnsi" w:cstheme="minorHAnsi"/>
          <w:b/>
          <w:bCs/>
          <w:sz w:val="20"/>
          <w:szCs w:val="20"/>
        </w:rPr>
        <w:t xml:space="preserve"> y equidad de género establecidos en los Planes de Vida</w:t>
      </w:r>
    </w:p>
    <w:p w14:paraId="3A32FB75" w14:textId="77777777" w:rsidR="00E46158" w:rsidRPr="00E46158" w:rsidRDefault="00E4615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E46158">
        <w:rPr>
          <w:rFonts w:asciiTheme="minorHAnsi" w:eastAsia="SimSun" w:hAnsiTheme="minorHAnsi" w:cstheme="minorHAnsi"/>
          <w:iCs/>
          <w:sz w:val="20"/>
          <w:szCs w:val="20"/>
        </w:rPr>
        <w:t>Los Planes de Vida de los pueblos indígenas, como instrumentos de planificación de los territorios comunitarios, deben implementarse a través de proyectos que estén alineados con los PDOT, PUGS y otros instrumentos de planificación, respetando los sistemas de gobernanza, organización y autonomía indígenas. Estos proyectos deben incorporar criterios de equidad de género y fortalecer las capacidades de representantes indígenas en la formulación y gestión de proyectos. Para lograrlo, se llevarán a cabo las siguientes actividades:</w:t>
      </w:r>
    </w:p>
    <w:p w14:paraId="50E582CE" w14:textId="77777777" w:rsidR="00E46158" w:rsidRPr="00E46158" w:rsidRDefault="00E46158" w:rsidP="00E46158">
      <w:pPr>
        <w:ind w:left="360"/>
        <w:jc w:val="both"/>
        <w:rPr>
          <w:rFonts w:asciiTheme="minorHAnsi" w:hAnsiTheme="minorHAnsi" w:cstheme="minorBidi"/>
          <w:sz w:val="20"/>
          <w:szCs w:val="20"/>
        </w:rPr>
      </w:pPr>
      <w:r w:rsidRPr="00E46158">
        <w:rPr>
          <w:rFonts w:asciiTheme="minorHAnsi" w:hAnsiTheme="minorHAnsi" w:cstheme="minorBidi"/>
          <w:sz w:val="20"/>
          <w:szCs w:val="20"/>
        </w:rPr>
        <w:t>1.1.3.1. Diseñar al menos cinco iniciativas lideradas por representantes indígenas y otros actores territoriales, que integren medidas participativas de conservación, restauración, manejo sostenible de bosques y tierras (MFS/MST), producción sostenible, mitigación del cambio climático y fortalecimiento de la resiliencia ecosistémica.</w:t>
      </w:r>
    </w:p>
    <w:p w14:paraId="0FD807BC" w14:textId="77777777" w:rsidR="00E46158" w:rsidRPr="00E46158" w:rsidRDefault="00E46158" w:rsidP="00E46158">
      <w:pPr>
        <w:ind w:left="360"/>
        <w:jc w:val="both"/>
        <w:rPr>
          <w:rFonts w:asciiTheme="minorHAnsi" w:hAnsiTheme="minorHAnsi" w:cstheme="minorBidi"/>
          <w:sz w:val="20"/>
          <w:szCs w:val="20"/>
        </w:rPr>
      </w:pPr>
      <w:r w:rsidRPr="00E46158">
        <w:rPr>
          <w:rFonts w:asciiTheme="minorHAnsi" w:hAnsiTheme="minorHAnsi" w:cstheme="minorBidi"/>
          <w:sz w:val="20"/>
          <w:szCs w:val="20"/>
        </w:rPr>
        <w:t>1.1.3.2. Orientar las iniciativas diseñadas hacia inversiones en Planes de Vida Indígenas (PVI), Áreas de Protección Hídrica (APH), Zonas de Protección Hídrica (ZPH), zonas de recarga hídrica, áreas de caudal ecológico, Bosques y Vegetación Protectores (BVP) y otras herramientas de gestión integrada.</w:t>
      </w:r>
    </w:p>
    <w:p w14:paraId="6DAD642D" w14:textId="77777777" w:rsidR="00E46158" w:rsidRPr="00E46158" w:rsidRDefault="00E46158" w:rsidP="00E46158">
      <w:pPr>
        <w:ind w:left="360"/>
        <w:jc w:val="both"/>
        <w:rPr>
          <w:rFonts w:asciiTheme="minorHAnsi" w:hAnsiTheme="minorHAnsi" w:cstheme="minorBidi"/>
          <w:sz w:val="20"/>
          <w:szCs w:val="20"/>
        </w:rPr>
      </w:pPr>
      <w:r w:rsidRPr="00E46158">
        <w:rPr>
          <w:rFonts w:asciiTheme="minorHAnsi" w:hAnsiTheme="minorHAnsi" w:cstheme="minorBidi"/>
          <w:sz w:val="20"/>
          <w:szCs w:val="20"/>
        </w:rPr>
        <w:t>1.1.3.3. Capacitar a 25 líderes indígenas (15 hombres y 10 mujeres) en formulación, gestión y monitoreo de proyectos, alineando con la política local y sectorial mediante un enfoque de género e interseccionalidad.</w:t>
      </w:r>
    </w:p>
    <w:p w14:paraId="2FE90AFC" w14:textId="77777777" w:rsidR="00E46158" w:rsidRPr="00E46158" w:rsidRDefault="00E46158" w:rsidP="00E46158">
      <w:pPr>
        <w:ind w:left="360"/>
        <w:jc w:val="both"/>
        <w:rPr>
          <w:rFonts w:asciiTheme="minorHAnsi" w:hAnsiTheme="minorHAnsi" w:cstheme="minorBidi"/>
          <w:sz w:val="20"/>
          <w:szCs w:val="20"/>
        </w:rPr>
      </w:pPr>
      <w:r w:rsidRPr="00E46158">
        <w:rPr>
          <w:rFonts w:asciiTheme="minorHAnsi" w:hAnsiTheme="minorHAnsi" w:cstheme="minorBidi"/>
          <w:sz w:val="20"/>
          <w:szCs w:val="20"/>
        </w:rPr>
        <w:t>1.1.3.4. Fortalecer la participación de estos líderes en espacios de gobernanza indígena, así como en organizaciones de mujeres y jóvenes.</w:t>
      </w:r>
    </w:p>
    <w:p w14:paraId="1A572A1C" w14:textId="77777777" w:rsidR="00E46158" w:rsidRPr="00E46158" w:rsidRDefault="00E46158" w:rsidP="00E46158">
      <w:pPr>
        <w:ind w:left="360"/>
        <w:jc w:val="both"/>
        <w:rPr>
          <w:rFonts w:asciiTheme="minorHAnsi" w:hAnsiTheme="minorHAnsi" w:cstheme="minorBidi"/>
          <w:sz w:val="20"/>
          <w:szCs w:val="20"/>
        </w:rPr>
      </w:pPr>
      <w:r w:rsidRPr="00E46158">
        <w:rPr>
          <w:rFonts w:asciiTheme="minorHAnsi" w:hAnsiTheme="minorHAnsi" w:cstheme="minorBidi"/>
          <w:sz w:val="20"/>
          <w:szCs w:val="20"/>
        </w:rPr>
        <w:t>1.1.3.5. Promover el liderazgo de mujeres y jóvenes mediante programas de formación en gestión territorial integrada, en colaboración con universidades y organizaciones no gubernamentales.</w:t>
      </w:r>
    </w:p>
    <w:p w14:paraId="1CF72F5E" w14:textId="77777777" w:rsidR="00E46158" w:rsidRPr="00E46158" w:rsidRDefault="00E46158" w:rsidP="00E46158">
      <w:pPr>
        <w:ind w:left="360"/>
        <w:jc w:val="both"/>
        <w:rPr>
          <w:rFonts w:asciiTheme="minorHAnsi" w:hAnsiTheme="minorHAnsi" w:cstheme="minorBidi"/>
          <w:sz w:val="20"/>
          <w:szCs w:val="20"/>
        </w:rPr>
      </w:pPr>
      <w:r w:rsidRPr="00E46158">
        <w:rPr>
          <w:rFonts w:asciiTheme="minorHAnsi" w:hAnsiTheme="minorHAnsi" w:cstheme="minorBidi"/>
          <w:sz w:val="20"/>
          <w:szCs w:val="20"/>
        </w:rPr>
        <w:t>1.1.3.6. Facilitar el acceso de las iniciativas diseñadas a mecanismos de financiamiento como el Fondo Común de la CTEA, el FBCA, el BDE, BanEcuador, entre otros, orientados a inversiones en PVI, APH, BVP y herramientas similares de planificación y restauración.</w:t>
      </w:r>
    </w:p>
    <w:p w14:paraId="69EE6656" w14:textId="77777777" w:rsidR="00E46158" w:rsidRDefault="00E46158" w:rsidP="00AF2738">
      <w:pPr>
        <w:jc w:val="both"/>
        <w:rPr>
          <w:rFonts w:asciiTheme="minorHAnsi" w:hAnsiTheme="minorHAnsi" w:cstheme="minorHAnsi"/>
          <w:bCs/>
          <w:sz w:val="20"/>
          <w:szCs w:val="20"/>
          <w:lang w:val="es-EC"/>
        </w:rPr>
      </w:pPr>
    </w:p>
    <w:p w14:paraId="47F2850B" w14:textId="77777777" w:rsidR="00AF2738" w:rsidRPr="00D830D9" w:rsidRDefault="00AF2738" w:rsidP="00AF2738">
      <w:pPr>
        <w:jc w:val="both"/>
        <w:rPr>
          <w:rFonts w:asciiTheme="minorHAnsi" w:hAnsiTheme="minorHAnsi" w:cstheme="minorHAnsi"/>
          <w:b/>
          <w:sz w:val="20"/>
          <w:szCs w:val="20"/>
          <w:lang w:val="es-EC"/>
        </w:rPr>
      </w:pPr>
    </w:p>
    <w:p w14:paraId="6BAB287B" w14:textId="77777777" w:rsidR="0049567F" w:rsidRPr="0049567F" w:rsidRDefault="0049567F" w:rsidP="0049567F">
      <w:pPr>
        <w:jc w:val="both"/>
        <w:rPr>
          <w:rFonts w:asciiTheme="minorHAnsi" w:hAnsiTheme="minorHAnsi" w:cstheme="minorHAnsi"/>
          <w:b/>
          <w:bCs/>
          <w:sz w:val="20"/>
          <w:szCs w:val="20"/>
        </w:rPr>
      </w:pPr>
      <w:r w:rsidRPr="0049567F">
        <w:rPr>
          <w:rFonts w:asciiTheme="minorHAnsi" w:hAnsiTheme="minorHAnsi" w:cstheme="minorHAnsi"/>
          <w:b/>
          <w:bCs/>
          <w:sz w:val="20"/>
          <w:szCs w:val="20"/>
        </w:rPr>
        <w:t>Componente 2: Adopción de prácticas que contribuyan a la gestión integrada del paisaje para el uso sostenible del suelo y la conservación de la biodiversidad</w:t>
      </w:r>
    </w:p>
    <w:p w14:paraId="203CF0BE" w14:textId="77777777" w:rsidR="0049567F" w:rsidRPr="0049567F" w:rsidRDefault="0049567F"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49567F">
        <w:rPr>
          <w:rFonts w:asciiTheme="minorHAnsi" w:eastAsia="SimSun" w:hAnsiTheme="minorHAnsi" w:cstheme="minorHAnsi"/>
          <w:iCs/>
          <w:sz w:val="20"/>
          <w:szCs w:val="20"/>
        </w:rPr>
        <w:t>Este componente promueve la implementación de prácticas de Manejo Sostenible de Tierras y Recursos Naturales (MST) en paisajes productivos y ecosistemas estratégicos. Se prioriza la conservación de la biodiversidad y la gestión hídrica, integrando enfoques de género, conocimientos ancestrales y ciencia aplicada. Las acciones están orientadas a reducir la degradación, mejorar los medios de vida e incrementar la resiliencia climática en comunidades locales e indígenas.</w:t>
      </w:r>
    </w:p>
    <w:p w14:paraId="6891734C" w14:textId="77777777" w:rsidR="0049567F" w:rsidRDefault="0049567F" w:rsidP="0049567F">
      <w:pPr>
        <w:jc w:val="both"/>
        <w:rPr>
          <w:rFonts w:asciiTheme="minorHAnsi" w:hAnsiTheme="minorHAnsi" w:cstheme="minorHAnsi"/>
          <w:b/>
          <w:bCs/>
          <w:sz w:val="20"/>
          <w:szCs w:val="20"/>
        </w:rPr>
      </w:pPr>
    </w:p>
    <w:p w14:paraId="77C9F0F0" w14:textId="6D15635A" w:rsidR="0049567F" w:rsidRPr="0049567F" w:rsidRDefault="0049567F" w:rsidP="0049567F">
      <w:pPr>
        <w:jc w:val="both"/>
        <w:rPr>
          <w:rFonts w:asciiTheme="minorHAnsi" w:hAnsiTheme="minorHAnsi" w:cstheme="minorHAnsi"/>
          <w:b/>
          <w:bCs/>
          <w:sz w:val="20"/>
          <w:szCs w:val="20"/>
        </w:rPr>
      </w:pPr>
      <w:r w:rsidRPr="0049567F">
        <w:rPr>
          <w:rFonts w:asciiTheme="minorHAnsi" w:hAnsiTheme="minorHAnsi" w:cstheme="minorHAnsi"/>
          <w:b/>
          <w:bCs/>
          <w:sz w:val="20"/>
          <w:szCs w:val="20"/>
        </w:rPr>
        <w:t>Resultado 2.1: Las áreas bajo mecanismos de conservación y protección, así como las zonas de protección hídrica, son gestionadas y conservadas de forma sostenible con un enfoque sensible al género</w:t>
      </w:r>
    </w:p>
    <w:p w14:paraId="192D1F4D" w14:textId="2F011156" w:rsidR="0049567F" w:rsidRDefault="0049567F" w:rsidP="0049567F"/>
    <w:p w14:paraId="7316870A" w14:textId="77777777" w:rsidR="0049567F" w:rsidRPr="0049567F" w:rsidRDefault="0049567F" w:rsidP="0049567F">
      <w:pPr>
        <w:jc w:val="both"/>
        <w:rPr>
          <w:rFonts w:asciiTheme="minorHAnsi" w:hAnsiTheme="minorHAnsi" w:cstheme="minorHAnsi"/>
          <w:b/>
          <w:bCs/>
          <w:sz w:val="20"/>
          <w:szCs w:val="20"/>
        </w:rPr>
      </w:pPr>
      <w:r w:rsidRPr="0049567F">
        <w:rPr>
          <w:rFonts w:asciiTheme="minorHAnsi" w:hAnsiTheme="minorHAnsi" w:cstheme="minorHAnsi"/>
          <w:b/>
          <w:bCs/>
          <w:sz w:val="20"/>
          <w:szCs w:val="20"/>
        </w:rPr>
        <w:t>2.1.1. Planes de manejo formulados y/o actualizados para Áreas de Protección Hídrica (APH) e implementación de medidas de manejo sostenible que contribuyan a la Neutralidad en la Degradación de Tierras (NDT) y protejan los recursos hídricos en la cuenca alta del río Napo</w:t>
      </w:r>
    </w:p>
    <w:p w14:paraId="3F1C2AE3" w14:textId="0ED2D2C6" w:rsidR="0049567F" w:rsidRDefault="0049567F" w:rsidP="00EC2CBE">
      <w:pPr>
        <w:pStyle w:val="Prrafodelista"/>
        <w:numPr>
          <w:ilvl w:val="0"/>
          <w:numId w:val="3"/>
        </w:numPr>
        <w:tabs>
          <w:tab w:val="clear" w:pos="360"/>
          <w:tab w:val="num" w:pos="0"/>
        </w:tabs>
        <w:ind w:left="0" w:hanging="502"/>
        <w:jc w:val="both"/>
        <w:rPr>
          <w:rFonts w:ascii="Calibri" w:hAnsi="Calibri" w:cs="Calibri"/>
          <w:color w:val="000000"/>
          <w:sz w:val="20"/>
          <w:szCs w:val="20"/>
        </w:rPr>
      </w:pPr>
      <w:r w:rsidRPr="0049567F">
        <w:rPr>
          <w:rFonts w:asciiTheme="minorHAnsi" w:eastAsia="SimSun" w:hAnsiTheme="minorHAnsi" w:cstheme="minorHAnsi"/>
          <w:iCs/>
          <w:sz w:val="20"/>
          <w:szCs w:val="20"/>
        </w:rPr>
        <w:t>El proyecto apoyará la implementación participativa de modelos de gestión integrada para las unidades hidrográficas del Aguarico, Coca Alto y Napo Alto, incluyendo el Área de Protección Hídrica Aguarico–</w:t>
      </w:r>
      <w:proofErr w:type="spellStart"/>
      <w:r w:rsidRPr="0049567F">
        <w:rPr>
          <w:rFonts w:asciiTheme="minorHAnsi" w:eastAsia="SimSun" w:hAnsiTheme="minorHAnsi" w:cstheme="minorHAnsi"/>
          <w:iCs/>
          <w:sz w:val="20"/>
          <w:szCs w:val="20"/>
        </w:rPr>
        <w:t>Chingual</w:t>
      </w:r>
      <w:proofErr w:type="spellEnd"/>
      <w:r w:rsidRPr="0049567F">
        <w:rPr>
          <w:rFonts w:asciiTheme="minorHAnsi" w:eastAsia="SimSun" w:hAnsiTheme="minorHAnsi" w:cstheme="minorHAnsi"/>
          <w:iCs/>
          <w:sz w:val="20"/>
          <w:szCs w:val="20"/>
        </w:rPr>
        <w:t xml:space="preserve">–Cofanes, con la </w:t>
      </w:r>
      <w:proofErr w:type="gramStart"/>
      <w:r w:rsidRPr="0049567F">
        <w:rPr>
          <w:rFonts w:asciiTheme="minorHAnsi" w:eastAsia="SimSun" w:hAnsiTheme="minorHAnsi" w:cstheme="minorHAnsi"/>
          <w:iCs/>
          <w:sz w:val="20"/>
          <w:szCs w:val="20"/>
        </w:rPr>
        <w:t>participación activa</w:t>
      </w:r>
      <w:proofErr w:type="gramEnd"/>
      <w:r w:rsidRPr="0049567F">
        <w:rPr>
          <w:rFonts w:asciiTheme="minorHAnsi" w:eastAsia="SimSun" w:hAnsiTheme="minorHAnsi" w:cstheme="minorHAnsi"/>
          <w:iCs/>
          <w:sz w:val="20"/>
          <w:szCs w:val="20"/>
        </w:rPr>
        <w:t xml:space="preserve"> de al menos el 40% de mujeres. Estas intervenciones abarcarán un total de 35,000 ha de </w:t>
      </w:r>
      <w:proofErr w:type="spellStart"/>
      <w:r w:rsidRPr="0049567F">
        <w:rPr>
          <w:rFonts w:asciiTheme="minorHAnsi" w:eastAsia="SimSun" w:hAnsiTheme="minorHAnsi" w:cstheme="minorHAnsi"/>
          <w:iCs/>
          <w:sz w:val="20"/>
          <w:szCs w:val="20"/>
        </w:rPr>
        <w:t>APHs</w:t>
      </w:r>
      <w:proofErr w:type="spellEnd"/>
      <w:r w:rsidRPr="0049567F">
        <w:rPr>
          <w:rFonts w:asciiTheme="minorHAnsi" w:eastAsia="SimSun" w:hAnsiTheme="minorHAnsi" w:cstheme="minorHAnsi"/>
          <w:iCs/>
          <w:sz w:val="20"/>
          <w:szCs w:val="20"/>
        </w:rPr>
        <w:t xml:space="preserve"> existentes, enfocándose en zonas designadas para la conservación forestal, el manejo sostenible y áreas productivas que contribuyen a la NDT. Las acciones combinarán la planificación de manejo con intervenciones en campo—como evaluaciones hidrológicas, restauración de al menos 1.000 ha en zonas hidrológicamente significativas, promoción del uso sostenible de productos forestales no maderables (PFNM) y sistemas de monitoreo participativo—para fortalecer la gobernanza hídrica y la resiliencia ecosistémica en la cuenca alta del Napo. La implementación integrará herramientas de apoyo a la toma de decisiones como el Sistema de Alerta Temprana (SAT), la regularización de derechos de uso del agua y el monitoreo comunitario, asegurando la incorporación de conocimientos locales e indígenas. Estas acciones contribuirán a: Indicador 2 (</w:t>
      </w:r>
      <w:r w:rsidR="00A60D5B">
        <w:rPr>
          <w:rFonts w:asciiTheme="minorHAnsi" w:eastAsia="SimSun" w:hAnsiTheme="minorHAnsi" w:cstheme="minorHAnsi"/>
          <w:iCs/>
          <w:sz w:val="20"/>
          <w:szCs w:val="20"/>
        </w:rPr>
        <w:t xml:space="preserve">IC </w:t>
      </w:r>
      <w:r w:rsidRPr="0049567F">
        <w:rPr>
          <w:rFonts w:asciiTheme="minorHAnsi" w:eastAsia="SimSun" w:hAnsiTheme="minorHAnsi" w:cstheme="minorHAnsi"/>
          <w:iCs/>
          <w:sz w:val="20"/>
          <w:szCs w:val="20"/>
        </w:rPr>
        <w:t xml:space="preserve">1): mejora de la efectividad de manejo de las </w:t>
      </w:r>
      <w:proofErr w:type="spellStart"/>
      <w:r w:rsidRPr="0049567F">
        <w:rPr>
          <w:rFonts w:asciiTheme="minorHAnsi" w:eastAsia="SimSun" w:hAnsiTheme="minorHAnsi" w:cstheme="minorHAnsi"/>
          <w:iCs/>
          <w:sz w:val="20"/>
          <w:szCs w:val="20"/>
        </w:rPr>
        <w:t>APHs</w:t>
      </w:r>
      <w:proofErr w:type="spellEnd"/>
      <w:r w:rsidRPr="0049567F">
        <w:rPr>
          <w:rFonts w:asciiTheme="minorHAnsi" w:eastAsia="SimSun" w:hAnsiTheme="minorHAnsi" w:cstheme="minorHAnsi"/>
          <w:iCs/>
          <w:sz w:val="20"/>
          <w:szCs w:val="20"/>
        </w:rPr>
        <w:t>. Indicador 3 (</w:t>
      </w:r>
      <w:r w:rsidR="00A60D5B">
        <w:rPr>
          <w:rFonts w:asciiTheme="minorHAnsi" w:eastAsia="SimSun" w:hAnsiTheme="minorHAnsi" w:cstheme="minorHAnsi"/>
          <w:iCs/>
          <w:sz w:val="20"/>
          <w:szCs w:val="20"/>
        </w:rPr>
        <w:t xml:space="preserve">IC </w:t>
      </w:r>
      <w:r w:rsidRPr="0049567F">
        <w:rPr>
          <w:rFonts w:asciiTheme="minorHAnsi" w:eastAsia="SimSun" w:hAnsiTheme="minorHAnsi" w:cstheme="minorHAnsi"/>
          <w:iCs/>
          <w:sz w:val="20"/>
          <w:szCs w:val="20"/>
        </w:rPr>
        <w:t>3): restauración de tierras degradadas. Indicador 5 (</w:t>
      </w:r>
      <w:r w:rsidR="00A60D5B">
        <w:rPr>
          <w:rFonts w:asciiTheme="minorHAnsi" w:eastAsia="SimSun" w:hAnsiTheme="minorHAnsi" w:cstheme="minorHAnsi"/>
          <w:iCs/>
          <w:sz w:val="20"/>
          <w:szCs w:val="20"/>
        </w:rPr>
        <w:t xml:space="preserve">IC </w:t>
      </w:r>
      <w:r w:rsidRPr="0049567F">
        <w:rPr>
          <w:rFonts w:asciiTheme="minorHAnsi" w:eastAsia="SimSun" w:hAnsiTheme="minorHAnsi" w:cstheme="minorHAnsi"/>
          <w:iCs/>
          <w:sz w:val="20"/>
          <w:szCs w:val="20"/>
        </w:rPr>
        <w:t>6): reducción de la presión sobre la deforestación, mantenimiento de la cobertura forestal</w:t>
      </w:r>
      <w:r w:rsidRPr="0049567F">
        <w:rPr>
          <w:rFonts w:ascii="Calibri" w:hAnsi="Calibri" w:cs="Calibri"/>
          <w:color w:val="000000"/>
          <w:sz w:val="20"/>
          <w:szCs w:val="20"/>
        </w:rPr>
        <w:t xml:space="preserve"> y fortalecimiento de la resiliencia hidrológica frente a la variabilidad climática.</w:t>
      </w:r>
    </w:p>
    <w:p w14:paraId="23DC90C6" w14:textId="77777777" w:rsidR="003206E8" w:rsidRDefault="003206E8" w:rsidP="003206E8">
      <w:pPr>
        <w:tabs>
          <w:tab w:val="num" w:pos="0"/>
        </w:tabs>
        <w:jc w:val="both"/>
        <w:rPr>
          <w:rFonts w:ascii="Calibri" w:hAnsi="Calibri" w:cs="Calibri"/>
          <w:color w:val="000000"/>
          <w:sz w:val="20"/>
          <w:szCs w:val="20"/>
        </w:rPr>
      </w:pPr>
    </w:p>
    <w:p w14:paraId="5C1F5202" w14:textId="77777777"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2.1.1.1. Desarrollar e implementar modelos de gestión para las tres unidades hidrográficas —Aguarico, Coca Alto y Napo Alto— incluyendo el Área de Protección Hídrica Aguarico–</w:t>
      </w:r>
      <w:proofErr w:type="spellStart"/>
      <w:r w:rsidRPr="003206E8">
        <w:rPr>
          <w:rFonts w:ascii="Calibri" w:hAnsi="Calibri" w:cs="Calibri"/>
          <w:sz w:val="20"/>
          <w:szCs w:val="20"/>
        </w:rPr>
        <w:t>Chingual</w:t>
      </w:r>
      <w:proofErr w:type="spellEnd"/>
      <w:r w:rsidRPr="003206E8">
        <w:rPr>
          <w:rFonts w:ascii="Calibri" w:hAnsi="Calibri" w:cs="Calibri"/>
          <w:sz w:val="20"/>
          <w:szCs w:val="20"/>
        </w:rPr>
        <w:t>–Cofanes, que abarcan un total de 35.000 hectáreas de Áreas de Protección Hídrica (APH) existentes. Estos modelos estarán diseñados para fortalecer la gestión integrada de cuencas, en coordinación con el Producto 1.1.2, incorporando procesos de zonificación para conservación, restauración y uso sostenible. Esta actividad contribuye al Indicador 2 (CI</w:t>
      </w:r>
      <w:r w:rsidRPr="003206E8">
        <w:rPr>
          <w:rFonts w:ascii="Calibri" w:hAnsi="Calibri" w:cs="Calibri"/>
          <w:sz w:val="20"/>
          <w:szCs w:val="20"/>
        </w:rPr>
        <w:noBreakHyphen/>
        <w:t>1) mediante la mejora de la efectividad de la gestión de las áreas bajo protección hídrica, y al Indicador 5 (CI</w:t>
      </w:r>
      <w:r w:rsidRPr="003206E8">
        <w:rPr>
          <w:rFonts w:ascii="Calibri" w:hAnsi="Calibri" w:cs="Calibri"/>
          <w:sz w:val="20"/>
          <w:szCs w:val="20"/>
        </w:rPr>
        <w:noBreakHyphen/>
        <w:t>6) al reducir las presiones de deforestación, mantener la cobertura forestal y fortalecer la resiliencia hidrológica frente a la variabilidad climática.</w:t>
      </w:r>
    </w:p>
    <w:p w14:paraId="3899EE65" w14:textId="77777777"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2.1.1.2. Realizar un balance hídrico y una evaluación hidrometeorológica en las cuencas del Aguarico, Coca Alto y Napo Alto, con el fin de identificar zonas prioritarias de conservación y restauración, en particular zonas de recarga hídrica y áreas vulnerables a eventos climáticos extremos, así como promover la generación de datos en coordinación con las instituciones competentes para alimentar el Sistema de Alerta Temprana (SAT) y el Plan de Monitoreo Comunitario (Producto 4.1.2).</w:t>
      </w:r>
    </w:p>
    <w:p w14:paraId="045B601A" w14:textId="77777777"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2.1.1.3. Promover el uso de la información generada por el SAT para la toma oportuna de decisiones y la planificación de la implementación de los planes de manejo de las APH, así como para la gestión integrada de la cuenca del río Napo.</w:t>
      </w:r>
    </w:p>
    <w:p w14:paraId="40827CE4" w14:textId="77777777"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2.1.1.4. Apoyar la regularización de autorizaciones de uso y aprovechamiento del agua, con el fin de fortalecer la gestión de la información sobre disponibilidad hídrica, calidad del agua e integridad ecológica de los ecosistemas acuáticos, resaltando el rol de las mujeres en la gestión integrada del recurso hídrico y promoviendo el acceso equitativo a los beneficios económicos derivados de soluciones sostenibles de gestión del agua y conservación de cuencas.</w:t>
      </w:r>
    </w:p>
    <w:p w14:paraId="68FE208D" w14:textId="25B5575F"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 xml:space="preserve">2.1.1.5. Implementar acciones de restauración en las APH y en otras áreas de relevancia hidrológica, así como en sus ecosistemas acuáticos asociados, priorizando zonas que sustentan procesos </w:t>
      </w:r>
      <w:proofErr w:type="spellStart"/>
      <w:r w:rsidRPr="003206E8">
        <w:rPr>
          <w:rFonts w:ascii="Calibri" w:hAnsi="Calibri" w:cs="Calibri"/>
          <w:sz w:val="20"/>
          <w:szCs w:val="20"/>
        </w:rPr>
        <w:t>ecohidrológicos</w:t>
      </w:r>
      <w:proofErr w:type="spellEnd"/>
      <w:r w:rsidRPr="003206E8">
        <w:rPr>
          <w:rFonts w:ascii="Calibri" w:hAnsi="Calibri" w:cs="Calibri"/>
          <w:sz w:val="20"/>
          <w:szCs w:val="20"/>
        </w:rPr>
        <w:t> clave, tales como la infiltración del suelo y la regulación de caudales. Estas acciones se coordinarán con socios estratégicos como HIVOS, NCI, TNC, CI, USFQ, IKIAM, INAMHI, entre otros.</w:t>
      </w:r>
      <w:r>
        <w:rPr>
          <w:rFonts w:ascii="Calibri" w:hAnsi="Calibri" w:cs="Calibri"/>
          <w:sz w:val="20"/>
          <w:szCs w:val="20"/>
        </w:rPr>
        <w:t xml:space="preserve"> </w:t>
      </w:r>
      <w:r w:rsidRPr="003206E8">
        <w:rPr>
          <w:rFonts w:ascii="Calibri" w:hAnsi="Calibri" w:cs="Calibri"/>
          <w:sz w:val="20"/>
          <w:szCs w:val="20"/>
        </w:rPr>
        <w:t>La implementación de las acciones de restauración se priorizará en al menos 1.000 hectáreas dentro de las Áreas de Protección Hídrica (APH), especialmente en zonas identificadas como críticas para la infiltración y regulación hidrológica en las unidades hidrográficas del Aguarico, Coca Alto y Napo Alto.</w:t>
      </w:r>
      <w:r>
        <w:rPr>
          <w:rFonts w:ascii="Calibri" w:hAnsi="Calibri" w:cs="Calibri"/>
          <w:sz w:val="20"/>
          <w:szCs w:val="20"/>
        </w:rPr>
        <w:t xml:space="preserve"> </w:t>
      </w:r>
      <w:r w:rsidRPr="003206E8">
        <w:rPr>
          <w:rFonts w:ascii="Calibri" w:hAnsi="Calibri" w:cs="Calibri"/>
          <w:sz w:val="20"/>
          <w:szCs w:val="20"/>
        </w:rPr>
        <w:t>Estas acciones se alinearán con los lineamientos técnicos y metodológicos definidos en la Actividad 2.1.2, orientada al fortalecimiento de capacidades locales para el diseño, monitoreo y mantenimiento de medidas de restauración pasiva y activa, promoviendo la sostenibilidad a largo plazo de las intervenciones.</w:t>
      </w:r>
      <w:r>
        <w:rPr>
          <w:rFonts w:ascii="Calibri" w:hAnsi="Calibri" w:cs="Calibri"/>
          <w:sz w:val="20"/>
          <w:szCs w:val="20"/>
        </w:rPr>
        <w:t xml:space="preserve"> </w:t>
      </w:r>
      <w:r w:rsidRPr="003206E8">
        <w:rPr>
          <w:rFonts w:ascii="Calibri" w:hAnsi="Calibri" w:cs="Calibri"/>
          <w:sz w:val="20"/>
          <w:szCs w:val="20"/>
        </w:rPr>
        <w:t>Adicionalmente, se establecerán sinergias con las acciones previstas en la Actividad 2.2.3, que contempla la restauración de al menos 3.021 hectáreas en áreas productivas liberadas del uso agrícola mediante sistemas como </w:t>
      </w:r>
      <w:proofErr w:type="spellStart"/>
      <w:r w:rsidRPr="003206E8">
        <w:rPr>
          <w:rFonts w:ascii="Calibri" w:hAnsi="Calibri" w:cs="Calibri"/>
          <w:sz w:val="20"/>
          <w:szCs w:val="20"/>
        </w:rPr>
        <w:t>silvopastoreo</w:t>
      </w:r>
      <w:proofErr w:type="spellEnd"/>
      <w:r w:rsidRPr="003206E8">
        <w:rPr>
          <w:rFonts w:ascii="Calibri" w:hAnsi="Calibri" w:cs="Calibri"/>
          <w:sz w:val="20"/>
          <w:szCs w:val="20"/>
        </w:rPr>
        <w:t xml:space="preserve"> y forestería análoga. La complementariedad entre </w:t>
      </w:r>
      <w:r w:rsidRPr="003206E8">
        <w:rPr>
          <w:rFonts w:ascii="Calibri" w:hAnsi="Calibri" w:cs="Calibri"/>
          <w:sz w:val="20"/>
          <w:szCs w:val="20"/>
        </w:rPr>
        <w:lastRenderedPageBreak/>
        <w:t>ambas líneas de acción permitirá abordar la degradación de tierras en distintos contextos territoriales —tanto en áreas de conservación como de producción— bajo un enfoque de gestión integrada del paisaje y Neutralidad en la Degradación de la Tierra (NDT).</w:t>
      </w:r>
    </w:p>
    <w:p w14:paraId="7833A65F" w14:textId="77777777"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2.1.1.6. Promover el uso sostenible de productos forestales no maderables (PFNM), de acuerdo con la zonificación establecida en los planes de manejo y en alineación con principios de sostenibilidad. Esta actividad contribuye al Indicador 3 (CI</w:t>
      </w:r>
      <w:r w:rsidRPr="003206E8">
        <w:rPr>
          <w:rFonts w:ascii="Calibri" w:hAnsi="Calibri" w:cs="Calibri"/>
          <w:sz w:val="20"/>
          <w:szCs w:val="20"/>
        </w:rPr>
        <w:noBreakHyphen/>
        <w:t>3) y al Indicador 5 (CI</w:t>
      </w:r>
      <w:r w:rsidRPr="003206E8">
        <w:rPr>
          <w:rFonts w:ascii="Calibri" w:hAnsi="Calibri" w:cs="Calibri"/>
          <w:sz w:val="20"/>
          <w:szCs w:val="20"/>
        </w:rPr>
        <w:noBreakHyphen/>
        <w:t>6) al incrementar la captura de carbono y la funcionalidad ecológica de áreas degradadas.</w:t>
      </w:r>
    </w:p>
    <w:p w14:paraId="708292F4" w14:textId="77777777" w:rsidR="003206E8" w:rsidRPr="003206E8" w:rsidRDefault="003206E8" w:rsidP="003206E8">
      <w:pPr>
        <w:ind w:left="360"/>
        <w:jc w:val="both"/>
        <w:rPr>
          <w:rFonts w:ascii="Calibri" w:hAnsi="Calibri" w:cs="Calibri"/>
          <w:sz w:val="20"/>
          <w:szCs w:val="20"/>
        </w:rPr>
      </w:pPr>
      <w:r w:rsidRPr="003206E8">
        <w:rPr>
          <w:rFonts w:ascii="Calibri" w:hAnsi="Calibri" w:cs="Calibri"/>
          <w:sz w:val="20"/>
          <w:szCs w:val="20"/>
        </w:rPr>
        <w:t>2.1.1.7. Formular, implementar y fortalecer sistemas participativos de monitoreo de la calidad del agua y de la integridad ecológica de las fuentes hídricas y sus ecosistemas acuáticos, aprovechando capacidades locales y alianzas entre organizaciones de la sociedad civil, instituciones educativas y entidades gubernamentales. Esto incluye la conformación de brigadas juveniles mixtas, la promoción del liderazgo de las mujeres y el uso de metodologías de bajo costo basadas en bioindicadores (macroinvertebrados y parámetros de evaluación rápida) en las tres unidades hidrográficas propuestas, adaptadas a las necesidades locales diferenciadas y orientadas a la conformación de redes locales de monitoreo a escala de la cuenca del río Napo.</w:t>
      </w:r>
    </w:p>
    <w:p w14:paraId="098E8C11" w14:textId="77777777" w:rsidR="003206E8" w:rsidRPr="003206E8" w:rsidRDefault="003206E8" w:rsidP="003206E8">
      <w:pPr>
        <w:tabs>
          <w:tab w:val="num" w:pos="0"/>
        </w:tabs>
        <w:jc w:val="both"/>
        <w:rPr>
          <w:rFonts w:ascii="Calibri" w:hAnsi="Calibri" w:cs="Calibri"/>
          <w:color w:val="000000"/>
          <w:sz w:val="20"/>
          <w:szCs w:val="20"/>
        </w:rPr>
      </w:pPr>
    </w:p>
    <w:p w14:paraId="7D2F3705" w14:textId="77777777" w:rsidR="003206E8" w:rsidRPr="003206E8" w:rsidRDefault="003206E8" w:rsidP="003206E8">
      <w:pPr>
        <w:jc w:val="both"/>
        <w:rPr>
          <w:rFonts w:asciiTheme="minorHAnsi" w:hAnsiTheme="minorHAnsi" w:cstheme="minorHAnsi"/>
          <w:b/>
          <w:bCs/>
          <w:sz w:val="20"/>
          <w:szCs w:val="20"/>
        </w:rPr>
      </w:pPr>
      <w:r w:rsidRPr="003206E8">
        <w:rPr>
          <w:rFonts w:asciiTheme="minorHAnsi" w:hAnsiTheme="minorHAnsi" w:cstheme="minorHAnsi"/>
          <w:b/>
          <w:bCs/>
          <w:sz w:val="20"/>
          <w:szCs w:val="20"/>
        </w:rPr>
        <w:t>2.1.2. Programa de formación para la restauración de tierras en áreas degradadas y deforestadas y para la gestión sostenible, promoviendo la participación de las mujeres mediante acciones afirmativas.</w:t>
      </w:r>
    </w:p>
    <w:p w14:paraId="175EC73C" w14:textId="43F22060" w:rsidR="003206E8" w:rsidRPr="003206E8" w:rsidRDefault="003206E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3206E8">
        <w:rPr>
          <w:rFonts w:asciiTheme="minorHAnsi" w:eastAsia="SimSun" w:hAnsiTheme="minorHAnsi" w:cstheme="minorHAnsi"/>
          <w:iCs/>
          <w:sz w:val="20"/>
          <w:szCs w:val="20"/>
        </w:rPr>
        <w:t>Este programa de formación se centrará en el fortalecimiento de capacidades para la planificación de la conservación, la gestión sostenible, la restauración, el monitoreo y la generación de información que apoye la toma de decisiones y la gestión integrada del paisaje en el marco del Resultado 2.1. Las actividades incluyen:</w:t>
      </w:r>
    </w:p>
    <w:p w14:paraId="2A0E0B8F" w14:textId="5D537B16" w:rsidR="003206E8" w:rsidRPr="003206E8" w:rsidRDefault="003206E8" w:rsidP="003206E8">
      <w:pPr>
        <w:ind w:left="360"/>
        <w:jc w:val="both"/>
        <w:rPr>
          <w:rFonts w:asciiTheme="minorHAnsi" w:hAnsiTheme="minorHAnsi" w:cstheme="minorHAnsi"/>
          <w:sz w:val="20"/>
          <w:szCs w:val="20"/>
        </w:rPr>
      </w:pPr>
      <w:r w:rsidRPr="003206E8">
        <w:rPr>
          <w:rFonts w:asciiTheme="minorHAnsi" w:hAnsiTheme="minorHAnsi" w:cstheme="minorHAnsi"/>
          <w:sz w:val="20"/>
          <w:szCs w:val="20"/>
        </w:rPr>
        <w:t>2.1.2.1. Diseñar un programa de formación teórico-práctico dirigido a hombres, mujeres y jóvenes involucrados en la conservación y gestión forestal, que aborde los siguientes temas: planificación para la conservación y gestión de áreas protegidas (alineado con los Artículos 111 y 114 del Código Orgánico del Ambiente - CODA); uso sostenible de PFNM bajo la normativa vigente; agregación de valor a los PFNM; cadenas de valor para bioemprendimientos; restauración de áreas degradadas; monitoreo de la calidad del agua (bioindicadores); y disponibilidad de hábitats para especies amenazadas.</w:t>
      </w:r>
    </w:p>
    <w:p w14:paraId="77DE40B7" w14:textId="503D965F" w:rsidR="003206E8" w:rsidRPr="003206E8" w:rsidRDefault="003206E8" w:rsidP="003206E8">
      <w:pPr>
        <w:ind w:left="360"/>
        <w:jc w:val="both"/>
        <w:rPr>
          <w:rFonts w:asciiTheme="minorHAnsi" w:hAnsiTheme="minorHAnsi" w:cstheme="minorHAnsi"/>
          <w:sz w:val="20"/>
          <w:szCs w:val="20"/>
        </w:rPr>
      </w:pPr>
      <w:r w:rsidRPr="003206E8">
        <w:rPr>
          <w:rFonts w:asciiTheme="minorHAnsi" w:hAnsiTheme="minorHAnsi" w:cstheme="minorHAnsi"/>
          <w:sz w:val="20"/>
          <w:szCs w:val="20"/>
        </w:rPr>
        <w:t>2.1.2.2. Desarrollar al menos un módulo de capacitación por cada tema listado, considerando enfoques de género, edad, roles del grupo destinatario, contexto de las áreas de intervención y el enfoque de NDT.</w:t>
      </w:r>
    </w:p>
    <w:p w14:paraId="2465AF88" w14:textId="77777777" w:rsidR="003206E8" w:rsidRPr="003206E8" w:rsidRDefault="003206E8" w:rsidP="003206E8">
      <w:pPr>
        <w:ind w:left="360"/>
        <w:jc w:val="both"/>
        <w:rPr>
          <w:rFonts w:asciiTheme="minorHAnsi" w:hAnsiTheme="minorHAnsi" w:cstheme="minorHAnsi"/>
          <w:sz w:val="20"/>
          <w:szCs w:val="20"/>
        </w:rPr>
      </w:pPr>
      <w:r w:rsidRPr="003206E8">
        <w:rPr>
          <w:rFonts w:asciiTheme="minorHAnsi" w:hAnsiTheme="minorHAnsi" w:cstheme="minorHAnsi"/>
          <w:sz w:val="20"/>
          <w:szCs w:val="20"/>
        </w:rPr>
        <w:t>2.1.2.3. Traducir y adaptar secciones relevantes de los módulos de capacitación a las lenguas indígenas de las áreas de intervención del proyecto, para garantizar pertinencia cultural y lingüística.</w:t>
      </w:r>
    </w:p>
    <w:p w14:paraId="6C0BC267" w14:textId="77777777" w:rsidR="003206E8" w:rsidRPr="003206E8" w:rsidRDefault="003206E8" w:rsidP="003206E8">
      <w:pPr>
        <w:ind w:left="360"/>
        <w:jc w:val="both"/>
        <w:rPr>
          <w:rFonts w:asciiTheme="minorHAnsi" w:hAnsiTheme="minorHAnsi" w:cstheme="minorHAnsi"/>
          <w:sz w:val="20"/>
          <w:szCs w:val="20"/>
        </w:rPr>
      </w:pPr>
      <w:r w:rsidRPr="003206E8">
        <w:rPr>
          <w:rFonts w:asciiTheme="minorHAnsi" w:hAnsiTheme="minorHAnsi" w:cstheme="minorHAnsi"/>
          <w:sz w:val="20"/>
          <w:szCs w:val="20"/>
        </w:rPr>
        <w:t>2.1.2.4. Implementar los módulos de formación utilizando una metodología adaptada de Escuelas de Campo para Agricultores (ECA), involucrando a hombres, mujeres, jóvenes y personas con distintos niveles de escolaridad. Los horarios de formación se ajustarán para facilitar la participación de las mujeres, incluyendo estrategias de cuidado infantil y apoyo logístico.</w:t>
      </w:r>
    </w:p>
    <w:p w14:paraId="1A2DECFF" w14:textId="77777777" w:rsidR="003206E8" w:rsidRPr="003206E8" w:rsidRDefault="003206E8" w:rsidP="003206E8">
      <w:pPr>
        <w:ind w:left="360"/>
        <w:jc w:val="both"/>
        <w:rPr>
          <w:rFonts w:asciiTheme="minorHAnsi" w:hAnsiTheme="minorHAnsi" w:cstheme="minorHAnsi"/>
          <w:sz w:val="20"/>
          <w:szCs w:val="20"/>
        </w:rPr>
      </w:pPr>
      <w:r w:rsidRPr="003206E8">
        <w:rPr>
          <w:rFonts w:asciiTheme="minorHAnsi" w:hAnsiTheme="minorHAnsi" w:cstheme="minorHAnsi"/>
          <w:sz w:val="20"/>
          <w:szCs w:val="20"/>
        </w:rPr>
        <w:t>2.1.2.5. Desarrollar capacitaciones complementarias con un enfoque participativo y sensible al género para apoyar la conservación, la gestión sostenible de recursos naturales y la NDT. Entre los temas posibles se incluyen: importancia, limitaciones y alternativas al Registro Forestal del MAE; legalización de tenencia de la tierra; certificación forestal; estrategias de mercado resilientes al clima; y liderazgo de las mujeres.</w:t>
      </w:r>
    </w:p>
    <w:p w14:paraId="6EE9A49D" w14:textId="77777777" w:rsidR="003206E8" w:rsidRPr="003206E8" w:rsidRDefault="003206E8" w:rsidP="003206E8">
      <w:pPr>
        <w:ind w:left="360"/>
        <w:jc w:val="both"/>
        <w:rPr>
          <w:rFonts w:asciiTheme="minorHAnsi" w:hAnsiTheme="minorHAnsi" w:cstheme="minorHAnsi"/>
          <w:sz w:val="20"/>
          <w:szCs w:val="20"/>
        </w:rPr>
      </w:pPr>
      <w:r w:rsidRPr="003206E8">
        <w:rPr>
          <w:rFonts w:asciiTheme="minorHAnsi" w:hAnsiTheme="minorHAnsi" w:cstheme="minorHAnsi"/>
          <w:sz w:val="20"/>
          <w:szCs w:val="20"/>
        </w:rPr>
        <w:t>2.1.2.6. Fortalecer la gobernanza forestal comunitaria a través de mecanismos de transparencia, acceso a la información pública y auditorías comunitarias.</w:t>
      </w:r>
    </w:p>
    <w:p w14:paraId="4780F6BA" w14:textId="77777777" w:rsidR="0049567F" w:rsidRDefault="0049567F" w:rsidP="00AF2738">
      <w:pPr>
        <w:jc w:val="both"/>
        <w:rPr>
          <w:rFonts w:asciiTheme="minorHAnsi" w:hAnsiTheme="minorHAnsi" w:cstheme="minorHAnsi"/>
          <w:bCs/>
          <w:sz w:val="20"/>
          <w:szCs w:val="20"/>
          <w:lang w:val="es-EC"/>
        </w:rPr>
      </w:pPr>
    </w:p>
    <w:p w14:paraId="69427D0C" w14:textId="77777777" w:rsidR="0049567F" w:rsidRDefault="0049567F" w:rsidP="00AF2738">
      <w:pPr>
        <w:jc w:val="both"/>
        <w:rPr>
          <w:rFonts w:asciiTheme="minorHAnsi" w:hAnsiTheme="minorHAnsi" w:cstheme="minorHAnsi"/>
          <w:bCs/>
          <w:sz w:val="20"/>
          <w:szCs w:val="20"/>
          <w:lang w:val="es-EC"/>
        </w:rPr>
      </w:pPr>
    </w:p>
    <w:p w14:paraId="2FC21898" w14:textId="77777777" w:rsidR="00633976" w:rsidRPr="00B10F73" w:rsidRDefault="00633976" w:rsidP="00633976">
      <w:pPr>
        <w:jc w:val="both"/>
        <w:rPr>
          <w:rFonts w:asciiTheme="minorHAnsi" w:hAnsiTheme="minorHAnsi" w:cstheme="minorHAnsi"/>
          <w:b/>
          <w:bCs/>
          <w:sz w:val="20"/>
          <w:szCs w:val="20"/>
        </w:rPr>
      </w:pPr>
      <w:r w:rsidRPr="00B10F73">
        <w:rPr>
          <w:rFonts w:asciiTheme="minorHAnsi" w:hAnsiTheme="minorHAnsi" w:cstheme="minorHAnsi"/>
          <w:b/>
          <w:bCs/>
          <w:sz w:val="20"/>
          <w:szCs w:val="20"/>
        </w:rPr>
        <w:t>2.1.3. Planes de manejo formulados y/o actualizados para bosques protectores u otras áreas protegidas, como bosques comunitarios indígenas y otros tipos de tenencia en la cuenca baja del río Napo, incorporando medidas de Manejo Forestal Sostenible (MFS).</w:t>
      </w:r>
    </w:p>
    <w:p w14:paraId="44365BAE" w14:textId="479C4CB0" w:rsidR="00633976" w:rsidRPr="00633976" w:rsidRDefault="00633976"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633976">
        <w:rPr>
          <w:rFonts w:asciiTheme="minorHAnsi" w:eastAsia="SimSun" w:hAnsiTheme="minorHAnsi" w:cstheme="minorHAnsi"/>
          <w:iCs/>
          <w:sz w:val="20"/>
          <w:szCs w:val="20"/>
        </w:rPr>
        <w:t>El proyecto fortalecerá la conservación y el manejo sostenible de los bosques protectores y otras áreas protegidas en la cuenca baja del río Napo mediante un enfoque participativo y sensible al género, que prioriza ecosistemas de alto valor y la protección de fuentes hídricas. Se actualizarán e implementarán planes de manejo para áreas existentes, se declararán nuevas áreas y se establecerán acuerdos de conservación o manejo sostenible sobre 90.000 ha, contribuyendo al Indicador 2 (CI</w:t>
      </w:r>
      <w:r w:rsidRPr="00633976">
        <w:rPr>
          <w:rFonts w:asciiTheme="minorHAnsi" w:eastAsia="SimSun" w:hAnsiTheme="minorHAnsi" w:cstheme="minorHAnsi"/>
          <w:iCs/>
          <w:sz w:val="20"/>
          <w:szCs w:val="20"/>
        </w:rPr>
        <w:noBreakHyphen/>
        <w:t>1) y al Indicador 5 (CI</w:t>
      </w:r>
      <w:r w:rsidRPr="00633976">
        <w:rPr>
          <w:rFonts w:asciiTheme="minorHAnsi" w:eastAsia="SimSun" w:hAnsiTheme="minorHAnsi" w:cstheme="minorHAnsi"/>
          <w:iCs/>
          <w:sz w:val="20"/>
          <w:szCs w:val="20"/>
        </w:rPr>
        <w:noBreakHyphen/>
        <w:t>6). Adicionalmente, 21.189 ha serán incorporadas al manejo forestal sostenible mediante asistencia técnica, modelos comunitarios y el desarrollo de cadenas de valor de productos forestales no maderables (PFNM), contribuyendo al Indicador 4 (CI</w:t>
      </w:r>
      <w:r w:rsidRPr="00633976">
        <w:rPr>
          <w:rFonts w:asciiTheme="minorHAnsi" w:eastAsia="SimSun" w:hAnsiTheme="minorHAnsi" w:cstheme="minorHAnsi"/>
          <w:iCs/>
          <w:sz w:val="20"/>
          <w:szCs w:val="20"/>
        </w:rPr>
        <w:noBreakHyphen/>
        <w:t xml:space="preserve">4) y avanzando en los objetivos de mitigación del cambio climático. Un sistema de monitoreo participativo, alineado con </w:t>
      </w:r>
      <w:r w:rsidRPr="00633976">
        <w:rPr>
          <w:rFonts w:asciiTheme="minorHAnsi" w:eastAsia="SimSun" w:hAnsiTheme="minorHAnsi" w:cstheme="minorHAnsi"/>
          <w:iCs/>
          <w:sz w:val="20"/>
          <w:szCs w:val="20"/>
        </w:rPr>
        <w:lastRenderedPageBreak/>
        <w:t>el Sistema Nacional de Monitoreo Forestal del MAE, garantizará un seguimiento robusto del estado del bosque, el uso de recursos y la biodiversidad, reforzando la gestión adaptativa y la sostenibilidad a largo plazo. Las actividades previstas incluyen:</w:t>
      </w:r>
    </w:p>
    <w:p w14:paraId="74680197" w14:textId="77777777" w:rsidR="00633976" w:rsidRPr="00633976" w:rsidRDefault="00633976" w:rsidP="00633976">
      <w:pPr>
        <w:ind w:left="360"/>
        <w:jc w:val="both"/>
        <w:rPr>
          <w:rFonts w:asciiTheme="minorHAnsi" w:hAnsiTheme="minorHAnsi" w:cstheme="minorHAnsi"/>
          <w:sz w:val="20"/>
          <w:szCs w:val="20"/>
        </w:rPr>
      </w:pPr>
      <w:r w:rsidRPr="00633976">
        <w:rPr>
          <w:rFonts w:asciiTheme="minorHAnsi" w:hAnsiTheme="minorHAnsi" w:cstheme="minorHAnsi"/>
          <w:sz w:val="20"/>
          <w:szCs w:val="20"/>
        </w:rPr>
        <w:t>2.1.3.1. Evaluar la vigencia y el estado de implementación de los planes de manejo de los siete bosques protectores estatales ubicados en las áreas prioritarias del proyecto.</w:t>
      </w:r>
    </w:p>
    <w:p w14:paraId="551206D3" w14:textId="77777777" w:rsidR="00633976" w:rsidRPr="00633976" w:rsidRDefault="00633976" w:rsidP="00633976">
      <w:pPr>
        <w:ind w:left="360"/>
        <w:jc w:val="both"/>
        <w:rPr>
          <w:rFonts w:asciiTheme="minorHAnsi" w:hAnsiTheme="minorHAnsi" w:cstheme="minorHAnsi"/>
          <w:sz w:val="20"/>
          <w:szCs w:val="20"/>
        </w:rPr>
      </w:pPr>
      <w:r w:rsidRPr="00633976">
        <w:rPr>
          <w:rFonts w:asciiTheme="minorHAnsi" w:hAnsiTheme="minorHAnsi" w:cstheme="minorHAnsi"/>
          <w:sz w:val="20"/>
          <w:szCs w:val="20"/>
        </w:rPr>
        <w:t xml:space="preserve">2.1.3.2. Actualizar los planes de manejo de al menos cuatro Bosques Protectores Estatales, seleccionados </w:t>
      </w:r>
      <w:proofErr w:type="gramStart"/>
      <w:r w:rsidRPr="00633976">
        <w:rPr>
          <w:rFonts w:asciiTheme="minorHAnsi" w:hAnsiTheme="minorHAnsi" w:cstheme="minorHAnsi"/>
          <w:sz w:val="20"/>
          <w:szCs w:val="20"/>
        </w:rPr>
        <w:t>conjuntamente con</w:t>
      </w:r>
      <w:proofErr w:type="gramEnd"/>
      <w:r w:rsidRPr="00633976">
        <w:rPr>
          <w:rFonts w:asciiTheme="minorHAnsi" w:hAnsiTheme="minorHAnsi" w:cstheme="minorHAnsi"/>
          <w:sz w:val="20"/>
          <w:szCs w:val="20"/>
        </w:rPr>
        <w:t xml:space="preserve"> el MAE, incorporando criterios de protección hídrica y conservación de ecosistemas acuáticos.</w:t>
      </w:r>
    </w:p>
    <w:p w14:paraId="2F9CA7FE" w14:textId="27A162F6" w:rsidR="00633976" w:rsidRPr="00633976" w:rsidRDefault="00633976" w:rsidP="00633976">
      <w:pPr>
        <w:ind w:left="360"/>
        <w:jc w:val="both"/>
        <w:rPr>
          <w:rFonts w:asciiTheme="minorHAnsi" w:hAnsiTheme="minorHAnsi" w:cstheme="minorHAnsi"/>
          <w:sz w:val="20"/>
          <w:szCs w:val="20"/>
        </w:rPr>
      </w:pPr>
      <w:r w:rsidRPr="00633976">
        <w:rPr>
          <w:rFonts w:asciiTheme="minorHAnsi" w:hAnsiTheme="minorHAnsi" w:cstheme="minorHAnsi"/>
          <w:sz w:val="20"/>
          <w:szCs w:val="20"/>
        </w:rPr>
        <w:t>2.1.3.3. Formular, mediante un proceso participativo y con enfoque de género, al menos dos planes de manejo</w:t>
      </w:r>
      <w:r w:rsidR="00943C92">
        <w:rPr>
          <w:rFonts w:asciiTheme="minorHAnsi" w:hAnsiTheme="minorHAnsi" w:cstheme="minorHAnsi"/>
          <w:sz w:val="20"/>
          <w:szCs w:val="20"/>
        </w:rPr>
        <w:t xml:space="preserve"> </w:t>
      </w:r>
      <w:r w:rsidRPr="00633976">
        <w:rPr>
          <w:rFonts w:asciiTheme="minorHAnsi" w:hAnsiTheme="minorHAnsi" w:cstheme="minorHAnsi"/>
          <w:sz w:val="20"/>
          <w:szCs w:val="20"/>
        </w:rPr>
        <w:t>para la declaratoria de Bosques Protectores Estatales o Áreas de Protección Hídrica (APH) dentro de las Unidades de Patrimonio Forestal 1–4 de la cuenca del Napo, priorizadas de manera conjunta con el MAE. Estos planes incorporarán zonificación y medidas para la protección de recursos hídricos, la conservación de ecosistemas acuáticos y el uso sostenible compatible con los objetivos de conservación. Esta actividad contribuirá directamente al Indicador 2 (CI</w:t>
      </w:r>
      <w:r w:rsidRPr="00633976">
        <w:rPr>
          <w:rFonts w:asciiTheme="minorHAnsi" w:hAnsiTheme="minorHAnsi" w:cstheme="minorHAnsi"/>
          <w:sz w:val="20"/>
          <w:szCs w:val="20"/>
        </w:rPr>
        <w:noBreakHyphen/>
        <w:t>1) mediante la creación de 40.000 ha de nuevas áreas protegidas, mejorando la integridad ecológica y la conectividad del paisaje en la cuenca. Asimismo, contribuirá al Indicador 5 (CI</w:t>
      </w:r>
      <w:r w:rsidRPr="00633976">
        <w:rPr>
          <w:rFonts w:asciiTheme="minorHAnsi" w:hAnsiTheme="minorHAnsi" w:cstheme="minorHAnsi"/>
          <w:sz w:val="20"/>
          <w:szCs w:val="20"/>
        </w:rPr>
        <w:noBreakHyphen/>
        <w:t>6) al prevenir la deforestación futura en estas áreas recientemente declaradas, reduciendo emisiones de gases de efecto invernadero y fortaleciendo la resiliencia climática de la cuenca.</w:t>
      </w:r>
    </w:p>
    <w:p w14:paraId="27E57EDC" w14:textId="77777777" w:rsidR="00633976" w:rsidRPr="00633976" w:rsidRDefault="00633976" w:rsidP="00633976">
      <w:pPr>
        <w:ind w:left="360"/>
        <w:jc w:val="both"/>
        <w:rPr>
          <w:rFonts w:asciiTheme="minorHAnsi" w:hAnsiTheme="minorHAnsi" w:cstheme="minorHAnsi"/>
          <w:sz w:val="20"/>
          <w:szCs w:val="20"/>
        </w:rPr>
      </w:pPr>
      <w:r w:rsidRPr="00633976">
        <w:rPr>
          <w:rFonts w:asciiTheme="minorHAnsi" w:hAnsiTheme="minorHAnsi" w:cstheme="minorHAnsi"/>
          <w:sz w:val="20"/>
          <w:szCs w:val="20"/>
        </w:rPr>
        <w:t>2.1.3.4. Apoyar la implementación de los planes de manejo de bosques protectores y otras áreas protegidas mediante acuerdos de conservación o manejo sostenible (Subvenciones de Bajo Valor – SBV) con comunidades o personas individuales, cubriendo un total de 90.000 ha (incluyendo áreas existentes y nuevas áreas declaradas). Estos acuerdos se basarán en incentivos para bioemprendimientos que utilicen PFNM como guayusa (</w:t>
      </w:r>
      <w:proofErr w:type="spellStart"/>
      <w:r w:rsidRPr="00633976">
        <w:rPr>
          <w:rFonts w:asciiTheme="minorHAnsi" w:hAnsiTheme="minorHAnsi" w:cstheme="minorHAnsi"/>
          <w:i/>
          <w:iCs/>
          <w:sz w:val="20"/>
          <w:szCs w:val="20"/>
        </w:rPr>
        <w:t>Ilex</w:t>
      </w:r>
      <w:proofErr w:type="spellEnd"/>
      <w:r w:rsidRPr="00633976">
        <w:rPr>
          <w:rFonts w:asciiTheme="minorHAnsi" w:hAnsiTheme="minorHAnsi" w:cstheme="minorHAnsi"/>
          <w:i/>
          <w:iCs/>
          <w:sz w:val="20"/>
          <w:szCs w:val="20"/>
        </w:rPr>
        <w:t xml:space="preserve"> guayusa</w:t>
      </w:r>
      <w:r w:rsidRPr="00633976">
        <w:rPr>
          <w:rFonts w:asciiTheme="minorHAnsi" w:hAnsiTheme="minorHAnsi" w:cstheme="minorHAnsi"/>
          <w:sz w:val="20"/>
          <w:szCs w:val="20"/>
        </w:rPr>
        <w:t>), sangre de drago (</w:t>
      </w:r>
      <w:proofErr w:type="spellStart"/>
      <w:r w:rsidRPr="00633976">
        <w:rPr>
          <w:rFonts w:asciiTheme="minorHAnsi" w:hAnsiTheme="minorHAnsi" w:cstheme="minorHAnsi"/>
          <w:i/>
          <w:iCs/>
          <w:sz w:val="20"/>
          <w:szCs w:val="20"/>
        </w:rPr>
        <w:t>Croton</w:t>
      </w:r>
      <w:proofErr w:type="spellEnd"/>
      <w:r w:rsidRPr="00633976">
        <w:rPr>
          <w:rFonts w:asciiTheme="minorHAnsi" w:hAnsiTheme="minorHAnsi" w:cstheme="minorHAnsi"/>
          <w:i/>
          <w:iCs/>
          <w:sz w:val="20"/>
          <w:szCs w:val="20"/>
        </w:rPr>
        <w:t xml:space="preserve"> </w:t>
      </w:r>
      <w:proofErr w:type="spellStart"/>
      <w:r w:rsidRPr="00633976">
        <w:rPr>
          <w:rFonts w:asciiTheme="minorHAnsi" w:hAnsiTheme="minorHAnsi" w:cstheme="minorHAnsi"/>
          <w:i/>
          <w:iCs/>
          <w:sz w:val="20"/>
          <w:szCs w:val="20"/>
        </w:rPr>
        <w:t>lechleri</w:t>
      </w:r>
      <w:proofErr w:type="spellEnd"/>
      <w:r w:rsidRPr="00633976">
        <w:rPr>
          <w:rFonts w:asciiTheme="minorHAnsi" w:hAnsiTheme="minorHAnsi" w:cstheme="minorHAnsi"/>
          <w:sz w:val="20"/>
          <w:szCs w:val="20"/>
        </w:rPr>
        <w:t>), aceites esenciales, miel, entre otros, garantizando acceso equitativo de mujeres y hombres a los bienes y servicios forestales. Esta actividad contribuye directamente al Indicador 2 (CI</w:t>
      </w:r>
      <w:r w:rsidRPr="00633976">
        <w:rPr>
          <w:rFonts w:asciiTheme="minorHAnsi" w:hAnsiTheme="minorHAnsi" w:cstheme="minorHAnsi"/>
          <w:sz w:val="20"/>
          <w:szCs w:val="20"/>
        </w:rPr>
        <w:noBreakHyphen/>
        <w:t>1) como el principal bloque de superficie bajo manejo mejorado, y al Indicador 5 (CI</w:t>
      </w:r>
      <w:r w:rsidRPr="00633976">
        <w:rPr>
          <w:rFonts w:asciiTheme="minorHAnsi" w:hAnsiTheme="minorHAnsi" w:cstheme="minorHAnsi"/>
          <w:sz w:val="20"/>
          <w:szCs w:val="20"/>
        </w:rPr>
        <w:noBreakHyphen/>
        <w:t>6) mediante la conservación de la cobertura forestal, la reducción de la deforestación y la evitación de emisiones de GEI.</w:t>
      </w:r>
    </w:p>
    <w:p w14:paraId="2A40919E" w14:textId="79C10D3D" w:rsidR="00633976" w:rsidRPr="00633976" w:rsidRDefault="00633976" w:rsidP="00633976">
      <w:pPr>
        <w:ind w:left="360"/>
        <w:jc w:val="both"/>
        <w:rPr>
          <w:rFonts w:asciiTheme="minorHAnsi" w:hAnsiTheme="minorHAnsi" w:cstheme="minorHAnsi"/>
          <w:sz w:val="20"/>
          <w:szCs w:val="20"/>
        </w:rPr>
      </w:pPr>
      <w:r w:rsidRPr="00633976">
        <w:rPr>
          <w:rFonts w:asciiTheme="minorHAnsi" w:hAnsiTheme="minorHAnsi" w:cstheme="minorHAnsi"/>
          <w:sz w:val="20"/>
          <w:szCs w:val="20"/>
        </w:rPr>
        <w:t>2.1.3.5. Promover el manejo forestal sostenible en 21.189 ha, que podrán incluir bosques protectores cuando los planes de manejo permitan el uso sostenible de madera y/o PFNM. Las actividades incluyen:</w:t>
      </w:r>
      <w:r w:rsidRPr="00633976">
        <w:rPr>
          <w:rFonts w:asciiTheme="minorHAnsi" w:hAnsiTheme="minorHAnsi" w:cstheme="minorHAnsi"/>
          <w:sz w:val="20"/>
          <w:szCs w:val="20"/>
        </w:rPr>
        <w:br/>
        <w:t xml:space="preserve">a) asistencia técnica para la implementación de planes de aprovechamiento forestal sostenible aprobados por el MAE, asegurando la integridad del bosque </w:t>
      </w:r>
      <w:proofErr w:type="spellStart"/>
      <w:r w:rsidRPr="00633976">
        <w:rPr>
          <w:rFonts w:asciiTheme="minorHAnsi" w:hAnsiTheme="minorHAnsi" w:cstheme="minorHAnsi"/>
          <w:sz w:val="20"/>
          <w:szCs w:val="20"/>
        </w:rPr>
        <w:t>poscosecha</w:t>
      </w:r>
      <w:proofErr w:type="spellEnd"/>
      <w:r w:rsidRPr="00633976">
        <w:rPr>
          <w:rFonts w:asciiTheme="minorHAnsi" w:hAnsiTheme="minorHAnsi" w:cstheme="minorHAnsi"/>
          <w:sz w:val="20"/>
          <w:szCs w:val="20"/>
        </w:rPr>
        <w:t>;</w:t>
      </w:r>
      <w:r>
        <w:rPr>
          <w:rFonts w:asciiTheme="minorHAnsi" w:hAnsiTheme="minorHAnsi" w:cstheme="minorHAnsi"/>
          <w:sz w:val="20"/>
          <w:szCs w:val="20"/>
        </w:rPr>
        <w:t xml:space="preserve"> </w:t>
      </w:r>
      <w:r w:rsidRPr="00633976">
        <w:rPr>
          <w:rFonts w:asciiTheme="minorHAnsi" w:hAnsiTheme="minorHAnsi" w:cstheme="minorHAnsi"/>
          <w:sz w:val="20"/>
          <w:szCs w:val="20"/>
        </w:rPr>
        <w:t xml:space="preserve">b) replicar la experiencia de Manejo Forestal Comunitario Sostenible de </w:t>
      </w:r>
      <w:proofErr w:type="spellStart"/>
      <w:r w:rsidRPr="00633976">
        <w:rPr>
          <w:rFonts w:asciiTheme="minorHAnsi" w:hAnsiTheme="minorHAnsi" w:cstheme="minorHAnsi"/>
          <w:sz w:val="20"/>
          <w:szCs w:val="20"/>
        </w:rPr>
        <w:t>Kupatas</w:t>
      </w:r>
      <w:proofErr w:type="spellEnd"/>
      <w:r w:rsidRPr="00633976">
        <w:rPr>
          <w:rFonts w:asciiTheme="minorHAnsi" w:hAnsiTheme="minorHAnsi" w:cstheme="minorHAnsi"/>
          <w:sz w:val="20"/>
          <w:szCs w:val="20"/>
        </w:rPr>
        <w:t>, que integra la gestión del paisaje y el uso de productos forestales y de aja (sistemas agroforestales ancestrales), como un modelo pionero en Ecuador de conservación a través del uso forestal a escala de paisaje;</w:t>
      </w:r>
      <w:r>
        <w:rPr>
          <w:rFonts w:asciiTheme="minorHAnsi" w:hAnsiTheme="minorHAnsi" w:cstheme="minorHAnsi"/>
          <w:sz w:val="20"/>
          <w:szCs w:val="20"/>
        </w:rPr>
        <w:t xml:space="preserve"> </w:t>
      </w:r>
      <w:r w:rsidRPr="00633976">
        <w:rPr>
          <w:rFonts w:asciiTheme="minorHAnsi" w:hAnsiTheme="minorHAnsi" w:cstheme="minorHAnsi"/>
          <w:sz w:val="20"/>
          <w:szCs w:val="20"/>
        </w:rPr>
        <w:t>c) desarrollar cadenas de valor de PFNM provenientes de paisajes bajo manejo sostenible.</w:t>
      </w:r>
      <w:r>
        <w:rPr>
          <w:rFonts w:asciiTheme="minorHAnsi" w:hAnsiTheme="minorHAnsi" w:cstheme="minorHAnsi"/>
          <w:sz w:val="20"/>
          <w:szCs w:val="20"/>
        </w:rPr>
        <w:t xml:space="preserve"> </w:t>
      </w:r>
      <w:r w:rsidRPr="00633976">
        <w:rPr>
          <w:rFonts w:asciiTheme="minorHAnsi" w:hAnsiTheme="minorHAnsi" w:cstheme="minorHAnsi"/>
          <w:sz w:val="20"/>
          <w:szCs w:val="20"/>
        </w:rPr>
        <w:t>Estas acciones contribuyen al Indicador 4 (CI</w:t>
      </w:r>
      <w:r w:rsidRPr="00633976">
        <w:rPr>
          <w:rFonts w:asciiTheme="minorHAnsi" w:hAnsiTheme="minorHAnsi" w:cstheme="minorHAnsi"/>
          <w:sz w:val="20"/>
          <w:szCs w:val="20"/>
        </w:rPr>
        <w:noBreakHyphen/>
        <w:t>4) y al Indicador 5 (CI</w:t>
      </w:r>
      <w:r w:rsidRPr="00633976">
        <w:rPr>
          <w:rFonts w:asciiTheme="minorHAnsi" w:hAnsiTheme="minorHAnsi" w:cstheme="minorHAnsi"/>
          <w:sz w:val="20"/>
          <w:szCs w:val="20"/>
        </w:rPr>
        <w:noBreakHyphen/>
        <w:t>6) mediante el uso sostenible y trazable</w:t>
      </w:r>
      <w:r>
        <w:rPr>
          <w:rFonts w:asciiTheme="minorHAnsi" w:hAnsiTheme="minorHAnsi" w:cstheme="minorHAnsi"/>
          <w:sz w:val="20"/>
          <w:szCs w:val="20"/>
        </w:rPr>
        <w:t xml:space="preserve"> </w:t>
      </w:r>
      <w:r w:rsidRPr="00633976">
        <w:rPr>
          <w:rFonts w:asciiTheme="minorHAnsi" w:hAnsiTheme="minorHAnsi" w:cstheme="minorHAnsi"/>
          <w:sz w:val="20"/>
          <w:szCs w:val="20"/>
        </w:rPr>
        <w:t>de los recursos forestales.</w:t>
      </w:r>
    </w:p>
    <w:p w14:paraId="0A1F301F" w14:textId="77777777" w:rsidR="00633976" w:rsidRPr="00633976" w:rsidRDefault="00633976" w:rsidP="00633976">
      <w:pPr>
        <w:ind w:left="360"/>
        <w:jc w:val="both"/>
        <w:rPr>
          <w:rFonts w:asciiTheme="minorHAnsi" w:hAnsiTheme="minorHAnsi" w:cstheme="minorHAnsi"/>
          <w:sz w:val="20"/>
          <w:szCs w:val="20"/>
        </w:rPr>
      </w:pPr>
      <w:r w:rsidRPr="00633976">
        <w:rPr>
          <w:rFonts w:asciiTheme="minorHAnsi" w:hAnsiTheme="minorHAnsi" w:cstheme="minorHAnsi"/>
          <w:sz w:val="20"/>
          <w:szCs w:val="20"/>
        </w:rPr>
        <w:t>2.1.3.6. Implementar un sistema de monitoreo participativo utilizando tecnologías accesibles para el seguimiento de áreas bajo conservación y manejo sostenible (incluyendo el uso de madera y PFNM conforme a la normativa vigente), alineado con el Sistema Nacional de Monitoreo Forestal del MAE para asegurar coherencia metodológica, compatibilidad de datos y fortalecimiento de capacidades locales. Los temas de monitoreo incluirán cobertura vegetal, uso de madera y PFNM, y disponibilidad de hábitat para especies paraguas o amenazadas.</w:t>
      </w:r>
    </w:p>
    <w:p w14:paraId="3D05513D" w14:textId="77777777" w:rsidR="00633976" w:rsidRPr="00D830D9" w:rsidRDefault="00633976" w:rsidP="00AF2738">
      <w:pPr>
        <w:jc w:val="both"/>
        <w:rPr>
          <w:rFonts w:asciiTheme="minorHAnsi" w:hAnsiTheme="minorHAnsi" w:cstheme="minorHAnsi"/>
          <w:bCs/>
          <w:sz w:val="20"/>
          <w:szCs w:val="20"/>
          <w:lang w:val="es-EC"/>
        </w:rPr>
      </w:pPr>
    </w:p>
    <w:p w14:paraId="17BAC1DF" w14:textId="098A0F19" w:rsidR="00AF2738" w:rsidRPr="00D830D9" w:rsidRDefault="00AF2738" w:rsidP="1D9DC7A6">
      <w:pPr>
        <w:ind w:left="360"/>
        <w:jc w:val="both"/>
        <w:rPr>
          <w:rFonts w:asciiTheme="minorHAnsi" w:hAnsiTheme="minorHAnsi" w:cstheme="minorBidi"/>
          <w:sz w:val="20"/>
          <w:szCs w:val="20"/>
          <w:lang w:val="es-EC"/>
        </w:rPr>
      </w:pPr>
    </w:p>
    <w:p w14:paraId="199887E5" w14:textId="77777777" w:rsidR="00B10F73" w:rsidRPr="00B10F73" w:rsidRDefault="00B10F73" w:rsidP="00B10F73">
      <w:pPr>
        <w:jc w:val="both"/>
        <w:rPr>
          <w:rFonts w:asciiTheme="minorHAnsi" w:hAnsiTheme="minorHAnsi" w:cstheme="minorHAnsi"/>
          <w:b/>
          <w:bCs/>
          <w:sz w:val="20"/>
          <w:szCs w:val="20"/>
        </w:rPr>
      </w:pPr>
      <w:r w:rsidRPr="00B10F73">
        <w:rPr>
          <w:rFonts w:asciiTheme="minorHAnsi" w:hAnsiTheme="minorHAnsi" w:cstheme="minorHAnsi"/>
          <w:b/>
          <w:bCs/>
          <w:sz w:val="20"/>
          <w:szCs w:val="20"/>
        </w:rPr>
        <w:t>Resultado 2.2: Los sistemas de producción agrícola sostenibles y eficientes aumentan los beneficios sociales, económicos y ambientales</w:t>
      </w:r>
    </w:p>
    <w:p w14:paraId="3BBAE71E" w14:textId="77777777" w:rsidR="00B10F73" w:rsidRDefault="00B10F73" w:rsidP="00B10F73">
      <w:pPr>
        <w:jc w:val="both"/>
        <w:rPr>
          <w:rFonts w:asciiTheme="minorHAnsi" w:hAnsiTheme="minorHAnsi" w:cstheme="minorHAnsi"/>
          <w:b/>
          <w:bCs/>
          <w:sz w:val="20"/>
          <w:szCs w:val="20"/>
        </w:rPr>
      </w:pPr>
    </w:p>
    <w:p w14:paraId="0BA216CA" w14:textId="1AF81E9B" w:rsidR="00B10F73" w:rsidRPr="00B10F73" w:rsidRDefault="00B10F73" w:rsidP="00B10F73">
      <w:pPr>
        <w:jc w:val="both"/>
        <w:rPr>
          <w:rFonts w:asciiTheme="minorHAnsi" w:hAnsiTheme="minorHAnsi" w:cstheme="minorHAnsi"/>
          <w:b/>
          <w:bCs/>
          <w:sz w:val="20"/>
          <w:szCs w:val="20"/>
        </w:rPr>
      </w:pPr>
      <w:r w:rsidRPr="00B10F73">
        <w:rPr>
          <w:rFonts w:asciiTheme="minorHAnsi" w:hAnsiTheme="minorHAnsi" w:cstheme="minorHAnsi"/>
          <w:b/>
          <w:bCs/>
          <w:sz w:val="20"/>
          <w:szCs w:val="20"/>
        </w:rPr>
        <w:t>2.2.1. Programa de capacitación en Manejo Sostenible de Tierras (MST) / Manejo Forestal Sostenible (MFS) para productores agrícolas (hombres, mujeres y grupos interseccionales) con socios locales.</w:t>
      </w:r>
    </w:p>
    <w:p w14:paraId="6450F881" w14:textId="3F776DC1" w:rsidR="00B10F73" w:rsidRPr="00B10F73" w:rsidRDefault="00B10F73"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B10F73">
        <w:rPr>
          <w:rFonts w:asciiTheme="minorHAnsi" w:eastAsia="SimSun" w:hAnsiTheme="minorHAnsi" w:cstheme="minorHAnsi"/>
          <w:iCs/>
          <w:sz w:val="20"/>
          <w:szCs w:val="20"/>
        </w:rPr>
        <w:t>Este programa de capacitación contribuirá a la incorporación efectiva de prácticas de Manejo Sostenible de Tierras (MST) en 23.990 hectáreas de tierras productivas ubicadas en zonas de amortiguamiento de áreas protegidas. Se aplicará un enfoque de resiliencia climática, apoyando el Plan Nacional de Adaptación al Cambio Climático (PNA) y fortaleciendo la viabilidad económica y la sostenibilidad del MST. Para ello, se desarrollarán las siguientes actividades:</w:t>
      </w:r>
    </w:p>
    <w:p w14:paraId="115A64C0" w14:textId="6C094913"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lastRenderedPageBreak/>
        <w:t>2.2.1.1. Implementar un programa de capacitación técnica y práctica sobre MST dirigido a productores agrícolas, con enfoque en género, gobernanza local y resiliencia climática.</w:t>
      </w:r>
    </w:p>
    <w:p w14:paraId="53D7E534" w14:textId="63BE20F6"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2.2.1.2. Brindar asistencia técnica para el diseño e implementación de planes de manejo sostenible del paisaje</w:t>
      </w:r>
      <w:r w:rsidR="00EB2242">
        <w:rPr>
          <w:rFonts w:asciiTheme="minorHAnsi" w:hAnsiTheme="minorHAnsi" w:cstheme="minorHAnsi"/>
          <w:sz w:val="20"/>
          <w:szCs w:val="20"/>
        </w:rPr>
        <w:t xml:space="preserve"> </w:t>
      </w:r>
      <w:r w:rsidRPr="00B10F73">
        <w:rPr>
          <w:rFonts w:asciiTheme="minorHAnsi" w:hAnsiTheme="minorHAnsi" w:cstheme="minorHAnsi"/>
          <w:sz w:val="20"/>
          <w:szCs w:val="20"/>
        </w:rPr>
        <w:t>en tierras productivas.</w:t>
      </w:r>
    </w:p>
    <w:p w14:paraId="1C80D25C" w14:textId="77777777"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 xml:space="preserve">2.2.1.3. Difundir e implementar técnicas agroecológicas, prácticas de restauración de suelos, producción de bioinsumos, manejo de viveros forestales, ganadería regenerativa, certificaciones de sostenibilidad como el Sello </w:t>
      </w:r>
      <w:proofErr w:type="spellStart"/>
      <w:r w:rsidRPr="00B10F73">
        <w:rPr>
          <w:rFonts w:asciiTheme="minorHAnsi" w:hAnsiTheme="minorHAnsi" w:cstheme="minorHAnsi"/>
          <w:sz w:val="20"/>
          <w:szCs w:val="20"/>
        </w:rPr>
        <w:t>Chakra</w:t>
      </w:r>
      <w:proofErr w:type="spellEnd"/>
      <w:r w:rsidRPr="00B10F73">
        <w:rPr>
          <w:rFonts w:asciiTheme="minorHAnsi" w:hAnsiTheme="minorHAnsi" w:cstheme="minorHAnsi"/>
          <w:sz w:val="20"/>
          <w:szCs w:val="20"/>
        </w:rPr>
        <w:t> o el BPA+, e interpretación de datos hidrometeorológicos para la adaptación al cambio climático.</w:t>
      </w:r>
    </w:p>
    <w:p w14:paraId="1512DE6E" w14:textId="10037C4D"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2.2.1.4. Implementar mecanismos innovadores de formación, como el desarrollo de </w:t>
      </w:r>
      <w:proofErr w:type="spellStart"/>
      <w:r w:rsidRPr="00B10F73">
        <w:rPr>
          <w:rFonts w:asciiTheme="minorHAnsi" w:hAnsiTheme="minorHAnsi" w:cstheme="minorHAnsi"/>
          <w:sz w:val="20"/>
          <w:szCs w:val="20"/>
        </w:rPr>
        <w:t>influencers</w:t>
      </w:r>
      <w:proofErr w:type="spellEnd"/>
      <w:r w:rsidRPr="00B10F73">
        <w:rPr>
          <w:rFonts w:asciiTheme="minorHAnsi" w:hAnsiTheme="minorHAnsi" w:cstheme="minorHAnsi"/>
          <w:sz w:val="20"/>
          <w:szCs w:val="20"/>
        </w:rPr>
        <w:t xml:space="preserve"> en redes sociales</w:t>
      </w:r>
      <w:r w:rsidR="00EB2242">
        <w:rPr>
          <w:rFonts w:asciiTheme="minorHAnsi" w:hAnsiTheme="minorHAnsi" w:cstheme="minorHAnsi"/>
          <w:sz w:val="20"/>
          <w:szCs w:val="20"/>
        </w:rPr>
        <w:t xml:space="preserve"> </w:t>
      </w:r>
      <w:r w:rsidRPr="00B10F73">
        <w:rPr>
          <w:rFonts w:asciiTheme="minorHAnsi" w:hAnsiTheme="minorHAnsi" w:cstheme="minorHAnsi"/>
          <w:sz w:val="20"/>
          <w:szCs w:val="20"/>
        </w:rPr>
        <w:t>(mujeres y jóvenes) y la creación de contenidos digitales para difundir materiales técnicos sobre MST.</w:t>
      </w:r>
    </w:p>
    <w:p w14:paraId="0FEBCE9F" w14:textId="1D6DAAE9"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2.2.1.5. Capacitar a los grupos de productores en la generación de información para el Sistema de Alerta Temprana (SAT) y en su uso para la gestión de riesgos en los sistemas productivos, en coordinación con el M</w:t>
      </w:r>
      <w:r w:rsidR="00B9385B">
        <w:rPr>
          <w:rFonts w:asciiTheme="minorHAnsi" w:hAnsiTheme="minorHAnsi" w:cstheme="minorHAnsi"/>
          <w:sz w:val="20"/>
          <w:szCs w:val="20"/>
        </w:rPr>
        <w:t>A</w:t>
      </w:r>
      <w:r w:rsidRPr="00B10F73">
        <w:rPr>
          <w:rFonts w:asciiTheme="minorHAnsi" w:hAnsiTheme="minorHAnsi" w:cstheme="minorHAnsi"/>
          <w:sz w:val="20"/>
          <w:szCs w:val="20"/>
        </w:rPr>
        <w:t>E, el MAGP y el INAMHI.</w:t>
      </w:r>
    </w:p>
    <w:p w14:paraId="64626720" w14:textId="44DC0809"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2.2.1.6. Establecer clubes</w:t>
      </w:r>
      <w:r w:rsidR="00C43E4C">
        <w:rPr>
          <w:rStyle w:val="Refdenotaalpie"/>
          <w:rFonts w:asciiTheme="minorHAnsi" w:hAnsiTheme="minorHAnsi" w:cstheme="minorHAnsi"/>
          <w:sz w:val="20"/>
          <w:szCs w:val="20"/>
        </w:rPr>
        <w:footnoteReference w:id="3"/>
      </w:r>
      <w:r w:rsidRPr="00B10F73">
        <w:rPr>
          <w:rFonts w:asciiTheme="minorHAnsi" w:hAnsiTheme="minorHAnsi" w:cstheme="minorHAnsi"/>
          <w:sz w:val="20"/>
          <w:szCs w:val="20"/>
        </w:rPr>
        <w:t xml:space="preserve"> de producción, nutrición y MST con participación equitativa de mujeres, utilizando horarios flexibles e incentivos que faciliten su involucramiento.</w:t>
      </w:r>
    </w:p>
    <w:p w14:paraId="2E1B2DC3" w14:textId="77777777"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2.2.1.7. Aplicar la metodología del Plan de Acción de Género (PAG) para analizar el acceso a recursos productivos por parte de mujeres y grupos diversos, y ajustar la estrategia de MST con base en las brechas identificadas.</w:t>
      </w:r>
    </w:p>
    <w:p w14:paraId="63B76456" w14:textId="77777777"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 xml:space="preserve">2.2.1.8. Transferir conocimientos técnicos y promover buenas prácticas en ganadería regenerativa, diversificación sostenible de cultivos, y certificaciones de sostenibilidad como el Sello </w:t>
      </w:r>
      <w:proofErr w:type="spellStart"/>
      <w:r w:rsidRPr="00B10F73">
        <w:rPr>
          <w:rFonts w:asciiTheme="minorHAnsi" w:hAnsiTheme="minorHAnsi" w:cstheme="minorHAnsi"/>
          <w:sz w:val="20"/>
          <w:szCs w:val="20"/>
        </w:rPr>
        <w:t>Chakra</w:t>
      </w:r>
      <w:proofErr w:type="spellEnd"/>
      <w:r w:rsidRPr="00B10F73">
        <w:rPr>
          <w:rFonts w:asciiTheme="minorHAnsi" w:hAnsiTheme="minorHAnsi" w:cstheme="minorHAnsi"/>
          <w:sz w:val="20"/>
          <w:szCs w:val="20"/>
        </w:rPr>
        <w:t> y las Buenas Prácticas Agrícolas (BPA), a través de esfuerzos de extensión rural existentes y estructuras locales de formación.</w:t>
      </w:r>
    </w:p>
    <w:p w14:paraId="0D91108F" w14:textId="77777777"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2.2.1.9. Establecer o fortalecer Centros de Innovación Agroecológica para institucionalizar localmente la gestión del conocimiento en MST, seguridad alimentaria, producción sostenible y acceso a mercados diferenciados.</w:t>
      </w:r>
    </w:p>
    <w:p w14:paraId="11350536" w14:textId="77777777"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2.2.1.10. Evaluar el impacto de las acciones de MST sobre la calidad del agua, el uso eficiente del recurso hídrico y otros servicios ecosistémicos relevantes.</w:t>
      </w:r>
    </w:p>
    <w:p w14:paraId="3A159221" w14:textId="70C43DE8" w:rsidR="00B10F73" w:rsidRPr="00B10F73" w:rsidRDefault="00B10F73" w:rsidP="00B10F73">
      <w:pPr>
        <w:ind w:left="360"/>
        <w:jc w:val="both"/>
        <w:rPr>
          <w:rFonts w:asciiTheme="minorHAnsi" w:hAnsiTheme="minorHAnsi" w:cstheme="minorHAnsi"/>
          <w:sz w:val="20"/>
          <w:szCs w:val="20"/>
        </w:rPr>
      </w:pPr>
      <w:r w:rsidRPr="00B10F73">
        <w:rPr>
          <w:rFonts w:asciiTheme="minorHAnsi" w:hAnsiTheme="minorHAnsi" w:cstheme="minorHAnsi"/>
          <w:sz w:val="20"/>
          <w:szCs w:val="20"/>
        </w:rPr>
        <w:t>2.2.1.11. Implementar estas acciones de capacitación técnica y práctica en coordinación con socios estratégicos</w:t>
      </w:r>
      <w:r w:rsidR="00EB2242">
        <w:rPr>
          <w:rFonts w:asciiTheme="minorHAnsi" w:hAnsiTheme="minorHAnsi" w:cstheme="minorHAnsi"/>
          <w:sz w:val="20"/>
          <w:szCs w:val="20"/>
        </w:rPr>
        <w:t xml:space="preserve"> </w:t>
      </w:r>
      <w:r w:rsidRPr="00B10F73">
        <w:rPr>
          <w:rFonts w:asciiTheme="minorHAnsi" w:hAnsiTheme="minorHAnsi" w:cstheme="minorHAnsi"/>
          <w:sz w:val="20"/>
          <w:szCs w:val="20"/>
        </w:rPr>
        <w:t>como la FAO, IICA, WWF, CI, Fundación Pachamama, Heifer, el sector privado y la academia.</w:t>
      </w:r>
    </w:p>
    <w:p w14:paraId="72AC50EA" w14:textId="77777777" w:rsidR="00AF2738" w:rsidRPr="00D830D9" w:rsidRDefault="00AF2738" w:rsidP="00AF2738">
      <w:pPr>
        <w:jc w:val="both"/>
        <w:rPr>
          <w:rFonts w:asciiTheme="minorHAnsi" w:hAnsiTheme="minorHAnsi" w:cstheme="minorHAnsi"/>
          <w:bCs/>
          <w:sz w:val="20"/>
          <w:szCs w:val="20"/>
          <w:lang w:val="es-EC"/>
        </w:rPr>
      </w:pPr>
    </w:p>
    <w:p w14:paraId="67CB6037" w14:textId="77777777" w:rsidR="00AF2738" w:rsidRDefault="00AF2738" w:rsidP="00AF2738">
      <w:pPr>
        <w:jc w:val="both"/>
        <w:rPr>
          <w:rFonts w:asciiTheme="minorHAnsi" w:hAnsiTheme="minorHAnsi" w:cstheme="minorHAnsi"/>
          <w:bCs/>
          <w:sz w:val="20"/>
          <w:szCs w:val="20"/>
          <w:lang w:val="es-EC"/>
        </w:rPr>
      </w:pPr>
    </w:p>
    <w:p w14:paraId="019A3B64" w14:textId="77777777" w:rsidR="005E4487" w:rsidRPr="005E4487" w:rsidRDefault="005E4487" w:rsidP="005E4487">
      <w:pPr>
        <w:jc w:val="both"/>
        <w:rPr>
          <w:rFonts w:asciiTheme="minorHAnsi" w:hAnsiTheme="minorHAnsi" w:cstheme="minorHAnsi"/>
          <w:b/>
          <w:bCs/>
          <w:sz w:val="20"/>
          <w:szCs w:val="20"/>
        </w:rPr>
      </w:pPr>
      <w:r w:rsidRPr="005E4487">
        <w:rPr>
          <w:rFonts w:asciiTheme="minorHAnsi" w:hAnsiTheme="minorHAnsi" w:cstheme="minorHAnsi"/>
          <w:b/>
          <w:bCs/>
          <w:sz w:val="20"/>
          <w:szCs w:val="20"/>
        </w:rPr>
        <w:t>2.2.2. Creación y fortalecimiento de emprendimientos locales y/o modelos de negocio agrícola sostenible en centros de acopio, contribuyendo al fortalecimiento de las capacidades administrativas de las mujeres en dichos centros.</w:t>
      </w:r>
    </w:p>
    <w:p w14:paraId="14E50C99" w14:textId="3D64191A" w:rsidR="005E4487" w:rsidRPr="005E4487" w:rsidRDefault="005E4487"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5E4487">
        <w:rPr>
          <w:rFonts w:asciiTheme="minorHAnsi" w:eastAsia="SimSun" w:hAnsiTheme="minorHAnsi" w:cstheme="minorHAnsi"/>
          <w:iCs/>
          <w:sz w:val="20"/>
          <w:szCs w:val="20"/>
        </w:rPr>
        <w:t>Este producto implica la implementación de prácticas de Manejo Sostenible de Tierras (MST) en 23.990 hectáreas de áreas de producción agrícola, sobre la base de las capacitaciones brindadas en el Producto 2.2.1. El monitoreo de este producto alimentará con datos al Sistema de Alerta Temprana (SAT) desarrollado en el Producto 4.1.2, y utilizará información del SAT y del SPRACC para la gestión de riesgos en las zonas MST.</w:t>
      </w:r>
    </w:p>
    <w:p w14:paraId="3A535AB0" w14:textId="77777777" w:rsidR="005E4487" w:rsidRPr="003324CE" w:rsidRDefault="005E4487"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2.2.2.1. Fortalecer a los emprendimientos locales (con enfoque de género) y modelos de negocio agrícola sostenible vinculados a centros de acopio.</w:t>
      </w:r>
    </w:p>
    <w:p w14:paraId="3319B113" w14:textId="77777777" w:rsidR="003324CE" w:rsidRDefault="003324CE"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 xml:space="preserve">2.2.2.2. Implementar prácticas de agroecología, agroforestería, </w:t>
      </w:r>
      <w:proofErr w:type="spellStart"/>
      <w:r w:rsidRPr="003324CE">
        <w:rPr>
          <w:rFonts w:asciiTheme="minorHAnsi" w:hAnsiTheme="minorHAnsi" w:cstheme="minorHAnsi"/>
          <w:sz w:val="20"/>
          <w:szCs w:val="20"/>
        </w:rPr>
        <w:t>silvopastoreo</w:t>
      </w:r>
      <w:proofErr w:type="spellEnd"/>
      <w:r w:rsidRPr="003324CE">
        <w:rPr>
          <w:rFonts w:asciiTheme="minorHAnsi" w:hAnsiTheme="minorHAnsi" w:cstheme="minorHAnsi"/>
          <w:sz w:val="20"/>
          <w:szCs w:val="20"/>
        </w:rPr>
        <w:t>, ganadería regenerativa, acuicultura con especies nativas y/o turismo sostenible sobre 23.990 hectáreas, promoviendo la recuperación de sistemas agrícolas tradicionales como las chakras y ajas, y valorando los roles y conocimientos de las mujeres indígenas.</w:t>
      </w:r>
    </w:p>
    <w:p w14:paraId="44136677" w14:textId="6DE63204" w:rsidR="005E4487" w:rsidRPr="003324CE" w:rsidRDefault="005E4487"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 xml:space="preserve">2.2.2.3. Fortalecer la comercialización a través de plataformas de productos sostenibles que involucren a actores públicos y privados, habilitando espacios como mercados tradicionales libres de fauna </w:t>
      </w:r>
      <w:r w:rsidRPr="003324CE">
        <w:rPr>
          <w:rFonts w:asciiTheme="minorHAnsi" w:hAnsiTheme="minorHAnsi" w:cstheme="minorHAnsi"/>
          <w:sz w:val="20"/>
          <w:szCs w:val="20"/>
        </w:rPr>
        <w:lastRenderedPageBreak/>
        <w:t>silvestre, mercados locales, vínculos con industrias, HORECAS (hoteles, restaurantes y catering) y minoristas, así como foros de negociación.</w:t>
      </w:r>
    </w:p>
    <w:p w14:paraId="30EE9CD4" w14:textId="77777777" w:rsidR="003324CE" w:rsidRPr="003324CE" w:rsidRDefault="003324CE"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2.2.2.4. Promover emprendimientos liderados por mujeres y jóvenes, como la producción de bioinsumos, viveros comerciales, y redes asociativas de comercialización y venta directa.</w:t>
      </w:r>
    </w:p>
    <w:p w14:paraId="4D034C81" w14:textId="7936DFD6" w:rsidR="003324CE" w:rsidRPr="003324CE" w:rsidRDefault="003324CE"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2.2.2.5. Implementar mecanismos comunitarios de monitoreo, con horarios flexibles e incentivos, para generar y utilizar datos que permitan la gestión de riesgos en los sistemas productivos, en coordinación con el MAE, el MAGP y el INAMHI.</w:t>
      </w:r>
    </w:p>
    <w:p w14:paraId="129AC263" w14:textId="77777777" w:rsidR="003324CE" w:rsidRPr="003324CE" w:rsidRDefault="003324CE"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 xml:space="preserve">2.2.2.6. Establecer acuerdos con los </w:t>
      </w:r>
      <w:proofErr w:type="spellStart"/>
      <w:r w:rsidRPr="003324CE">
        <w:rPr>
          <w:rFonts w:asciiTheme="minorHAnsi" w:hAnsiTheme="minorHAnsi" w:cstheme="minorHAnsi"/>
          <w:sz w:val="20"/>
          <w:szCs w:val="20"/>
        </w:rPr>
        <w:t>GADs</w:t>
      </w:r>
      <w:proofErr w:type="spellEnd"/>
      <w:r w:rsidRPr="003324CE">
        <w:rPr>
          <w:rFonts w:asciiTheme="minorHAnsi" w:hAnsiTheme="minorHAnsi" w:cstheme="minorHAnsi"/>
          <w:sz w:val="20"/>
          <w:szCs w:val="20"/>
        </w:rPr>
        <w:t xml:space="preserve"> y otros actores para facilitar el acceso a capital semilla y financiamiento verde orientado a la producción agroecológica.</w:t>
      </w:r>
    </w:p>
    <w:p w14:paraId="3BD27680" w14:textId="56201B6B" w:rsidR="005E4487" w:rsidRPr="003324CE" w:rsidRDefault="003324CE" w:rsidP="003324CE">
      <w:pPr>
        <w:ind w:left="360"/>
        <w:jc w:val="both"/>
        <w:rPr>
          <w:rFonts w:asciiTheme="minorHAnsi" w:hAnsiTheme="minorHAnsi" w:cstheme="minorHAnsi"/>
          <w:sz w:val="20"/>
          <w:szCs w:val="20"/>
        </w:rPr>
      </w:pPr>
      <w:r w:rsidRPr="003324CE">
        <w:rPr>
          <w:rFonts w:asciiTheme="minorHAnsi" w:hAnsiTheme="minorHAnsi" w:cstheme="minorHAnsi"/>
          <w:sz w:val="20"/>
          <w:szCs w:val="20"/>
        </w:rPr>
        <w:t>2.2.2.7. Implementar estas actividades de fortalecimiento de emprendimientos y modelos de negocio en coordinación con actores como el IICA, WWF, CI, TNC, Fundación Pachamama, Heifer, incubadoras de negocios, el sector privado, la academia, entre otros.</w:t>
      </w:r>
    </w:p>
    <w:p w14:paraId="159FD84A" w14:textId="77777777" w:rsidR="005E4487" w:rsidRPr="00D830D9" w:rsidRDefault="005E4487" w:rsidP="00AF2738">
      <w:pPr>
        <w:jc w:val="both"/>
        <w:rPr>
          <w:rFonts w:asciiTheme="minorHAnsi" w:hAnsiTheme="minorHAnsi" w:cstheme="minorHAnsi"/>
          <w:bCs/>
          <w:sz w:val="20"/>
          <w:szCs w:val="20"/>
          <w:lang w:val="es-EC"/>
        </w:rPr>
      </w:pPr>
    </w:p>
    <w:p w14:paraId="4E3554FD" w14:textId="28C8AE57" w:rsidR="00AF2738" w:rsidRDefault="00AF2738" w:rsidP="00BE5DC0">
      <w:pPr>
        <w:jc w:val="both"/>
        <w:rPr>
          <w:rFonts w:asciiTheme="minorHAnsi" w:hAnsiTheme="minorHAnsi" w:cstheme="minorBidi"/>
          <w:sz w:val="20"/>
          <w:szCs w:val="20"/>
        </w:rPr>
      </w:pPr>
    </w:p>
    <w:p w14:paraId="451F5E1C" w14:textId="77777777" w:rsidR="00BE5DC0" w:rsidRPr="00BE5DC0" w:rsidRDefault="00BE5DC0" w:rsidP="00BE5DC0">
      <w:pPr>
        <w:pStyle w:val="Ttulo3"/>
        <w:rPr>
          <w:rFonts w:asciiTheme="minorHAnsi" w:eastAsia="Times New Roman" w:hAnsiTheme="minorHAnsi" w:cstheme="minorHAnsi"/>
          <w:b/>
          <w:bCs/>
          <w:color w:val="auto"/>
          <w:sz w:val="20"/>
          <w:szCs w:val="20"/>
        </w:rPr>
      </w:pPr>
      <w:r w:rsidRPr="00BE5DC0">
        <w:rPr>
          <w:rFonts w:asciiTheme="minorHAnsi" w:eastAsia="Times New Roman" w:hAnsiTheme="minorHAnsi" w:cstheme="minorHAnsi"/>
          <w:b/>
          <w:bCs/>
          <w:color w:val="auto"/>
          <w:sz w:val="20"/>
          <w:szCs w:val="20"/>
        </w:rPr>
        <w:t>2.2.3. Prácticas de restauración para conservación en áreas de producción liberadas del uso agrícola</w:t>
      </w:r>
    </w:p>
    <w:p w14:paraId="5F6A2E56" w14:textId="39049E71" w:rsidR="00BE5DC0" w:rsidRPr="00BE5DC0" w:rsidRDefault="00BE5DC0"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BE5DC0">
        <w:rPr>
          <w:rFonts w:asciiTheme="minorHAnsi" w:eastAsia="SimSun" w:hAnsiTheme="minorHAnsi" w:cstheme="minorHAnsi"/>
          <w:iCs/>
          <w:sz w:val="20"/>
          <w:szCs w:val="20"/>
        </w:rPr>
        <w:t>Este producto contempla 3.021 hectáreas bajo procesos de restauración destinados a revertir la degradación de tierras dentro de áreas agrícolas. El enfoque se centra en mejorar la cobertura vegetal, la productividad y funcionalidad del suelo y/o en mantener o aumentar el almacenamiento de carbono en los suelos. Las actividades se enfocan en incorporar sistemas de </w:t>
      </w:r>
      <w:proofErr w:type="spellStart"/>
      <w:r w:rsidRPr="00BE5DC0">
        <w:rPr>
          <w:rFonts w:asciiTheme="minorHAnsi" w:eastAsia="SimSun" w:hAnsiTheme="minorHAnsi" w:cstheme="minorHAnsi"/>
          <w:iCs/>
          <w:sz w:val="20"/>
          <w:szCs w:val="20"/>
        </w:rPr>
        <w:t>silvopastoreo</w:t>
      </w:r>
      <w:proofErr w:type="spellEnd"/>
      <w:r w:rsidRPr="00BE5DC0">
        <w:rPr>
          <w:rFonts w:asciiTheme="minorHAnsi" w:eastAsia="SimSun" w:hAnsiTheme="minorHAnsi" w:cstheme="minorHAnsi"/>
          <w:iCs/>
          <w:sz w:val="20"/>
          <w:szCs w:val="20"/>
        </w:rPr>
        <w:t> y forestería análoga, que permitan a los productores generar ingresos a partir de las áreas en restauración. Estas acciones de restauración serán complementarias a las implementadas en la Actividad 2.1.1.5, que prioriza la restauración en Áreas de Protección Hídrica (APH) y zonas de importancia hidrológica. En conjunto, ambas líneas de acción abordarán la degradación de tierras tanto en contextos de producción como de conservación, garantizando coherencia con la estrategia del proyecto de gestión integrada del paisaje y sus objetivos de NDT.</w:t>
      </w:r>
    </w:p>
    <w:p w14:paraId="6AE4C396"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2.2.3.1. Implementar sistemas silvopastoriles en fincas para mejorar la producción ganadera sostenible, regenerar los suelos e incrementar la cobertura vegetal con especies nativas, asegurando la participación de mujeres con enfoque interseccional y reconociendo su rol en el manejo ganadero y la restauración de suelos.</w:t>
      </w:r>
    </w:p>
    <w:p w14:paraId="653033B9"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2.2.3.2. Promover el acceso a insumos, capacitación y financiamiento, con enfoque en mujeres y jóvenes, apoyando su liderazgo en iniciativas de restauración dentro de las fincas.</w:t>
      </w:r>
    </w:p>
    <w:p w14:paraId="053D1F25"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2.2.3.3. Explorar y establecer mecanismos de incentivos que aseguren el acceso equitativo a los beneficios de la restauración y a incentivos para los productores.</w:t>
      </w:r>
    </w:p>
    <w:p w14:paraId="14E0873D"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2.2.3.4. Promover la restauración forestal en pastizales degradados mediante técnicas de regeneración natural asistida y/o forestería análoga.</w:t>
      </w:r>
    </w:p>
    <w:p w14:paraId="04B0FCDD"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2.2.3.5. Establecer un sistema de monitoreo participativo, utilizando herramientas tecnológicas, que integre indicadores de restauración de tierras degradadas y se vincule con el sistema de monitoreo del proyecto.</w:t>
      </w:r>
    </w:p>
    <w:p w14:paraId="14E16BA0"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2.2.3.6. Integrar los datos generados por los procesos de restauración en el Observatorio de Degradación de Tierras y el Plan de Monitoreo Comunitario.</w:t>
      </w:r>
    </w:p>
    <w:p w14:paraId="26EA9B97"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2.2.3.7. Fortalecer el monitoreo de las acciones de restauración con enfoque en la resiliencia climática y la conservación de la biodiversidad.</w:t>
      </w:r>
    </w:p>
    <w:p w14:paraId="115FA7C1"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2.2.3.8. Coordinar con los proyectos diseñados y financiados en el marco de los Productos 3.1.3 y 1.1.3 para movilizar recursos y crear sinergias que permitan alcanzar las metas de restauración.</w:t>
      </w:r>
    </w:p>
    <w:p w14:paraId="46976500" w14:textId="77777777" w:rsidR="00BE5DC0" w:rsidRDefault="00BE5DC0" w:rsidP="00BE5DC0">
      <w:pPr>
        <w:jc w:val="both"/>
        <w:rPr>
          <w:rFonts w:asciiTheme="minorHAnsi" w:hAnsiTheme="minorHAnsi" w:cstheme="minorHAnsi"/>
          <w:bCs/>
          <w:sz w:val="20"/>
          <w:szCs w:val="20"/>
          <w:lang w:val="es-EC"/>
        </w:rPr>
      </w:pPr>
    </w:p>
    <w:p w14:paraId="19669F52" w14:textId="77777777" w:rsidR="00BE5DC0" w:rsidRPr="00BE5DC0" w:rsidRDefault="00BE5DC0" w:rsidP="00BE5DC0">
      <w:pPr>
        <w:pStyle w:val="Ttulo3"/>
        <w:rPr>
          <w:rFonts w:asciiTheme="minorHAnsi" w:eastAsia="Times New Roman" w:hAnsiTheme="minorHAnsi" w:cstheme="minorHAnsi"/>
          <w:b/>
          <w:bCs/>
          <w:color w:val="auto"/>
          <w:sz w:val="20"/>
          <w:szCs w:val="20"/>
        </w:rPr>
      </w:pPr>
      <w:r w:rsidRPr="00BE5DC0">
        <w:rPr>
          <w:rFonts w:asciiTheme="minorHAnsi" w:eastAsia="Times New Roman" w:hAnsiTheme="minorHAnsi" w:cstheme="minorHAnsi"/>
          <w:b/>
          <w:bCs/>
          <w:color w:val="auto"/>
          <w:sz w:val="20"/>
          <w:szCs w:val="20"/>
        </w:rPr>
        <w:t>2.2.4. Metodología para la recolección de información que integre variables de género en la producción agrícola sostenible, contribuyendo a mecanismos de trazabilidad en centros de acopio</w:t>
      </w:r>
    </w:p>
    <w:p w14:paraId="10FADB64" w14:textId="0E73B3A6" w:rsidR="00BE5DC0" w:rsidRPr="00BE5DC0" w:rsidRDefault="00BE5DC0"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BE5DC0">
        <w:rPr>
          <w:rFonts w:asciiTheme="minorHAnsi" w:eastAsia="SimSun" w:hAnsiTheme="minorHAnsi" w:cstheme="minorHAnsi"/>
          <w:iCs/>
          <w:sz w:val="20"/>
          <w:szCs w:val="20"/>
        </w:rPr>
        <w:t>Este producto fortalece la trazabilidad de la producción sostenible en centros de acopio mediante la incorporación de variables de género y ambientales. Dotará a las organizaciones de una herramienta de gestión de información que apoye la toma de decisiones orientadas a reducir asimetrías de género en los procesos productivos. Además, fortalecerá las capacidades organizativas para el uso de sistemas de trazabilidad en producción, agronegocios y resiliencia climática.</w:t>
      </w:r>
    </w:p>
    <w:p w14:paraId="00F572B0"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2.2.4.1. Desarrollar y fortalecer una metodología de recolección de datos y trazabilidad para la producción agrícola sostenible en centros de acopio.</w:t>
      </w:r>
    </w:p>
    <w:p w14:paraId="633D8655"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lastRenderedPageBreak/>
        <w:t>2.2.4.2. Integrar variables de género relacionadas con el acceso y control de recursos dentro de dicha metodología.</w:t>
      </w:r>
    </w:p>
    <w:p w14:paraId="4A5744C9"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2.2.4.3. Procesar los datos provenientes de los sistemas de trazabilidad fortalecidos para evaluar la participación de las mujeres en las cadenas de valor y las barreras que limitan su inclusión.</w:t>
      </w:r>
    </w:p>
    <w:p w14:paraId="10F6BEEB" w14:textId="1AA2A1D4"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2.2.4.4. Incorporar variables relacionadas con la mitigación y adaptación al cambio climático en los sistemas de trazabilidad, en concordancia con el PNA, los principios de NDT y/o el Sistema de Alerta Temprana (SAT).</w:t>
      </w:r>
    </w:p>
    <w:p w14:paraId="6507066D"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2.2.4.5. Fortalecer la toma de decisiones de las organizaciones de productores en torno a los procesos productivos, el cumplimiento normativo y la comercialización, mediante el uso de esta herramienta.</w:t>
      </w:r>
    </w:p>
    <w:p w14:paraId="598E6142" w14:textId="4B87C6E1"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2.2.4.6. Procesar los datos de trazabilidad para establecer una línea base y realizar evaluaciones situacionales</w:t>
      </w:r>
      <w:r>
        <w:rPr>
          <w:rFonts w:asciiTheme="minorHAnsi" w:hAnsiTheme="minorHAnsi" w:cstheme="minorHAnsi"/>
          <w:sz w:val="20"/>
          <w:szCs w:val="20"/>
        </w:rPr>
        <w:t xml:space="preserve"> </w:t>
      </w:r>
      <w:r w:rsidRPr="00BE5DC0">
        <w:rPr>
          <w:rFonts w:asciiTheme="minorHAnsi" w:hAnsiTheme="minorHAnsi" w:cstheme="minorHAnsi"/>
          <w:sz w:val="20"/>
          <w:szCs w:val="20"/>
        </w:rPr>
        <w:t>con base en criterios socioeconómicos y ambientales, con el fin de orientar esquemas de incentivos y apoyar el sistema de medición, reporte y verificación (MRV) de emisiones de gases de efecto invernadero (GEI).</w:t>
      </w:r>
    </w:p>
    <w:p w14:paraId="4635FCC3"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2.2.4.7. Integrar la metodología y los datos generados en el componente del proyecto sobre fortalecimiento de capacidades y gestión del conocimiento (Componente 4).</w:t>
      </w:r>
    </w:p>
    <w:p w14:paraId="202EB23D" w14:textId="77777777" w:rsidR="00BE5DC0" w:rsidRPr="00BE5DC0" w:rsidRDefault="00BE5DC0" w:rsidP="00BE5DC0">
      <w:pPr>
        <w:ind w:left="360"/>
        <w:jc w:val="both"/>
        <w:rPr>
          <w:rFonts w:asciiTheme="minorHAnsi" w:hAnsiTheme="minorHAnsi" w:cstheme="minorHAnsi"/>
          <w:sz w:val="20"/>
          <w:szCs w:val="20"/>
        </w:rPr>
      </w:pPr>
      <w:r w:rsidRPr="00BE5DC0">
        <w:rPr>
          <w:rFonts w:asciiTheme="minorHAnsi" w:hAnsiTheme="minorHAnsi" w:cstheme="minorHAnsi"/>
          <w:sz w:val="20"/>
          <w:szCs w:val="20"/>
        </w:rPr>
        <w:t>2.2.4.8. Utilizar los datos recolectados como insumos clave para la formulación conjunta de proyectos bajo el Producto 1.1.3 y los acuerdos de cogestión del Producto 1.1.2.</w:t>
      </w:r>
    </w:p>
    <w:p w14:paraId="6F0A5529" w14:textId="77777777" w:rsidR="00AF2738" w:rsidRPr="00D830D9" w:rsidRDefault="00AF2738" w:rsidP="00AF2738">
      <w:pPr>
        <w:jc w:val="both"/>
        <w:rPr>
          <w:rFonts w:asciiTheme="minorHAnsi" w:hAnsiTheme="minorHAnsi" w:cstheme="minorHAnsi"/>
          <w:bCs/>
          <w:sz w:val="20"/>
          <w:szCs w:val="20"/>
          <w:lang w:val="es-EC"/>
        </w:rPr>
      </w:pPr>
    </w:p>
    <w:p w14:paraId="62A4D946" w14:textId="2FB4F7F8" w:rsidR="00C43E4C" w:rsidRPr="00C43E4C" w:rsidRDefault="00C43E4C" w:rsidP="00C43E4C">
      <w:pPr>
        <w:pStyle w:val="Ttulo3"/>
        <w:rPr>
          <w:rFonts w:asciiTheme="minorHAnsi" w:eastAsia="Times New Roman" w:hAnsiTheme="minorHAnsi" w:cstheme="minorHAnsi"/>
          <w:b/>
          <w:bCs/>
          <w:color w:val="auto"/>
          <w:sz w:val="20"/>
          <w:szCs w:val="20"/>
        </w:rPr>
      </w:pPr>
      <w:r w:rsidRPr="00C43E4C">
        <w:rPr>
          <w:rFonts w:asciiTheme="minorHAnsi" w:eastAsia="Times New Roman" w:hAnsiTheme="minorHAnsi" w:cstheme="minorHAnsi"/>
          <w:b/>
          <w:bCs/>
          <w:color w:val="auto"/>
          <w:sz w:val="20"/>
          <w:szCs w:val="20"/>
        </w:rPr>
        <w:t>Componente 3: Acceso a mecanismos de financiamiento para escalar acciones que contribuyan a la conservación de la biodiversidad, la NDT y la mitigación del cambio climático</w:t>
      </w:r>
      <w:r w:rsidR="00041873">
        <w:rPr>
          <w:rStyle w:val="Refdenotaalpie"/>
          <w:rFonts w:asciiTheme="minorHAnsi" w:eastAsia="Times New Roman" w:hAnsiTheme="minorHAnsi" w:cstheme="minorHAnsi"/>
          <w:b/>
          <w:bCs/>
          <w:color w:val="auto"/>
          <w:sz w:val="20"/>
          <w:szCs w:val="20"/>
        </w:rPr>
        <w:footnoteReference w:id="4"/>
      </w:r>
    </w:p>
    <w:p w14:paraId="7B94885E" w14:textId="2D028EEA" w:rsidR="00C43E4C" w:rsidRPr="00C43E4C" w:rsidRDefault="00C43E4C"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C43E4C">
        <w:rPr>
          <w:rFonts w:asciiTheme="minorHAnsi" w:eastAsia="SimSun" w:hAnsiTheme="minorHAnsi" w:cstheme="minorHAnsi"/>
          <w:iCs/>
          <w:sz w:val="20"/>
          <w:szCs w:val="20"/>
        </w:rPr>
        <w:t>El objetivo de este componente es fortalecer las capacidades técnicas y financieras de los actores territoriales para movilizar recursos destinados a acciones de restauración, conservación, protección de la biodiversidad y producción sostenible. Se promoverán mecanismos de financiamiento innovadores —incluyendo instrumentos financieros climáticos y basados en la naturaleza— con un enfoque de género y sostenibilidad, asegurando la escalabilidad de las iniciativas y la resiliencia climática y de biodiversidad a largo plazo.</w:t>
      </w:r>
      <w:r>
        <w:rPr>
          <w:rFonts w:asciiTheme="minorHAnsi" w:eastAsia="SimSun" w:hAnsiTheme="minorHAnsi" w:cstheme="minorHAnsi"/>
          <w:iCs/>
          <w:sz w:val="20"/>
          <w:szCs w:val="20"/>
        </w:rPr>
        <w:t xml:space="preserve"> </w:t>
      </w:r>
      <w:r w:rsidRPr="00C43E4C">
        <w:rPr>
          <w:rFonts w:asciiTheme="minorHAnsi" w:eastAsia="SimSun" w:hAnsiTheme="minorHAnsi" w:cstheme="minorHAnsi"/>
          <w:iCs/>
          <w:sz w:val="20"/>
          <w:szCs w:val="20"/>
        </w:rPr>
        <w:t>Se desarrollarán mecanismos de financiamiento inclusivos de acuerdo con los lineamientos del </w:t>
      </w:r>
      <w:r w:rsidRPr="00C43E4C">
        <w:rPr>
          <w:rFonts w:asciiTheme="minorHAnsi" w:eastAsia="SimSun" w:hAnsiTheme="minorHAnsi" w:cstheme="minorHAnsi"/>
          <w:b/>
          <w:bCs/>
          <w:iCs/>
          <w:sz w:val="20"/>
          <w:szCs w:val="20"/>
        </w:rPr>
        <w:t>PAG</w:t>
      </w:r>
      <w:r w:rsidRPr="00C43E4C">
        <w:rPr>
          <w:rFonts w:asciiTheme="minorHAnsi" w:eastAsia="SimSun" w:hAnsiTheme="minorHAnsi" w:cstheme="minorHAnsi"/>
          <w:iCs/>
          <w:sz w:val="20"/>
          <w:szCs w:val="20"/>
        </w:rPr>
        <w:t>, priorizando el acceso de mujeres rurales a créditos verdes, apoyando emprendimientos sostenibles liderados por mujeres, y garantizando que al menos el 40% de las personas beneficiarias sean mujeres. Los indicadores estarán desagregados por sexo, edad y etnicidad.</w:t>
      </w:r>
    </w:p>
    <w:p w14:paraId="1F78C8D3" w14:textId="77777777" w:rsidR="00C43E4C" w:rsidRPr="00C43E4C" w:rsidRDefault="00C43E4C" w:rsidP="00C43E4C">
      <w:pPr>
        <w:pStyle w:val="Ttulo3"/>
        <w:rPr>
          <w:rFonts w:asciiTheme="minorHAnsi" w:eastAsia="Times New Roman" w:hAnsiTheme="minorHAnsi" w:cstheme="minorHAnsi"/>
          <w:b/>
          <w:bCs/>
          <w:color w:val="auto"/>
          <w:sz w:val="20"/>
          <w:szCs w:val="20"/>
        </w:rPr>
      </w:pPr>
      <w:r w:rsidRPr="00C43E4C">
        <w:rPr>
          <w:rFonts w:asciiTheme="minorHAnsi" w:eastAsia="Times New Roman" w:hAnsiTheme="minorHAnsi" w:cstheme="minorHAnsi"/>
          <w:b/>
          <w:bCs/>
          <w:color w:val="auto"/>
          <w:sz w:val="20"/>
          <w:szCs w:val="20"/>
        </w:rPr>
        <w:t>Resultado 3.1: Escalamiento de medidas que contribuyen a la restauración de tierras y conservación de la biodiversidad para mejorar la resiliencia climática comunitaria mediante financiamiento y acceso a mercados</w:t>
      </w:r>
    </w:p>
    <w:p w14:paraId="77BD0271" w14:textId="77777777" w:rsidR="00C43E4C" w:rsidRPr="00C43E4C" w:rsidRDefault="00C43E4C" w:rsidP="00C43E4C">
      <w:pPr>
        <w:pStyle w:val="Ttulo3"/>
        <w:rPr>
          <w:rFonts w:asciiTheme="minorHAnsi" w:eastAsia="Times New Roman" w:hAnsiTheme="minorHAnsi" w:cstheme="minorHAnsi"/>
          <w:b/>
          <w:bCs/>
          <w:color w:val="auto"/>
          <w:sz w:val="20"/>
          <w:szCs w:val="20"/>
        </w:rPr>
      </w:pPr>
      <w:r w:rsidRPr="00C43E4C">
        <w:rPr>
          <w:rFonts w:asciiTheme="minorHAnsi" w:eastAsia="Times New Roman" w:hAnsiTheme="minorHAnsi" w:cstheme="minorHAnsi"/>
          <w:b/>
          <w:bCs/>
          <w:color w:val="auto"/>
          <w:sz w:val="20"/>
          <w:szCs w:val="20"/>
        </w:rPr>
        <w:t>3.1.1 Programa de capacitación sobre mecanismos financieros dirigido a gobiernos locales y/o asociaciones municipales, con énfasis en equidad de género y acceso a incentivos financieros</w:t>
      </w:r>
    </w:p>
    <w:p w14:paraId="2913A74F" w14:textId="5B862543" w:rsidR="00C43E4C" w:rsidRPr="00C43E4C" w:rsidRDefault="00C43E4C"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C43E4C">
        <w:rPr>
          <w:rFonts w:asciiTheme="minorHAnsi" w:eastAsia="SimSun" w:hAnsiTheme="minorHAnsi" w:cstheme="minorHAnsi"/>
          <w:iCs/>
          <w:sz w:val="20"/>
          <w:szCs w:val="20"/>
        </w:rPr>
        <w:t>Este programa de formación está dirigido a gobiernos locales, comunidades indígenas y asociaciones, con un enfoque de equidad de género. Incluye el diseño e implementación de módulos sobre educación financiera, financiamiento climático y mecanismos de financiamiento basados en la naturaleza que apoyen la conservación de la biodiversidad y la restauración de ecosistemas, así como la adaptación de productos financieros a las necesidades de mujeres rurales, pueblos indígenas y juventudes, promoviendo su participación efectiva.</w:t>
      </w:r>
    </w:p>
    <w:p w14:paraId="720637B8"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3.1.1.1 Diseñar un programa de capacitación sobre mecanismos financieros, dirigido a gobiernos locales, comunidades indígenas y asociaciones, incorporando un enfoque de equidad de género que fortalezca capacidades para acceder a incentivos, financiamiento climático y mecanismos basados en la naturaleza que respalden la conservación de la biodiversidad y la restauración de ecosistemas.</w:t>
      </w:r>
    </w:p>
    <w:p w14:paraId="73948C9F" w14:textId="3E9125CC"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3.1.1.2 Implementar el programa con apoyo de BIOFIN, la Unidad de Finanzas Sostenibles del PNUD, GIZ</w:t>
      </w:r>
      <w:r w:rsidRPr="00157A87">
        <w:rPr>
          <w:rFonts w:asciiTheme="minorHAnsi" w:hAnsiTheme="minorHAnsi" w:cstheme="minorHAnsi"/>
          <w:sz w:val="20"/>
          <w:szCs w:val="20"/>
        </w:rPr>
        <w:t>, </w:t>
      </w:r>
      <w:r w:rsidR="00E201E6" w:rsidRPr="00E201E6">
        <w:rPr>
          <w:rFonts w:asciiTheme="minorHAnsi" w:hAnsiTheme="minorHAnsi" w:cstheme="minorHAnsi"/>
          <w:sz w:val="20"/>
          <w:szCs w:val="20"/>
        </w:rPr>
        <w:t>Capacitación en Preparación para Financiamiento Climático (</w:t>
      </w:r>
      <w:proofErr w:type="spellStart"/>
      <w:r w:rsidR="00E201E6" w:rsidRPr="00E201E6">
        <w:rPr>
          <w:rFonts w:asciiTheme="minorHAnsi" w:hAnsiTheme="minorHAnsi" w:cstheme="minorHAnsi"/>
          <w:sz w:val="20"/>
          <w:szCs w:val="20"/>
        </w:rPr>
        <w:t>CliFiT</w:t>
      </w:r>
      <w:proofErr w:type="spellEnd"/>
      <w:r w:rsidR="00E201E6" w:rsidRPr="00E201E6">
        <w:rPr>
          <w:rFonts w:asciiTheme="minorHAnsi" w:hAnsiTheme="minorHAnsi" w:cstheme="minorHAnsi"/>
          <w:sz w:val="20"/>
          <w:szCs w:val="20"/>
        </w:rPr>
        <w:t>, por sus siglas en inglés)</w:t>
      </w:r>
      <w:r w:rsidR="00157A87" w:rsidRPr="00157A87">
        <w:rPr>
          <w:rFonts w:asciiTheme="minorHAnsi" w:hAnsiTheme="minorHAnsi" w:cstheme="minorHAnsi"/>
          <w:sz w:val="20"/>
          <w:szCs w:val="20"/>
        </w:rPr>
        <w:t xml:space="preserve"> </w:t>
      </w:r>
      <w:r w:rsidRPr="00157A87">
        <w:rPr>
          <w:rFonts w:asciiTheme="minorHAnsi" w:hAnsiTheme="minorHAnsi" w:cstheme="minorHAnsi"/>
          <w:sz w:val="20"/>
          <w:szCs w:val="20"/>
        </w:rPr>
        <w:t>y ot</w:t>
      </w:r>
      <w:r w:rsidRPr="00C43E4C">
        <w:rPr>
          <w:rFonts w:asciiTheme="minorHAnsi" w:hAnsiTheme="minorHAnsi" w:cstheme="minorHAnsi"/>
          <w:sz w:val="20"/>
          <w:szCs w:val="20"/>
        </w:rPr>
        <w:t>ros actores clave.</w:t>
      </w:r>
    </w:p>
    <w:p w14:paraId="24E3967E"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lastRenderedPageBreak/>
        <w:t>3.1.1.3 Facilitar el acceso de actores territoriales a fondos climáticos y mecanismos financieros para proyectos sostenibles, incluidos aquellos que promuevan la conservación de la biodiversidad y restauración de ecosistemas mediante soluciones financieras basadas en la naturaleza.</w:t>
      </w:r>
    </w:p>
    <w:p w14:paraId="4A111473"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3.1.1.4 Adaptar productos financieros a las necesidades específicas de mujeres rurales, pueblos indígenas y juventudes, utilizando el análisis del PAG como insumo clave e incorporando opciones que incentiven la conservación y uso sostenible de los recursos naturales.</w:t>
      </w:r>
    </w:p>
    <w:p w14:paraId="0C4A4DDB"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3.1.1.5 Desarrollar módulos sobre alfabetización financiera y financiamiento climático, incluyendo contenidos sobre mecanismos financieros enfocados en biodiversidad, abordando desigualdades de género en el acceso a recursos —entendido como la capacidad de mujeres, pueblos indígenas y juventudes para acceder a recursos financieros, formación, información relevante y servicios financieros adaptados—, y promoviendo su participación inclusiva en oportunidades de financiamiento basado en la naturaleza.</w:t>
      </w:r>
    </w:p>
    <w:p w14:paraId="19998861"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3.1.1.6 Promover la participación efectiva de productoras y lideresas en programas de formación, mecanismos financieros y procesos de toma de decisiones relacionados con la producción sostenible y la conservación de la biodiversidad, superando barreras de acceso como la disponibilidad de tiempo y transporte, que suelen afectar de manera desproporcionada a las mujeres debido a la distribución desigual del trabajo de cuidados no remunerado, la movilidad limitada en zonas rurales y preocupaciones de seguridad.</w:t>
      </w:r>
    </w:p>
    <w:p w14:paraId="32119F18"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3.1.1.7 Implementar un programa territorial de sensibilización con BanEcuador, BDE y CONAFIPS para reducir las barreras de acceso al crédito para mujeres indígenas.</w:t>
      </w:r>
    </w:p>
    <w:p w14:paraId="69113BD9"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3.1.1.8 Integrar los contenidos y resultados de la formación en la plataforma virtual de aprendizaje contemplada en el Componente 4 (Producto 4.1.1).</w:t>
      </w:r>
    </w:p>
    <w:p w14:paraId="5531F5C2" w14:textId="77777777" w:rsidR="00C43E4C" w:rsidRPr="00C43E4C" w:rsidRDefault="00C43E4C" w:rsidP="00C43E4C">
      <w:pPr>
        <w:ind w:left="360"/>
        <w:jc w:val="both"/>
        <w:rPr>
          <w:rFonts w:asciiTheme="minorHAnsi" w:hAnsiTheme="minorHAnsi" w:cstheme="minorHAnsi"/>
          <w:sz w:val="20"/>
          <w:szCs w:val="20"/>
        </w:rPr>
      </w:pPr>
      <w:r w:rsidRPr="00C43E4C">
        <w:rPr>
          <w:rFonts w:asciiTheme="minorHAnsi" w:hAnsiTheme="minorHAnsi" w:cstheme="minorHAnsi"/>
          <w:sz w:val="20"/>
          <w:szCs w:val="20"/>
        </w:rPr>
        <w:t>3.1.1.9 Desarrollar un módulo con estudios de caso de proyectos exitosos liderados por mujeres, para reforzar el enfoque de género y fomentar la réplica de buenas prácticas.</w:t>
      </w:r>
    </w:p>
    <w:p w14:paraId="6A299253" w14:textId="77777777" w:rsidR="00C43E4C" w:rsidRDefault="00C43E4C" w:rsidP="00AF2738">
      <w:pPr>
        <w:jc w:val="both"/>
        <w:rPr>
          <w:rFonts w:asciiTheme="minorHAnsi" w:hAnsiTheme="minorHAnsi" w:cstheme="minorHAnsi"/>
          <w:b/>
          <w:sz w:val="20"/>
          <w:szCs w:val="20"/>
          <w:lang w:val="es-EC"/>
        </w:rPr>
      </w:pPr>
    </w:p>
    <w:p w14:paraId="70963E0D" w14:textId="41482AED" w:rsidR="00E201E6" w:rsidRPr="00DE7F57" w:rsidRDefault="00E201E6" w:rsidP="00E201E6">
      <w:pPr>
        <w:pStyle w:val="Ttulo3"/>
        <w:rPr>
          <w:rFonts w:asciiTheme="minorHAnsi" w:eastAsia="Times New Roman" w:hAnsiTheme="minorHAnsi" w:cstheme="minorHAnsi"/>
          <w:b/>
          <w:bCs/>
          <w:color w:val="auto"/>
          <w:sz w:val="20"/>
          <w:szCs w:val="20"/>
        </w:rPr>
      </w:pPr>
      <w:r w:rsidRPr="00DE7F57">
        <w:rPr>
          <w:rFonts w:asciiTheme="minorHAnsi" w:eastAsia="Times New Roman" w:hAnsiTheme="minorHAnsi" w:cstheme="minorHAnsi"/>
          <w:b/>
          <w:bCs/>
          <w:color w:val="auto"/>
          <w:sz w:val="20"/>
          <w:szCs w:val="20"/>
        </w:rPr>
        <w:t>3.1.2 Mecanismos de sostenibilidad financiera</w:t>
      </w:r>
      <w:r w:rsidR="00DE7F57" w:rsidRPr="00DE7F57">
        <w:rPr>
          <w:rFonts w:asciiTheme="minorHAnsi" w:eastAsia="Times New Roman" w:hAnsiTheme="minorHAnsi" w:cstheme="minorHAnsi"/>
          <w:b/>
          <w:bCs/>
          <w:color w:val="auto"/>
          <w:sz w:val="20"/>
          <w:szCs w:val="20"/>
          <w:vertAlign w:val="superscript"/>
        </w:rPr>
        <w:footnoteReference w:id="5"/>
      </w:r>
      <w:r w:rsidRPr="00DE7F57">
        <w:rPr>
          <w:rFonts w:asciiTheme="minorHAnsi" w:eastAsia="Times New Roman" w:hAnsiTheme="minorHAnsi" w:cstheme="minorHAnsi"/>
          <w:b/>
          <w:bCs/>
          <w:color w:val="auto"/>
          <w:sz w:val="20"/>
          <w:szCs w:val="20"/>
        </w:rPr>
        <w:t xml:space="preserve"> identificados y promovidos por mujeres y hombres para la protección y conservación de áreas seleccionadas y zonas de protección hídrica</w:t>
      </w:r>
    </w:p>
    <w:p w14:paraId="4ED77973" w14:textId="146CAB6C" w:rsidR="00E201E6" w:rsidRPr="00DE7F57" w:rsidRDefault="00E201E6"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DE7F57">
        <w:rPr>
          <w:rFonts w:asciiTheme="minorHAnsi" w:eastAsia="SimSun" w:hAnsiTheme="minorHAnsi" w:cstheme="minorHAnsi"/>
          <w:iCs/>
          <w:sz w:val="20"/>
          <w:szCs w:val="20"/>
        </w:rPr>
        <w:t>Este producto tiene como objetivo identificar y promover mecanismos de sostenibilidad financiera liderados por mujeres y hombres para proteger áreas clave y zonas de recarga hídrica. A través de estrategias innovadoras, fortalecimiento de capacidades y herramientas como el balance hídrico y modelos de pago por servicios ecosistémicos, se busca asegurar la conservación y restauración del paisaje a largo plazo, con un enfoque de equidad de género y sostenibilidad.</w:t>
      </w:r>
    </w:p>
    <w:p w14:paraId="3B5B0D04"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3.1.2.1 Diseñar y promover mecanismos de financiamiento sostenible utilizando estrategias innovadoras, tecnologías y modelos financieros.</w:t>
      </w:r>
    </w:p>
    <w:p w14:paraId="2F0F1CEF"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3.1.2.2 Facilitar asistencia técnica por parte de BIOFIN y el Centro de Finanzas Sostenibles del PNUD para el diseño e implementación.</w:t>
      </w:r>
    </w:p>
    <w:p w14:paraId="71D5C56D"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 xml:space="preserve">3.1.2.3 Fortalecer las capacidades de gestión financiera alineadas con los principios del FMAM (Fondo para el Medio Ambiente Mundial), dirigidas a FODESNA, </w:t>
      </w:r>
      <w:proofErr w:type="spellStart"/>
      <w:r w:rsidRPr="00DE7F57">
        <w:rPr>
          <w:rFonts w:asciiTheme="minorHAnsi" w:hAnsiTheme="minorHAnsi" w:cstheme="minorHAnsi"/>
          <w:sz w:val="20"/>
          <w:szCs w:val="20"/>
        </w:rPr>
        <w:t>GADs</w:t>
      </w:r>
      <w:proofErr w:type="spellEnd"/>
      <w:r w:rsidRPr="00DE7F57">
        <w:rPr>
          <w:rFonts w:asciiTheme="minorHAnsi" w:hAnsiTheme="minorHAnsi" w:cstheme="minorHAnsi"/>
          <w:sz w:val="20"/>
          <w:szCs w:val="20"/>
        </w:rPr>
        <w:t>, organizaciones indígenas y comunidades, con énfasis en mecanismos de sostenibilidad para áreas prioritarias y zonas hídricas.</w:t>
      </w:r>
    </w:p>
    <w:p w14:paraId="3103E72D"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3.1.2.4 Ampliar el uso de la plataforma de ECOCIENCIA para el monitoreo de créditos con enfoque de transparencia y sostenibilidad.</w:t>
      </w:r>
    </w:p>
    <w:p w14:paraId="7DC8777F" w14:textId="0B9A506D"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 xml:space="preserve">3.1.2.5 Evaluar la factibilidad y diseñar un Fondo Rotatorio Verde para bioemprendimientos y </w:t>
      </w:r>
      <w:r w:rsidR="00DE7F57" w:rsidRPr="00DE7F57">
        <w:rPr>
          <w:rFonts w:asciiTheme="minorHAnsi" w:hAnsiTheme="minorHAnsi" w:cstheme="minorHAnsi"/>
          <w:sz w:val="20"/>
          <w:szCs w:val="20"/>
        </w:rPr>
        <w:t>agro emprendimientos</w:t>
      </w:r>
      <w:r w:rsidRPr="00DE7F57">
        <w:rPr>
          <w:rFonts w:asciiTheme="minorHAnsi" w:hAnsiTheme="minorHAnsi" w:cstheme="minorHAnsi"/>
          <w:sz w:val="20"/>
          <w:szCs w:val="20"/>
        </w:rPr>
        <w:t>, con participación de FODESNA, bancos comunitarios y sistemas de ahorro.</w:t>
      </w:r>
    </w:p>
    <w:p w14:paraId="0E9D2E4A"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3.1.2.6 Facilitar el acceso a garantías solidarias y fondos semilla, apoyando a comunidades indígenas y a mujeres en la identificación, adaptación y gestión de mecanismos financieros inclusivos que promuevan la producción sostenible y la conservación de la biodiversidad.</w:t>
      </w:r>
    </w:p>
    <w:p w14:paraId="3F0576C5"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3.1.2.7 Aplicar el "balance hídrico con enfoque de género" como herramienta técnica para analizar la disponibilidad, demanda y calidad del agua en zonas clave —apoyando el diseño y justificación de pagos por servicios ecosistémicos relacionados con el agua.</w:t>
      </w:r>
    </w:p>
    <w:p w14:paraId="4FAA2BA6" w14:textId="6D78503C"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lastRenderedPageBreak/>
        <w:t>3.1.2.8 Evaluar la aplicabilidad del modelo FONAFIFO de Costa Rica</w:t>
      </w:r>
      <w:r w:rsidR="00DE7F57">
        <w:rPr>
          <w:rStyle w:val="Refdenotaalpie"/>
          <w:rFonts w:asciiTheme="minorHAnsi" w:hAnsiTheme="minorHAnsi" w:cstheme="minorHAnsi"/>
          <w:sz w:val="20"/>
          <w:szCs w:val="20"/>
        </w:rPr>
        <w:footnoteReference w:id="6"/>
      </w:r>
      <w:r w:rsidRPr="00DE7F57">
        <w:rPr>
          <w:rFonts w:asciiTheme="minorHAnsi" w:hAnsiTheme="minorHAnsi" w:cstheme="minorHAnsi"/>
          <w:sz w:val="20"/>
          <w:szCs w:val="20"/>
        </w:rPr>
        <w:t xml:space="preserve"> como referencia para la implementación de mecanismos de pago por servicios ecosistémicos hídricos en Ecuador.</w:t>
      </w:r>
    </w:p>
    <w:p w14:paraId="533C8371" w14:textId="7EF207FE"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3.1.2.9 Promover un mecanismo de articulación financiera entre FODESNA, CTEA, FILAC, FBCA y fondos hídricos como FONAG, para canalizar recursos hacia la NDT y la gestión integrada del paisaje.</w:t>
      </w:r>
    </w:p>
    <w:p w14:paraId="538B6E93"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 xml:space="preserve">3.1.2.10 Alinear estos mecanismos con los Planes de Vida, los </w:t>
      </w:r>
      <w:proofErr w:type="spellStart"/>
      <w:r w:rsidRPr="00DE7F57">
        <w:rPr>
          <w:rFonts w:asciiTheme="minorHAnsi" w:hAnsiTheme="minorHAnsi" w:cstheme="minorHAnsi"/>
          <w:sz w:val="20"/>
          <w:szCs w:val="20"/>
        </w:rPr>
        <w:t>PDOTs</w:t>
      </w:r>
      <w:proofErr w:type="spellEnd"/>
      <w:r w:rsidRPr="00DE7F57">
        <w:rPr>
          <w:rFonts w:asciiTheme="minorHAnsi" w:hAnsiTheme="minorHAnsi" w:cstheme="minorHAnsi"/>
          <w:sz w:val="20"/>
          <w:szCs w:val="20"/>
        </w:rPr>
        <w:t xml:space="preserve"> y los </w:t>
      </w:r>
      <w:proofErr w:type="spellStart"/>
      <w:r w:rsidRPr="00DE7F57">
        <w:rPr>
          <w:rFonts w:asciiTheme="minorHAnsi" w:hAnsiTheme="minorHAnsi" w:cstheme="minorHAnsi"/>
          <w:sz w:val="20"/>
          <w:szCs w:val="20"/>
        </w:rPr>
        <w:t>PUGSs</w:t>
      </w:r>
      <w:proofErr w:type="spellEnd"/>
      <w:r w:rsidRPr="00DE7F57">
        <w:rPr>
          <w:rFonts w:asciiTheme="minorHAnsi" w:hAnsiTheme="minorHAnsi" w:cstheme="minorHAnsi"/>
          <w:sz w:val="20"/>
          <w:szCs w:val="20"/>
        </w:rPr>
        <w:t>, integrándolos en los acuerdos de cogestión (Producto 1.1.2) y en los diseños de proyectos (Productos 1.1.3 y 3.1.3).</w:t>
      </w:r>
    </w:p>
    <w:p w14:paraId="271DE627"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3.1.2.11 Financiar iniciativas lideradas por pueblos indígenas y actores locales para la conservación, restauración y producción sostenible, con enfoque de género.</w:t>
      </w:r>
    </w:p>
    <w:p w14:paraId="41133D76" w14:textId="54990604"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3.1.2.12 Desarrollar modelos de incentivos monetarios y no monetarios para promover sistemas agroforestales sostenibles como las chakras y ajas</w:t>
      </w:r>
      <w:r w:rsidR="00DE7F57">
        <w:rPr>
          <w:rStyle w:val="Refdenotaalpie"/>
          <w:rFonts w:asciiTheme="minorHAnsi" w:hAnsiTheme="minorHAnsi" w:cstheme="minorHAnsi"/>
          <w:sz w:val="20"/>
          <w:szCs w:val="20"/>
        </w:rPr>
        <w:footnoteReference w:id="7"/>
      </w:r>
      <w:r w:rsidRPr="00DE7F57">
        <w:rPr>
          <w:rFonts w:asciiTheme="minorHAnsi" w:hAnsiTheme="minorHAnsi" w:cstheme="minorHAnsi"/>
          <w:sz w:val="20"/>
          <w:szCs w:val="20"/>
        </w:rPr>
        <w:t>.</w:t>
      </w:r>
    </w:p>
    <w:p w14:paraId="1A29A2CC" w14:textId="3866932D"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 xml:space="preserve">3.1.2.13 Implementar la Taxonomía Verde y el enfoque de Bioeconomía en coordinación con CONAFIPS, ASOBANCA, MEF y </w:t>
      </w:r>
      <w:r w:rsidR="00AF5C99" w:rsidRPr="00DE7F57">
        <w:rPr>
          <w:rFonts w:asciiTheme="minorHAnsi" w:hAnsiTheme="minorHAnsi" w:cstheme="minorHAnsi"/>
          <w:sz w:val="20"/>
          <w:szCs w:val="20"/>
        </w:rPr>
        <w:t>MAE</w:t>
      </w:r>
      <w:r w:rsidRPr="00DE7F57">
        <w:rPr>
          <w:rFonts w:asciiTheme="minorHAnsi" w:hAnsiTheme="minorHAnsi" w:cstheme="minorHAnsi"/>
          <w:sz w:val="20"/>
          <w:szCs w:val="20"/>
        </w:rPr>
        <w:t xml:space="preserve"> para desarrollar instrumentos financieros e inversiones orientadas a actividades sostenibles en territorios prioritarios.</w:t>
      </w:r>
    </w:p>
    <w:p w14:paraId="4A573829" w14:textId="77777777" w:rsidR="00E201E6" w:rsidRPr="00DE7F57" w:rsidRDefault="00E201E6" w:rsidP="00E201E6">
      <w:pPr>
        <w:ind w:left="360"/>
        <w:jc w:val="both"/>
        <w:rPr>
          <w:rFonts w:asciiTheme="minorHAnsi" w:hAnsiTheme="minorHAnsi" w:cstheme="minorHAnsi"/>
          <w:sz w:val="20"/>
          <w:szCs w:val="20"/>
        </w:rPr>
      </w:pPr>
      <w:r w:rsidRPr="00DE7F57">
        <w:rPr>
          <w:rFonts w:asciiTheme="minorHAnsi" w:hAnsiTheme="minorHAnsi" w:cstheme="minorHAnsi"/>
          <w:sz w:val="20"/>
          <w:szCs w:val="20"/>
        </w:rPr>
        <w:t>3.1.2.14 Asegurar que las inversiones se alineen con criterios ASG (Ambientales, Sociales y de Gobernanza) y fortalezcan la sostenibilidad financiera territorial.</w:t>
      </w:r>
    </w:p>
    <w:p w14:paraId="24FFE94B" w14:textId="77777777" w:rsidR="00E201E6" w:rsidRPr="00E201E6" w:rsidRDefault="00E201E6" w:rsidP="00E201E6">
      <w:pPr>
        <w:ind w:left="360"/>
        <w:jc w:val="both"/>
        <w:rPr>
          <w:rFonts w:asciiTheme="minorHAnsi" w:hAnsiTheme="minorHAnsi" w:cstheme="minorHAnsi"/>
          <w:sz w:val="20"/>
          <w:szCs w:val="20"/>
        </w:rPr>
      </w:pPr>
    </w:p>
    <w:p w14:paraId="52F997EC" w14:textId="77777777" w:rsidR="00AF2738" w:rsidRDefault="00AF2738" w:rsidP="00AF2738">
      <w:pPr>
        <w:jc w:val="both"/>
        <w:rPr>
          <w:rFonts w:asciiTheme="minorHAnsi" w:hAnsiTheme="minorHAnsi" w:cstheme="minorHAnsi"/>
          <w:b/>
          <w:bCs/>
          <w:sz w:val="20"/>
          <w:szCs w:val="20"/>
          <w:lang w:val="es-EC"/>
        </w:rPr>
      </w:pPr>
    </w:p>
    <w:p w14:paraId="15DE1F69" w14:textId="77777777" w:rsidR="00FF5D18" w:rsidRPr="00FF5D18" w:rsidRDefault="00FF5D18" w:rsidP="00FF5D18">
      <w:pPr>
        <w:pStyle w:val="Ttulo3"/>
        <w:rPr>
          <w:rFonts w:asciiTheme="minorHAnsi" w:eastAsia="Times New Roman" w:hAnsiTheme="minorHAnsi" w:cstheme="minorHAnsi"/>
          <w:b/>
          <w:bCs/>
          <w:color w:val="auto"/>
          <w:sz w:val="20"/>
          <w:szCs w:val="20"/>
        </w:rPr>
      </w:pPr>
      <w:r w:rsidRPr="00FF5D18">
        <w:rPr>
          <w:rFonts w:asciiTheme="minorHAnsi" w:eastAsia="Times New Roman" w:hAnsiTheme="minorHAnsi" w:cstheme="minorHAnsi"/>
          <w:b/>
          <w:bCs/>
          <w:color w:val="auto"/>
          <w:sz w:val="20"/>
          <w:szCs w:val="20"/>
        </w:rPr>
        <w:t>3.1.3 Proyectos financiados vinculados a los Planes de Vida de los pueblos y nacionalidades indígenas que promueven la equidad de género</w:t>
      </w:r>
    </w:p>
    <w:p w14:paraId="0567CB47" w14:textId="3815231B" w:rsidR="00FF5D18" w:rsidRPr="00FF5D18" w:rsidRDefault="00FF5D18"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FF5D18">
        <w:rPr>
          <w:rFonts w:asciiTheme="minorHAnsi" w:eastAsia="SimSun" w:hAnsiTheme="minorHAnsi" w:cstheme="minorHAnsi"/>
          <w:iCs/>
          <w:sz w:val="20"/>
          <w:szCs w:val="20"/>
        </w:rPr>
        <w:t>El proyecto implementará un esquema específico de financiamiento a través de Subvenciones de Bajo Valor (SBV)</w:t>
      </w:r>
      <w:r w:rsidR="00DD14E8">
        <w:rPr>
          <w:rFonts w:asciiTheme="minorHAnsi" w:eastAsia="SimSun" w:hAnsiTheme="minorHAnsi" w:cstheme="minorHAnsi"/>
          <w:iCs/>
          <w:sz w:val="20"/>
          <w:szCs w:val="20"/>
        </w:rPr>
        <w:t xml:space="preserve"> </w:t>
      </w:r>
      <w:r w:rsidRPr="00FF5D18">
        <w:rPr>
          <w:rFonts w:asciiTheme="minorHAnsi" w:eastAsia="SimSun" w:hAnsiTheme="minorHAnsi" w:cstheme="minorHAnsi"/>
          <w:iCs/>
          <w:sz w:val="20"/>
          <w:szCs w:val="20"/>
        </w:rPr>
        <w:t xml:space="preserve">para asegurar la ejecución de al menos siete (7) proyectos productivos sostenibles, alineados con los Planes de Vida de los pueblos y nacionalidades indígenas en la cuenca del río Napo. Los recursos de las SBV serán invertidos directamente en actividades que integren la conservación de la biodiversidad, la restauración, la resiliencia frente al cambio climático y la producción sostenible, asegurando que al menos el 40% de las personas beneficiarias sean mujeres. A continuación, se detalla la distribución de </w:t>
      </w:r>
      <w:r>
        <w:rPr>
          <w:rFonts w:asciiTheme="minorHAnsi" w:eastAsia="SimSun" w:hAnsiTheme="minorHAnsi" w:cstheme="minorHAnsi"/>
          <w:iCs/>
          <w:sz w:val="20"/>
          <w:szCs w:val="20"/>
        </w:rPr>
        <w:t>las SBV</w:t>
      </w:r>
      <w:r w:rsidRPr="00FF5D18">
        <w:rPr>
          <w:rFonts w:asciiTheme="minorHAnsi" w:eastAsia="SimSun" w:hAnsiTheme="minorHAnsi" w:cstheme="minorHAnsi"/>
          <w:iCs/>
          <w:sz w:val="20"/>
          <w:szCs w:val="20"/>
        </w:rPr>
        <w:t xml:space="preserve"> por actividad:</w:t>
      </w:r>
    </w:p>
    <w:p w14:paraId="79EE04E2" w14:textId="0623A060"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3.1.3.1. Financiamiento para la adquisición de equipamiento, herramientas e insumos necesarios para el desarrollo de cadenas de valor sostenibles, incluyendo las etapas de producción, procesamiento y comercialización de PFNM y productos agroecológicos priorizados.</w:t>
      </w:r>
    </w:p>
    <w:p w14:paraId="3B3E44BE" w14:textId="77777777"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3.1.3.2. Implementación de un enfoque integrado de desarrollo sostenible que combine acciones productivas, restauración de áreas degradadas, medidas de protección de fuentes hídricas y conservación de la biodiversidad. Las acciones en el territorio estarán directamente alineadas con los productos 1.1.3 y 2.2.3, garantizando que las intervenciones fortalezcan simultáneamente los medios de vida locales y contribuyan a la salud de los ecosistemas. Las actividades incluirán el establecimiento de sistemas agroecológicos, rehabilitación de tierras degradadas, protección de fuentes de agua críticas, y conservación de hábitats prioritarios, integrando el conocimiento comunitario y promoviendo la resiliencia frente al cambio climático.</w:t>
      </w:r>
    </w:p>
    <w:p w14:paraId="5EE00390" w14:textId="77777777"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3.1.3.3. Diseño y aplicación de herramientas de gestión de proyectos sensibles al género y de salvaguardas ambientales, incluyendo la realización de talleres de formación comunitaria.</w:t>
      </w:r>
    </w:p>
    <w:p w14:paraId="52F5A3A6" w14:textId="77777777"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3.1.3.4. Instalación de infraestructura para la captación, purificación y distribución de agua en comunidades indígenas, con el fin de fortalecer su resiliencia climática y su capacidad de adaptación.</w:t>
      </w:r>
    </w:p>
    <w:p w14:paraId="3493E635" w14:textId="77777777"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 xml:space="preserve">3.1.3.5. Establecimiento o fortalecimiento de sistemas de producción agroecológica (por ejemplo, el modelo </w:t>
      </w:r>
      <w:proofErr w:type="spellStart"/>
      <w:r w:rsidRPr="00FF5D18">
        <w:rPr>
          <w:rFonts w:asciiTheme="minorHAnsi" w:hAnsiTheme="minorHAnsi" w:cstheme="minorHAnsi"/>
          <w:sz w:val="20"/>
          <w:szCs w:val="20"/>
        </w:rPr>
        <w:t>Chakra</w:t>
      </w:r>
      <w:proofErr w:type="spellEnd"/>
      <w:r w:rsidRPr="00FF5D18">
        <w:rPr>
          <w:rFonts w:asciiTheme="minorHAnsi" w:hAnsiTheme="minorHAnsi" w:cstheme="minorHAnsi"/>
          <w:sz w:val="20"/>
          <w:szCs w:val="20"/>
        </w:rPr>
        <w:t>) y de emprendimientos basados en la bioeconomía, incluyendo viveros, parcelas demostrativas y procesos de certificación de comercio justo.</w:t>
      </w:r>
    </w:p>
    <w:p w14:paraId="28F33CFF" w14:textId="77777777"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3.1.3.6. Implementación de programas de fortalecimiento de capacidades dirigidos a mujeres indígenas, enfocados en el liderazgo en administración de proyectos, desarrollo empresarial y producción técnica especializada.</w:t>
      </w:r>
    </w:p>
    <w:p w14:paraId="1677CFE4" w14:textId="31AAEEAB" w:rsidR="00FF5D18" w:rsidRPr="00FF5D18" w:rsidRDefault="00FF5D18" w:rsidP="00875F96">
      <w:pPr>
        <w:ind w:left="360"/>
        <w:jc w:val="both"/>
        <w:rPr>
          <w:rFonts w:asciiTheme="minorHAnsi" w:hAnsiTheme="minorHAnsi" w:cstheme="minorHAnsi"/>
          <w:sz w:val="20"/>
          <w:szCs w:val="20"/>
        </w:rPr>
      </w:pPr>
      <w:r w:rsidRPr="00FF5D18">
        <w:rPr>
          <w:rFonts w:asciiTheme="minorHAnsi" w:hAnsiTheme="minorHAnsi" w:cstheme="minorHAnsi"/>
          <w:sz w:val="20"/>
          <w:szCs w:val="20"/>
        </w:rPr>
        <w:lastRenderedPageBreak/>
        <w:t>3.1.3.7. Asistencia técnica para alinear los proyectos financiados con los Planes de Vida y con otros instrumentos de planificación territorial como los </w:t>
      </w:r>
      <w:proofErr w:type="spellStart"/>
      <w:r w:rsidRPr="00FF5D18">
        <w:rPr>
          <w:rFonts w:asciiTheme="minorHAnsi" w:hAnsiTheme="minorHAnsi" w:cstheme="minorHAnsi"/>
          <w:sz w:val="20"/>
          <w:szCs w:val="20"/>
        </w:rPr>
        <w:t>PDOTs</w:t>
      </w:r>
      <w:proofErr w:type="spellEnd"/>
      <w:r w:rsidRPr="00FF5D18">
        <w:rPr>
          <w:rFonts w:asciiTheme="minorHAnsi" w:hAnsiTheme="minorHAnsi" w:cstheme="minorHAnsi"/>
          <w:sz w:val="20"/>
          <w:szCs w:val="20"/>
        </w:rPr>
        <w:t>, </w:t>
      </w:r>
      <w:proofErr w:type="spellStart"/>
      <w:r w:rsidRPr="00FF5D18">
        <w:rPr>
          <w:rFonts w:asciiTheme="minorHAnsi" w:hAnsiTheme="minorHAnsi" w:cstheme="minorHAnsi"/>
          <w:sz w:val="20"/>
          <w:szCs w:val="20"/>
        </w:rPr>
        <w:t>PUGSs</w:t>
      </w:r>
      <w:proofErr w:type="spellEnd"/>
      <w:r w:rsidRPr="00FF5D18">
        <w:rPr>
          <w:rFonts w:asciiTheme="minorHAnsi" w:hAnsiTheme="minorHAnsi" w:cstheme="minorHAnsi"/>
          <w:sz w:val="20"/>
          <w:szCs w:val="20"/>
        </w:rPr>
        <w:t> y </w:t>
      </w:r>
      <w:r w:rsidR="00AC6B36">
        <w:rPr>
          <w:rFonts w:asciiTheme="minorHAnsi" w:hAnsiTheme="minorHAnsi" w:cstheme="minorHAnsi"/>
          <w:sz w:val="20"/>
          <w:szCs w:val="20"/>
        </w:rPr>
        <w:t xml:space="preserve">el </w:t>
      </w:r>
      <w:r w:rsidRPr="00FF5D18">
        <w:rPr>
          <w:rFonts w:asciiTheme="minorHAnsi" w:hAnsiTheme="minorHAnsi" w:cstheme="minorHAnsi"/>
          <w:sz w:val="20"/>
          <w:szCs w:val="20"/>
        </w:rPr>
        <w:t xml:space="preserve">Plan </w:t>
      </w:r>
      <w:r w:rsidR="00AC6B36">
        <w:rPr>
          <w:rFonts w:asciiTheme="minorHAnsi" w:hAnsiTheme="minorHAnsi" w:cstheme="minorHAnsi"/>
          <w:sz w:val="20"/>
          <w:szCs w:val="20"/>
        </w:rPr>
        <w:t>Integral Amazónico</w:t>
      </w:r>
      <w:r w:rsidRPr="00FF5D18">
        <w:rPr>
          <w:rFonts w:asciiTheme="minorHAnsi" w:hAnsiTheme="minorHAnsi" w:cstheme="minorHAnsi"/>
          <w:sz w:val="20"/>
          <w:szCs w:val="20"/>
        </w:rPr>
        <w:t xml:space="preserve"> (PIA).</w:t>
      </w:r>
    </w:p>
    <w:p w14:paraId="0D6F1BB9" w14:textId="736DF3B5"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 xml:space="preserve">3.1.3.8. Integración de las acciones de los proyectos con los planes de manejo existentes de los </w:t>
      </w:r>
      <w:proofErr w:type="spellStart"/>
      <w:r w:rsidRPr="00FF5D18">
        <w:rPr>
          <w:rFonts w:asciiTheme="minorHAnsi" w:hAnsiTheme="minorHAnsi" w:cstheme="minorHAnsi"/>
          <w:sz w:val="20"/>
          <w:szCs w:val="20"/>
        </w:rPr>
        <w:t>BVPs</w:t>
      </w:r>
      <w:proofErr w:type="spellEnd"/>
      <w:r w:rsidRPr="00FF5D18">
        <w:rPr>
          <w:rFonts w:asciiTheme="minorHAnsi" w:hAnsiTheme="minorHAnsi" w:cstheme="minorHAnsi"/>
          <w:sz w:val="20"/>
          <w:szCs w:val="20"/>
        </w:rPr>
        <w:t> y de las </w:t>
      </w:r>
      <w:proofErr w:type="spellStart"/>
      <w:r w:rsidRPr="00FF5D18">
        <w:rPr>
          <w:rFonts w:asciiTheme="minorHAnsi" w:hAnsiTheme="minorHAnsi" w:cstheme="minorHAnsi"/>
          <w:sz w:val="20"/>
          <w:szCs w:val="20"/>
        </w:rPr>
        <w:t>APHs</w:t>
      </w:r>
      <w:proofErr w:type="spellEnd"/>
      <w:r w:rsidRPr="00FF5D18">
        <w:rPr>
          <w:rFonts w:asciiTheme="minorHAnsi" w:hAnsiTheme="minorHAnsi" w:cstheme="minorHAnsi"/>
          <w:sz w:val="20"/>
          <w:szCs w:val="20"/>
        </w:rPr>
        <w:t>.</w:t>
      </w:r>
    </w:p>
    <w:p w14:paraId="7A873D07" w14:textId="77777777"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3.1.3.9. </w:t>
      </w:r>
      <w:proofErr w:type="spellStart"/>
      <w:r w:rsidRPr="00FF5D18">
        <w:rPr>
          <w:rFonts w:asciiTheme="minorHAnsi" w:hAnsiTheme="minorHAnsi" w:cstheme="minorHAnsi"/>
          <w:sz w:val="20"/>
          <w:szCs w:val="20"/>
        </w:rPr>
        <w:t>Co-diseño</w:t>
      </w:r>
      <w:proofErr w:type="spellEnd"/>
      <w:r w:rsidRPr="00FF5D18">
        <w:rPr>
          <w:rFonts w:asciiTheme="minorHAnsi" w:hAnsiTheme="minorHAnsi" w:cstheme="minorHAnsi"/>
          <w:sz w:val="20"/>
          <w:szCs w:val="20"/>
        </w:rPr>
        <w:t xml:space="preserve"> de propuestas de proyectos en conjunto con organizaciones indígenas y gobiernos locales, garantizando la pertinencia cultural y el respeto a los principios de autodeterminación.</w:t>
      </w:r>
    </w:p>
    <w:p w14:paraId="313D37EB" w14:textId="1B6E0574"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3.1.3.10. Organización de plataformas de coordinación entre representantes comunitarios, </w:t>
      </w:r>
      <w:proofErr w:type="spellStart"/>
      <w:r w:rsidRPr="00FF5D18">
        <w:rPr>
          <w:rFonts w:asciiTheme="minorHAnsi" w:hAnsiTheme="minorHAnsi" w:cstheme="minorHAnsi"/>
          <w:sz w:val="20"/>
          <w:szCs w:val="20"/>
        </w:rPr>
        <w:t>GADs</w:t>
      </w:r>
      <w:proofErr w:type="spellEnd"/>
      <w:r w:rsidRPr="00FF5D18">
        <w:rPr>
          <w:rFonts w:asciiTheme="minorHAnsi" w:hAnsiTheme="minorHAnsi" w:cstheme="minorHAnsi"/>
          <w:sz w:val="20"/>
          <w:szCs w:val="20"/>
        </w:rPr>
        <w:t> y aliados técnicos, con el objetivo de movilizar cofinanciamiento adicional.</w:t>
      </w:r>
    </w:p>
    <w:p w14:paraId="14970E50" w14:textId="2FA5A149" w:rsidR="00FF5D18" w:rsidRPr="00FF5D18" w:rsidRDefault="00FF5D18" w:rsidP="00FF5D18">
      <w:pPr>
        <w:ind w:left="360"/>
        <w:jc w:val="both"/>
        <w:rPr>
          <w:rFonts w:asciiTheme="minorHAnsi" w:hAnsiTheme="minorHAnsi" w:cstheme="minorHAnsi"/>
          <w:sz w:val="20"/>
          <w:szCs w:val="20"/>
        </w:rPr>
      </w:pPr>
      <w:r w:rsidRPr="00FF5D18">
        <w:rPr>
          <w:rFonts w:asciiTheme="minorHAnsi" w:hAnsiTheme="minorHAnsi" w:cstheme="minorHAnsi"/>
          <w:sz w:val="20"/>
          <w:szCs w:val="20"/>
        </w:rPr>
        <w:t>3.1.3.11. Asignación de fondos semilla para apalancar recursos adicionales provenientes de fondos de biodiversidad, instrumentos de financiamiento climático, esquemas de PSE y fondos comunitarios rotativos.</w:t>
      </w:r>
    </w:p>
    <w:p w14:paraId="56201B6B" w14:textId="77777777" w:rsidR="00DE7F57" w:rsidRPr="00D830D9" w:rsidRDefault="00DE7F57" w:rsidP="00AF2738">
      <w:pPr>
        <w:jc w:val="both"/>
        <w:rPr>
          <w:rFonts w:asciiTheme="minorHAnsi" w:hAnsiTheme="minorHAnsi" w:cstheme="minorHAnsi"/>
          <w:b/>
          <w:bCs/>
          <w:sz w:val="20"/>
          <w:szCs w:val="20"/>
          <w:lang w:val="es-EC"/>
        </w:rPr>
      </w:pPr>
    </w:p>
    <w:p w14:paraId="24FDBF82" w14:textId="77777777" w:rsidR="00673047" w:rsidRPr="00673047" w:rsidRDefault="00673047" w:rsidP="00673047">
      <w:pPr>
        <w:pStyle w:val="Ttulo3"/>
        <w:rPr>
          <w:rFonts w:asciiTheme="minorHAnsi" w:eastAsia="Times New Roman" w:hAnsiTheme="minorHAnsi" w:cstheme="minorHAnsi"/>
          <w:b/>
          <w:bCs/>
          <w:color w:val="auto"/>
          <w:sz w:val="20"/>
          <w:szCs w:val="20"/>
        </w:rPr>
      </w:pPr>
      <w:r w:rsidRPr="00673047">
        <w:rPr>
          <w:rFonts w:asciiTheme="minorHAnsi" w:eastAsia="Times New Roman" w:hAnsiTheme="minorHAnsi" w:cstheme="minorHAnsi"/>
          <w:b/>
          <w:bCs/>
          <w:color w:val="auto"/>
          <w:sz w:val="20"/>
          <w:szCs w:val="20"/>
        </w:rPr>
        <w:t>3.1.4 Expansión y promoción de productos y servicios financieros que apoyen la igualdad de género con instituciones financieras y actores locales</w:t>
      </w:r>
    </w:p>
    <w:p w14:paraId="35A8B106" w14:textId="19998861" w:rsidR="00673047" w:rsidRPr="00673047" w:rsidRDefault="00673047"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673047">
        <w:rPr>
          <w:rFonts w:asciiTheme="minorHAnsi" w:eastAsia="SimSun" w:hAnsiTheme="minorHAnsi" w:cstheme="minorHAnsi"/>
          <w:iCs/>
          <w:sz w:val="20"/>
          <w:szCs w:val="20"/>
        </w:rPr>
        <w:t xml:space="preserve">Este producto tiene como objetivo </w:t>
      </w:r>
      <w:r>
        <w:rPr>
          <w:rFonts w:asciiTheme="minorHAnsi" w:eastAsia="SimSun" w:hAnsiTheme="minorHAnsi" w:cstheme="minorHAnsi"/>
          <w:iCs/>
          <w:sz w:val="20"/>
          <w:szCs w:val="20"/>
        </w:rPr>
        <w:t>ampliar</w:t>
      </w:r>
      <w:r w:rsidRPr="00673047">
        <w:rPr>
          <w:rFonts w:asciiTheme="minorHAnsi" w:eastAsia="SimSun" w:hAnsiTheme="minorHAnsi" w:cstheme="minorHAnsi"/>
          <w:iCs/>
          <w:sz w:val="20"/>
          <w:szCs w:val="20"/>
        </w:rPr>
        <w:t xml:space="preserve"> y promover servicios financieros inclusivos que fomenten la igualdad de género y la sostenibilidad ambiental. A través de alianzas con instituciones financieras, se desarrollarán mecanismos innovadores de crédito, incentivos específicos para mujeres rurales, líneas verdes de financiamiento y modelos de inversión privada—con un enfoque en la conservación, la restauración y la bioeconomía—para fortalecer la gobernanza financiera y la resiliencia territorial.</w:t>
      </w:r>
    </w:p>
    <w:p w14:paraId="239C0202"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3.1.4.1. Promover mecanismos financieros innovadores identificados por BIOFIN y el Centro de Finanzas Sostenibles del PNUD, para mejorar el acceso al crédito de las mujeres y pequeños/as productores/as rurales.</w:t>
      </w:r>
    </w:p>
    <w:p w14:paraId="3305BD80"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3.1.4.2. Fortalecer los sistemas de garantías solidarias e incorporar incentivos financieros específicos para mujeres rurales.</w:t>
      </w:r>
    </w:p>
    <w:p w14:paraId="7E43A8DE"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3.1.4.3. Reducir las barreras de acceso al crédito para mujeres rurales mediante líneas de crédito como el programa “Súper Mujer Rural” de BanEcuador.</w:t>
      </w:r>
    </w:p>
    <w:p w14:paraId="04B256E5"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3.1.4.4. Complementar estas líneas de crédito con formación en gestión financiera e inversión, en colaboración con CONAFIPS.</w:t>
      </w:r>
    </w:p>
    <w:p w14:paraId="48BC479D" w14:textId="470154A6"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 xml:space="preserve">3.1.4.5. Fomentar la inversión privada en conservación y restauración mediante el uso de incentivos tributarios, como los establecidos en el Acuerdo Ministerial </w:t>
      </w:r>
      <w:r w:rsidR="00CE355A">
        <w:rPr>
          <w:rFonts w:asciiTheme="minorHAnsi" w:hAnsiTheme="minorHAnsi" w:cstheme="minorHAnsi"/>
          <w:sz w:val="20"/>
          <w:szCs w:val="20"/>
        </w:rPr>
        <w:t>MAE</w:t>
      </w:r>
      <w:r w:rsidRPr="00673047">
        <w:rPr>
          <w:rFonts w:asciiTheme="minorHAnsi" w:hAnsiTheme="minorHAnsi" w:cstheme="minorHAnsi"/>
          <w:sz w:val="20"/>
          <w:szCs w:val="20"/>
        </w:rPr>
        <w:t xml:space="preserve"> 2022-113 (doble</w:t>
      </w:r>
      <w:r w:rsidR="00CE355A">
        <w:rPr>
          <w:rFonts w:asciiTheme="minorHAnsi" w:hAnsiTheme="minorHAnsi" w:cstheme="minorHAnsi"/>
          <w:sz w:val="20"/>
          <w:szCs w:val="20"/>
        </w:rPr>
        <w:t xml:space="preserve"> </w:t>
      </w:r>
      <w:r w:rsidR="00CE355A" w:rsidRPr="00673047">
        <w:rPr>
          <w:rFonts w:asciiTheme="minorHAnsi" w:hAnsiTheme="minorHAnsi" w:cstheme="minorHAnsi"/>
          <w:sz w:val="20"/>
          <w:szCs w:val="20"/>
        </w:rPr>
        <w:t>deducibilidad</w:t>
      </w:r>
      <w:r w:rsidRPr="00673047">
        <w:rPr>
          <w:rFonts w:asciiTheme="minorHAnsi" w:hAnsiTheme="minorHAnsi" w:cstheme="minorHAnsi"/>
          <w:sz w:val="20"/>
          <w:szCs w:val="20"/>
        </w:rPr>
        <w:t>).</w:t>
      </w:r>
    </w:p>
    <w:p w14:paraId="7A142341"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3.1.4.6. Facilitar el acceso a créditos verdes e incentivar la aplicación de buenas prácticas agroforestales y de conservación.</w:t>
      </w:r>
    </w:p>
    <w:p w14:paraId="719970EB"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3.1.4.7. Establecer una línea de incentivos financieros basada en la Responsabilidad Social y Ambiental Empresarial (RSE) dentro del mecanismo de sostenibilidad coordinado por FODESNA, CTEA, FILAC, FBCA y FONAG.</w:t>
      </w:r>
    </w:p>
    <w:p w14:paraId="268DCE66"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3.1.4.8. Canalizar recursos privados y corporativos hacia iniciativas de conservación, restauración, gestión de paisajes y protección de fuentes hídricas, conforme a las actividades definidas en los productos 1.1.3, 2.1.3, 2.2.2, 2.2.3 y 3.1.3, garantizando alineación con las prioridades territoriales y fortaleciendo la sostenibilidad de los resultados del proyecto.</w:t>
      </w:r>
    </w:p>
    <w:p w14:paraId="2933EF9B"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 xml:space="preserve">3.1.4.9. Utilizar casos exitosos de RSE, como SACHA </w:t>
      </w:r>
      <w:proofErr w:type="spellStart"/>
      <w:r w:rsidRPr="00673047">
        <w:rPr>
          <w:rFonts w:asciiTheme="minorHAnsi" w:hAnsiTheme="minorHAnsi" w:cstheme="minorHAnsi"/>
          <w:sz w:val="20"/>
          <w:szCs w:val="20"/>
        </w:rPr>
        <w:t>Lodge</w:t>
      </w:r>
      <w:proofErr w:type="spellEnd"/>
      <w:r w:rsidRPr="00673047">
        <w:rPr>
          <w:rFonts w:asciiTheme="minorHAnsi" w:hAnsiTheme="minorHAnsi" w:cstheme="minorHAnsi"/>
          <w:sz w:val="20"/>
          <w:szCs w:val="20"/>
        </w:rPr>
        <w:t> (con el acompañamiento de HIVOS), como modelos para su réplica territorial.</w:t>
      </w:r>
    </w:p>
    <w:p w14:paraId="487BCAE6"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 xml:space="preserve">3.1.4.10. Alinear las inversiones privadas con los Planes de Vida, </w:t>
      </w:r>
      <w:proofErr w:type="spellStart"/>
      <w:r w:rsidRPr="00673047">
        <w:rPr>
          <w:rFonts w:asciiTheme="minorHAnsi" w:hAnsiTheme="minorHAnsi" w:cstheme="minorHAnsi"/>
          <w:sz w:val="20"/>
          <w:szCs w:val="20"/>
        </w:rPr>
        <w:t>PDOTs</w:t>
      </w:r>
      <w:proofErr w:type="spellEnd"/>
      <w:r w:rsidRPr="00673047">
        <w:rPr>
          <w:rFonts w:asciiTheme="minorHAnsi" w:hAnsiTheme="minorHAnsi" w:cstheme="minorHAnsi"/>
          <w:sz w:val="20"/>
          <w:szCs w:val="20"/>
        </w:rPr>
        <w:t xml:space="preserve">, </w:t>
      </w:r>
      <w:proofErr w:type="spellStart"/>
      <w:r w:rsidRPr="00673047">
        <w:rPr>
          <w:rFonts w:asciiTheme="minorHAnsi" w:hAnsiTheme="minorHAnsi" w:cstheme="minorHAnsi"/>
          <w:sz w:val="20"/>
          <w:szCs w:val="20"/>
        </w:rPr>
        <w:t>PUGSs</w:t>
      </w:r>
      <w:proofErr w:type="spellEnd"/>
      <w:r w:rsidRPr="00673047">
        <w:rPr>
          <w:rFonts w:asciiTheme="minorHAnsi" w:hAnsiTheme="minorHAnsi" w:cstheme="minorHAnsi"/>
          <w:sz w:val="20"/>
          <w:szCs w:val="20"/>
        </w:rPr>
        <w:t> y proyectos territoriales pertinentes, en particular con los productos 1.1.3 y 3.1.3.</w:t>
      </w:r>
    </w:p>
    <w:p w14:paraId="5023BF3B"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3.1.4.11. Promover enfoques de bioeconomía, la implementación de la Taxonomía Verde y el cumplimiento de criterios ESG (ambientales, sociales y de gobernanza), a través de procesos de sensibilización, capacitación y adopción institucional, con el fin de fortalecer la gobernanza ambiental y la toma de decisiones informadas por parte de actores públicos, privados y comunitarios.</w:t>
      </w:r>
    </w:p>
    <w:p w14:paraId="066C26EF" w14:textId="77777777" w:rsidR="00673047" w:rsidRPr="00673047" w:rsidRDefault="00673047" w:rsidP="00673047">
      <w:pPr>
        <w:ind w:left="360"/>
        <w:jc w:val="both"/>
        <w:rPr>
          <w:rFonts w:asciiTheme="minorHAnsi" w:hAnsiTheme="minorHAnsi" w:cstheme="minorHAnsi"/>
          <w:sz w:val="20"/>
          <w:szCs w:val="20"/>
        </w:rPr>
      </w:pPr>
      <w:r w:rsidRPr="00673047">
        <w:rPr>
          <w:rFonts w:asciiTheme="minorHAnsi" w:hAnsiTheme="minorHAnsi" w:cstheme="minorHAnsi"/>
          <w:sz w:val="20"/>
          <w:szCs w:val="20"/>
        </w:rPr>
        <w:t xml:space="preserve">3.1.4.12. Institucionalizar y escalar los mecanismos financieros desarrollados en este producto mediante su integración en instrumentos locales de planificación (Planes de Vida, </w:t>
      </w:r>
      <w:proofErr w:type="spellStart"/>
      <w:r w:rsidRPr="00673047">
        <w:rPr>
          <w:rFonts w:asciiTheme="minorHAnsi" w:hAnsiTheme="minorHAnsi" w:cstheme="minorHAnsi"/>
          <w:sz w:val="20"/>
          <w:szCs w:val="20"/>
        </w:rPr>
        <w:t>PDOTs</w:t>
      </w:r>
      <w:proofErr w:type="spellEnd"/>
      <w:r w:rsidRPr="00673047">
        <w:rPr>
          <w:rFonts w:asciiTheme="minorHAnsi" w:hAnsiTheme="minorHAnsi" w:cstheme="minorHAnsi"/>
          <w:sz w:val="20"/>
          <w:szCs w:val="20"/>
        </w:rPr>
        <w:t xml:space="preserve">, </w:t>
      </w:r>
      <w:proofErr w:type="spellStart"/>
      <w:r w:rsidRPr="00673047">
        <w:rPr>
          <w:rFonts w:asciiTheme="minorHAnsi" w:hAnsiTheme="minorHAnsi" w:cstheme="minorHAnsi"/>
          <w:sz w:val="20"/>
          <w:szCs w:val="20"/>
        </w:rPr>
        <w:t>PUGSs</w:t>
      </w:r>
      <w:proofErr w:type="spellEnd"/>
      <w:r w:rsidRPr="00673047">
        <w:rPr>
          <w:rFonts w:asciiTheme="minorHAnsi" w:hAnsiTheme="minorHAnsi" w:cstheme="minorHAnsi"/>
          <w:sz w:val="20"/>
          <w:szCs w:val="20"/>
        </w:rPr>
        <w:t xml:space="preserve">) y su alineación con las estructuras de gobernanza territorial, como FODESNA y los acuerdos de </w:t>
      </w:r>
      <w:proofErr w:type="spellStart"/>
      <w:r w:rsidRPr="00673047">
        <w:rPr>
          <w:rFonts w:asciiTheme="minorHAnsi" w:hAnsiTheme="minorHAnsi" w:cstheme="minorHAnsi"/>
          <w:sz w:val="20"/>
          <w:szCs w:val="20"/>
        </w:rPr>
        <w:t>co-manejo</w:t>
      </w:r>
      <w:proofErr w:type="spellEnd"/>
      <w:r w:rsidRPr="00673047">
        <w:rPr>
          <w:rFonts w:asciiTheme="minorHAnsi" w:hAnsiTheme="minorHAnsi" w:cstheme="minorHAnsi"/>
          <w:sz w:val="20"/>
          <w:szCs w:val="20"/>
        </w:rPr>
        <w:t> establecidos en los productos 1.1.2 y 1.1.3. Esto contribuirá a fortalecer la sostenibilidad financiera de largo plazo, la gobernanza territorial y la resiliencia frente a riesgos climáticos y ecosistémicos.</w:t>
      </w:r>
    </w:p>
    <w:p w14:paraId="317C60A9" w14:textId="77777777" w:rsidR="00DE7F57" w:rsidRDefault="00DE7F57" w:rsidP="00AF2738">
      <w:pPr>
        <w:jc w:val="both"/>
        <w:rPr>
          <w:rFonts w:asciiTheme="minorHAnsi" w:hAnsiTheme="minorHAnsi" w:cstheme="minorHAnsi"/>
          <w:b/>
          <w:bCs/>
          <w:sz w:val="20"/>
          <w:szCs w:val="20"/>
        </w:rPr>
      </w:pPr>
    </w:p>
    <w:p w14:paraId="18E65D70" w14:textId="77777777" w:rsidR="00E730E2" w:rsidRPr="00E730E2" w:rsidRDefault="00E730E2" w:rsidP="00E730E2">
      <w:pPr>
        <w:pStyle w:val="Ttulo3"/>
        <w:rPr>
          <w:rFonts w:asciiTheme="minorHAnsi" w:eastAsia="Times New Roman" w:hAnsiTheme="minorHAnsi" w:cstheme="minorHAnsi"/>
          <w:b/>
          <w:bCs/>
          <w:color w:val="auto"/>
          <w:sz w:val="20"/>
          <w:szCs w:val="20"/>
        </w:rPr>
      </w:pPr>
      <w:r w:rsidRPr="00E730E2">
        <w:rPr>
          <w:rFonts w:asciiTheme="minorHAnsi" w:eastAsia="Times New Roman" w:hAnsiTheme="minorHAnsi" w:cstheme="minorHAnsi"/>
          <w:b/>
          <w:bCs/>
          <w:color w:val="auto"/>
          <w:sz w:val="20"/>
          <w:szCs w:val="20"/>
        </w:rPr>
        <w:lastRenderedPageBreak/>
        <w:t>3.1.5 Acuerdos comerciales nacionales e internacionales que beneficien a productos sostenibles y a la producción liderada por mujeres</w:t>
      </w:r>
    </w:p>
    <w:p w14:paraId="589B611C" w14:textId="2EFDDB78" w:rsidR="00E730E2" w:rsidRPr="00E730E2" w:rsidRDefault="00E730E2"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E730E2">
        <w:rPr>
          <w:rFonts w:asciiTheme="minorHAnsi" w:eastAsia="SimSun" w:hAnsiTheme="minorHAnsi" w:cstheme="minorHAnsi"/>
          <w:iCs/>
          <w:sz w:val="20"/>
          <w:szCs w:val="20"/>
        </w:rPr>
        <w:t>Este producto tiene como objetivo establecer y promover acuerdos comerciales que faciliten el acceso a mercados nacionales e internacionales diferenciados para productos sostenibles liderados por mujeres y comunidades indígenas. A través del fortalecimiento de cadenas de valor inclusivas, la alineación con marcos normativos territoriales, y la implementación de estrategias de certificación, comunicación y formación, estas iniciativas serán posicionadas dentro de esquemas de comercio justo y bioeconomía.</w:t>
      </w:r>
    </w:p>
    <w:p w14:paraId="5BE95DB1"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3.1.5.1. Facilitar el desarrollo de alianzas comerciales a nivel nacional e internacional y definir estrategias para fortalecer la comercialización y el acceso a mercados de productos sostenibles. Esto incluye el establecimiento de marcos de colaboración con aliados como </w:t>
      </w:r>
      <w:proofErr w:type="spellStart"/>
      <w:r w:rsidRPr="00E730E2">
        <w:rPr>
          <w:rFonts w:asciiTheme="minorHAnsi" w:hAnsiTheme="minorHAnsi" w:cstheme="minorHAnsi"/>
          <w:sz w:val="20"/>
          <w:szCs w:val="20"/>
        </w:rPr>
        <w:t>Rikolto</w:t>
      </w:r>
      <w:proofErr w:type="spellEnd"/>
      <w:r w:rsidRPr="00E730E2">
        <w:rPr>
          <w:rFonts w:asciiTheme="minorHAnsi" w:hAnsiTheme="minorHAnsi" w:cstheme="minorHAnsi"/>
          <w:sz w:val="20"/>
          <w:szCs w:val="20"/>
        </w:rPr>
        <w:t xml:space="preserve"> Ecuador para cadenas de valor nacionales, y con plataformas como </w:t>
      </w:r>
      <w:proofErr w:type="spellStart"/>
      <w:r w:rsidRPr="00E730E2">
        <w:rPr>
          <w:rFonts w:asciiTheme="minorHAnsi" w:hAnsiTheme="minorHAnsi" w:cstheme="minorHAnsi"/>
          <w:sz w:val="20"/>
          <w:szCs w:val="20"/>
        </w:rPr>
        <w:t>Rainforest</w:t>
      </w:r>
      <w:proofErr w:type="spellEnd"/>
      <w:r w:rsidRPr="00E730E2">
        <w:rPr>
          <w:rFonts w:asciiTheme="minorHAnsi" w:hAnsiTheme="minorHAnsi" w:cstheme="minorHAnsi"/>
          <w:sz w:val="20"/>
          <w:szCs w:val="20"/>
        </w:rPr>
        <w:t xml:space="preserve"> Alliance y </w:t>
      </w:r>
      <w:proofErr w:type="spellStart"/>
      <w:r w:rsidRPr="00E730E2">
        <w:rPr>
          <w:rFonts w:asciiTheme="minorHAnsi" w:hAnsiTheme="minorHAnsi" w:cstheme="minorHAnsi"/>
          <w:sz w:val="20"/>
          <w:szCs w:val="20"/>
        </w:rPr>
        <w:t>Fair</w:t>
      </w:r>
      <w:proofErr w:type="spellEnd"/>
      <w:r w:rsidRPr="00E730E2">
        <w:rPr>
          <w:rFonts w:asciiTheme="minorHAnsi" w:hAnsiTheme="minorHAnsi" w:cstheme="minorHAnsi"/>
          <w:sz w:val="20"/>
          <w:szCs w:val="20"/>
        </w:rPr>
        <w:t xml:space="preserve"> </w:t>
      </w:r>
      <w:proofErr w:type="spellStart"/>
      <w:r w:rsidRPr="00E730E2">
        <w:rPr>
          <w:rFonts w:asciiTheme="minorHAnsi" w:hAnsiTheme="minorHAnsi" w:cstheme="minorHAnsi"/>
          <w:sz w:val="20"/>
          <w:szCs w:val="20"/>
        </w:rPr>
        <w:t>Trade</w:t>
      </w:r>
      <w:proofErr w:type="spellEnd"/>
      <w:r w:rsidRPr="00E730E2">
        <w:rPr>
          <w:rFonts w:asciiTheme="minorHAnsi" w:hAnsiTheme="minorHAnsi" w:cstheme="minorHAnsi"/>
          <w:sz w:val="20"/>
          <w:szCs w:val="20"/>
        </w:rPr>
        <w:t xml:space="preserve"> International para certificaciones futuras e integración a mercados de comercio justo.</w:t>
      </w:r>
    </w:p>
    <w:p w14:paraId="22BC2612"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3.1.5.2. Priorizar en los acuerdos comerciales los productos liderados por mujeres y pueblos indígenas. Se destacan ejemplos como: la producción agroforestal de la Asociación Tsapau (mujeres Shuar), artesanías de semillas nativas de Yamanunka, alimentos procesados a base de chontaduro por </w:t>
      </w:r>
      <w:proofErr w:type="spellStart"/>
      <w:r w:rsidRPr="00E730E2">
        <w:rPr>
          <w:rFonts w:asciiTheme="minorHAnsi" w:hAnsiTheme="minorHAnsi" w:cstheme="minorHAnsi"/>
          <w:sz w:val="20"/>
          <w:szCs w:val="20"/>
        </w:rPr>
        <w:t>Challwa</w:t>
      </w:r>
      <w:proofErr w:type="spellEnd"/>
      <w:r w:rsidRPr="00E730E2">
        <w:rPr>
          <w:rFonts w:asciiTheme="minorHAnsi" w:hAnsiTheme="minorHAnsi" w:cstheme="minorHAnsi"/>
          <w:sz w:val="20"/>
          <w:szCs w:val="20"/>
        </w:rPr>
        <w:t xml:space="preserve"> </w:t>
      </w:r>
      <w:proofErr w:type="spellStart"/>
      <w:r w:rsidRPr="00E730E2">
        <w:rPr>
          <w:rFonts w:asciiTheme="minorHAnsi" w:hAnsiTheme="minorHAnsi" w:cstheme="minorHAnsi"/>
          <w:sz w:val="20"/>
          <w:szCs w:val="20"/>
        </w:rPr>
        <w:t>Mikuna</w:t>
      </w:r>
      <w:proofErr w:type="spellEnd"/>
      <w:r w:rsidRPr="00E730E2">
        <w:rPr>
          <w:rFonts w:asciiTheme="minorHAnsi" w:hAnsiTheme="minorHAnsi" w:cstheme="minorHAnsi"/>
          <w:sz w:val="20"/>
          <w:szCs w:val="20"/>
        </w:rPr>
        <w:t xml:space="preserve">, y el trabajo territorial de la Guardia Indígena </w:t>
      </w:r>
      <w:proofErr w:type="spellStart"/>
      <w:r w:rsidRPr="00E730E2">
        <w:rPr>
          <w:rFonts w:asciiTheme="minorHAnsi" w:hAnsiTheme="minorHAnsi" w:cstheme="minorHAnsi"/>
          <w:sz w:val="20"/>
          <w:szCs w:val="20"/>
        </w:rPr>
        <w:t>Yuturi</w:t>
      </w:r>
      <w:proofErr w:type="spellEnd"/>
      <w:r w:rsidRPr="00E730E2">
        <w:rPr>
          <w:rFonts w:asciiTheme="minorHAnsi" w:hAnsiTheme="minorHAnsi" w:cstheme="minorHAnsi"/>
          <w:sz w:val="20"/>
          <w:szCs w:val="20"/>
        </w:rPr>
        <w:t xml:space="preserve"> </w:t>
      </w:r>
      <w:proofErr w:type="spellStart"/>
      <w:r w:rsidRPr="00E730E2">
        <w:rPr>
          <w:rFonts w:asciiTheme="minorHAnsi" w:hAnsiTheme="minorHAnsi" w:cstheme="minorHAnsi"/>
          <w:sz w:val="20"/>
          <w:szCs w:val="20"/>
        </w:rPr>
        <w:t>Warmi</w:t>
      </w:r>
      <w:proofErr w:type="spellEnd"/>
      <w:r w:rsidRPr="00E730E2">
        <w:rPr>
          <w:rFonts w:asciiTheme="minorHAnsi" w:hAnsiTheme="minorHAnsi" w:cstheme="minorHAnsi"/>
          <w:sz w:val="20"/>
          <w:szCs w:val="20"/>
        </w:rPr>
        <w:t>.</w:t>
      </w:r>
    </w:p>
    <w:p w14:paraId="270D410E"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 xml:space="preserve">3.1.5.3. Vincular los acuerdos de comercio sostenible al marco normativo y de planificación del Resultado 1.1, promoviendo la asociatividad productiva entre mujeres y comunidades indígenas basada en los Planes de Vida, </w:t>
      </w:r>
      <w:proofErr w:type="spellStart"/>
      <w:r w:rsidRPr="00E730E2">
        <w:rPr>
          <w:rFonts w:asciiTheme="minorHAnsi" w:hAnsiTheme="minorHAnsi" w:cstheme="minorHAnsi"/>
          <w:sz w:val="20"/>
          <w:szCs w:val="20"/>
        </w:rPr>
        <w:t>PDOTs</w:t>
      </w:r>
      <w:proofErr w:type="spellEnd"/>
      <w:r w:rsidRPr="00E730E2">
        <w:rPr>
          <w:rFonts w:asciiTheme="minorHAnsi" w:hAnsiTheme="minorHAnsi" w:cstheme="minorHAnsi"/>
          <w:sz w:val="20"/>
          <w:szCs w:val="20"/>
        </w:rPr>
        <w:t xml:space="preserve"> y </w:t>
      </w:r>
      <w:proofErr w:type="spellStart"/>
      <w:r w:rsidRPr="00E730E2">
        <w:rPr>
          <w:rFonts w:asciiTheme="minorHAnsi" w:hAnsiTheme="minorHAnsi" w:cstheme="minorHAnsi"/>
          <w:sz w:val="20"/>
          <w:szCs w:val="20"/>
        </w:rPr>
        <w:t>PUGSs</w:t>
      </w:r>
      <w:proofErr w:type="spellEnd"/>
      <w:r w:rsidRPr="00E730E2">
        <w:rPr>
          <w:rFonts w:asciiTheme="minorHAnsi" w:hAnsiTheme="minorHAnsi" w:cstheme="minorHAnsi"/>
          <w:sz w:val="20"/>
          <w:szCs w:val="20"/>
        </w:rPr>
        <w:t> (Actividad 1.1.1.4), y los mecanismos de </w:t>
      </w:r>
      <w:proofErr w:type="spellStart"/>
      <w:r w:rsidRPr="00E730E2">
        <w:rPr>
          <w:rFonts w:asciiTheme="minorHAnsi" w:hAnsiTheme="minorHAnsi" w:cstheme="minorHAnsi"/>
          <w:sz w:val="20"/>
          <w:szCs w:val="20"/>
        </w:rPr>
        <w:t>co-manejo</w:t>
      </w:r>
      <w:proofErr w:type="spellEnd"/>
      <w:r w:rsidRPr="00E730E2">
        <w:rPr>
          <w:rFonts w:asciiTheme="minorHAnsi" w:hAnsiTheme="minorHAnsi" w:cstheme="minorHAnsi"/>
          <w:sz w:val="20"/>
          <w:szCs w:val="20"/>
        </w:rPr>
        <w:t> (Actividad 1.1.2.1). Los productos priorizados estarán vinculados a iniciativas locales (Actividad 1.1.3.1).</w:t>
      </w:r>
    </w:p>
    <w:p w14:paraId="4285789F"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 xml:space="preserve">3.1.5.4. Fortalecer cadenas de valor sostenibles, tales como la acuicultura de especies nativas y la producción agroecológica bajo el modelo </w:t>
      </w:r>
      <w:proofErr w:type="spellStart"/>
      <w:r w:rsidRPr="00E730E2">
        <w:rPr>
          <w:rFonts w:asciiTheme="minorHAnsi" w:hAnsiTheme="minorHAnsi" w:cstheme="minorHAnsi"/>
          <w:sz w:val="20"/>
          <w:szCs w:val="20"/>
        </w:rPr>
        <w:t>Chakra</w:t>
      </w:r>
      <w:proofErr w:type="spellEnd"/>
      <w:r w:rsidRPr="00E730E2">
        <w:rPr>
          <w:rFonts w:asciiTheme="minorHAnsi" w:hAnsiTheme="minorHAnsi" w:cstheme="minorHAnsi"/>
          <w:sz w:val="20"/>
          <w:szCs w:val="20"/>
        </w:rPr>
        <w:t>.</w:t>
      </w:r>
    </w:p>
    <w:p w14:paraId="157150FE"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3.1.5.5. Desarrollar formación accesible en comercio electrónico y comercio tradicional, vinculando los contenidos del Producto 3.1.5 con el programa de formación en mecanismos financieros (Producto 3.1.1). Las capacitaciones incluirán contenidos sobre cadenas de valor sostenibles, bioeconomía, equidad de género e interseccionalidad, dirigidos a mujeres, jóvenes y comunidades indígenas.</w:t>
      </w:r>
    </w:p>
    <w:p w14:paraId="373CE2F6"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3.1.5.6. Facilitar el acceso a certificaciones de sostenibilidad nacionales e internacionales, alineadas con la normativa de propiedad intelectual (SENADI).</w:t>
      </w:r>
    </w:p>
    <w:p w14:paraId="35DBC42B"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3.1.5.7. Desarrollar y fortalecer sellos de identificación que destaquen los productos sostenibles y liderados por mujeres.</w:t>
      </w:r>
    </w:p>
    <w:p w14:paraId="4B01866E"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3.1.5.8. Lanzar campañas de comunicación para promover las historias de mujeres productoras y consolidar modelos de comercio justo.</w:t>
      </w:r>
    </w:p>
    <w:p w14:paraId="148EF784" w14:textId="77777777" w:rsidR="00E730E2" w:rsidRPr="00E730E2" w:rsidRDefault="00E730E2" w:rsidP="00E730E2">
      <w:pPr>
        <w:ind w:left="360"/>
        <w:jc w:val="both"/>
        <w:rPr>
          <w:rFonts w:asciiTheme="minorHAnsi" w:hAnsiTheme="minorHAnsi" w:cstheme="minorHAnsi"/>
          <w:sz w:val="20"/>
          <w:szCs w:val="20"/>
        </w:rPr>
      </w:pPr>
      <w:r w:rsidRPr="00E730E2">
        <w:rPr>
          <w:rFonts w:asciiTheme="minorHAnsi" w:hAnsiTheme="minorHAnsi" w:cstheme="minorHAnsi"/>
          <w:sz w:val="20"/>
          <w:szCs w:val="20"/>
        </w:rPr>
        <w:t>3.1.5.9. Sistematizar y difundir casos exitosos y experiencias en comercialización sostenible y liderazgo femenino para apoyar la toma de decisiones informada y la apropiación local.</w:t>
      </w:r>
    </w:p>
    <w:p w14:paraId="6D9A25F4" w14:textId="77777777" w:rsidR="00DE7F57" w:rsidRDefault="00DE7F57" w:rsidP="00AF2738">
      <w:pPr>
        <w:jc w:val="both"/>
        <w:rPr>
          <w:rFonts w:asciiTheme="minorHAnsi" w:hAnsiTheme="minorHAnsi" w:cstheme="minorHAnsi"/>
          <w:b/>
          <w:bCs/>
          <w:sz w:val="20"/>
          <w:szCs w:val="20"/>
        </w:rPr>
      </w:pPr>
    </w:p>
    <w:p w14:paraId="19615309" w14:textId="77777777" w:rsidR="00E730E2" w:rsidRDefault="00E730E2" w:rsidP="00AF2738">
      <w:pPr>
        <w:jc w:val="both"/>
        <w:rPr>
          <w:rFonts w:asciiTheme="minorHAnsi" w:hAnsiTheme="minorHAnsi" w:cstheme="minorHAnsi"/>
          <w:b/>
          <w:bCs/>
          <w:sz w:val="20"/>
          <w:szCs w:val="20"/>
        </w:rPr>
      </w:pPr>
    </w:p>
    <w:p w14:paraId="7973C0FE" w14:textId="021C7902" w:rsidR="00835153" w:rsidRPr="00D34005" w:rsidRDefault="00835153" w:rsidP="00D34005">
      <w:pPr>
        <w:jc w:val="both"/>
        <w:rPr>
          <w:rFonts w:asciiTheme="minorHAnsi" w:hAnsiTheme="minorHAnsi" w:cstheme="minorHAnsi"/>
          <w:b/>
          <w:bCs/>
          <w:sz w:val="20"/>
          <w:szCs w:val="20"/>
        </w:rPr>
      </w:pPr>
      <w:r w:rsidRPr="00D34005">
        <w:rPr>
          <w:rFonts w:asciiTheme="minorHAnsi" w:hAnsiTheme="minorHAnsi" w:cstheme="minorHAnsi"/>
          <w:b/>
          <w:bCs/>
          <w:sz w:val="20"/>
          <w:szCs w:val="20"/>
        </w:rPr>
        <w:t>Componente 4: Gestión del conocimiento mediante fortalecimiento de capacidades y comunicación</w:t>
      </w:r>
      <w:r w:rsidR="00D34005">
        <w:rPr>
          <w:rStyle w:val="Refdenotaalpie"/>
          <w:rFonts w:asciiTheme="minorHAnsi" w:hAnsiTheme="minorHAnsi" w:cstheme="minorHAnsi"/>
          <w:b/>
          <w:bCs/>
          <w:sz w:val="20"/>
          <w:szCs w:val="20"/>
        </w:rPr>
        <w:footnoteReference w:id="8"/>
      </w:r>
    </w:p>
    <w:p w14:paraId="68BFD92A" w14:textId="1121E196" w:rsidR="00835153" w:rsidRPr="00D34005" w:rsidRDefault="00835153"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D34005">
        <w:rPr>
          <w:rFonts w:asciiTheme="minorHAnsi" w:eastAsia="SimSun" w:hAnsiTheme="minorHAnsi" w:cstheme="minorHAnsi"/>
          <w:iCs/>
          <w:sz w:val="20"/>
          <w:szCs w:val="20"/>
        </w:rPr>
        <w:t>Este componente integra la recolección, sistematización, difusión y uso de información ambiental, climática, social y de género en todo el proyecto para apoyar la toma de decisiones informada. A través de plataformas virtuales, estrategias de comunicación inclusiva y programas de formación, el componente busca empoderar a los actores locales, mejorar la planificación territorial y facilitar el acceso a financiamiento basado en evidencia.</w:t>
      </w:r>
    </w:p>
    <w:p w14:paraId="22FB1B11" w14:textId="46DC95F7" w:rsidR="00835153" w:rsidRDefault="00835153" w:rsidP="00835153"/>
    <w:p w14:paraId="164A29DA" w14:textId="77777777" w:rsidR="00835153" w:rsidRPr="00D34005" w:rsidRDefault="00835153" w:rsidP="00D34005">
      <w:pPr>
        <w:jc w:val="both"/>
        <w:rPr>
          <w:rFonts w:asciiTheme="minorHAnsi" w:hAnsiTheme="minorHAnsi" w:cstheme="minorHAnsi"/>
          <w:b/>
          <w:bCs/>
          <w:sz w:val="20"/>
          <w:szCs w:val="20"/>
        </w:rPr>
      </w:pPr>
      <w:r w:rsidRPr="00D34005">
        <w:rPr>
          <w:rFonts w:asciiTheme="minorHAnsi" w:hAnsiTheme="minorHAnsi" w:cstheme="minorHAnsi"/>
          <w:b/>
          <w:bCs/>
          <w:sz w:val="20"/>
          <w:szCs w:val="20"/>
        </w:rPr>
        <w:lastRenderedPageBreak/>
        <w:t>Resultado 4.1: Gestión del conocimiento para la toma de decisiones informada y el empoderamiento de los actores</w:t>
      </w:r>
    </w:p>
    <w:p w14:paraId="36345F65" w14:textId="77777777" w:rsidR="00835153" w:rsidRPr="00D34005" w:rsidRDefault="00835153" w:rsidP="00D34005">
      <w:pPr>
        <w:jc w:val="both"/>
        <w:rPr>
          <w:rFonts w:asciiTheme="minorHAnsi" w:hAnsiTheme="minorHAnsi" w:cstheme="minorHAnsi"/>
          <w:b/>
          <w:bCs/>
          <w:sz w:val="20"/>
          <w:szCs w:val="20"/>
        </w:rPr>
      </w:pPr>
      <w:r w:rsidRPr="00D34005">
        <w:rPr>
          <w:rFonts w:asciiTheme="minorHAnsi" w:hAnsiTheme="minorHAnsi" w:cstheme="minorHAnsi"/>
          <w:b/>
          <w:bCs/>
          <w:sz w:val="20"/>
          <w:szCs w:val="20"/>
        </w:rPr>
        <w:t>4.1.1. Programa de fortalecimiento de capacidades y formación sobre neutralidad en la degradación de la tierra (NDT), cambio climático, biodiversidad, igualdad de género (incluidas las masculinidades) e interseccionalidad – plataforma de aprendizaje virtual diseñada e implementada</w:t>
      </w:r>
    </w:p>
    <w:p w14:paraId="123C7F4F" w14:textId="50868666" w:rsidR="00835153" w:rsidRPr="00D34005" w:rsidRDefault="00835153"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D34005">
        <w:rPr>
          <w:rFonts w:asciiTheme="minorHAnsi" w:eastAsia="SimSun" w:hAnsiTheme="minorHAnsi" w:cstheme="minorHAnsi"/>
          <w:iCs/>
          <w:sz w:val="20"/>
          <w:szCs w:val="20"/>
        </w:rPr>
        <w:t>Este producto tiene como objetivo fortalecer las capacidades de los actores locales, personal técnico y responsables de la toma de decisiones mediante un programa integral de formación que aborde la NDT, el cambio climático, la biodiversidad, la equidad de género (incluidas las masculinidades) y la interseccionalidad. Se desarrollará e implementará una plataforma virtual de aprendizaje (e-learning) para proporcionar acceso a contenidos técnicos y socioculturales, integrando herramientas como el SAT, módulos de gobernanza del agua, metodologías sensibles al género, restauración y manejo sostenible del paisaje.</w:t>
      </w:r>
    </w:p>
    <w:p w14:paraId="35ECB678" w14:textId="31072EC5" w:rsidR="00835153" w:rsidRPr="00D34005" w:rsidRDefault="00835153"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D34005">
        <w:rPr>
          <w:rFonts w:asciiTheme="minorHAnsi" w:eastAsia="SimSun" w:hAnsiTheme="minorHAnsi" w:cstheme="minorHAnsi"/>
          <w:iCs/>
          <w:sz w:val="20"/>
          <w:szCs w:val="20"/>
        </w:rPr>
        <w:t>Esta plataforma servirá como una herramienta transversal de gestión del conocimiento que complementará las actividades de formación desarrolladas en otros productos del proyecto—específicamente: el Producto 2.1.2, enfocado en la formación técnica en restauración, monitoreo y conservación de ecosistemas degradados; el Producto 2.2.1, que proporciona capacitación práctica a productores agroforestales y ganaderos sobre prácticas de MSL/MSF y resiliencia climática; y el Producto 3.1.1, que ofrece formación financiera para mejorar el acceso a mecanismos de financiamiento climático, con énfasis en la equidad de género y el fortalecimiento institucional.</w:t>
      </w:r>
    </w:p>
    <w:p w14:paraId="5520D8FB" w14:textId="43C2CE20" w:rsidR="00835153" w:rsidRPr="00D34005" w:rsidRDefault="00835153"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D34005">
        <w:rPr>
          <w:rFonts w:asciiTheme="minorHAnsi" w:eastAsia="SimSun" w:hAnsiTheme="minorHAnsi" w:cstheme="minorHAnsi"/>
          <w:iCs/>
          <w:sz w:val="20"/>
          <w:szCs w:val="20"/>
        </w:rPr>
        <w:t>Al sistematizar el contenido generado en estos productos, la plataforma virtual ampliará el acceso, garantizará coherencia, evitará duplicaciones y reforzará la adopción de prácticas de manejo integrado del paisaje entre jóvenes, mujeres, pueblos indígenas e instituciones locales.</w:t>
      </w:r>
    </w:p>
    <w:p w14:paraId="683108A5" w14:textId="7B9A0452" w:rsidR="00835153" w:rsidRDefault="00835153" w:rsidP="00835153"/>
    <w:p w14:paraId="0A431D32"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4.1.1.1. Diseñar e implementar un programa integral de desarrollo de capacidades y formación sobre NDT, cambio climático, biodiversidad, género e interseccionalidad.</w:t>
      </w:r>
    </w:p>
    <w:p w14:paraId="4BC3BC10"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4.1.1.2. Desarrollar e implementar una plataforma virtual de aprendizaje accesible para actores locales, personal técnico y tomadores de decisiones.</w:t>
      </w:r>
    </w:p>
    <w:p w14:paraId="2F1294CB"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4.1.1.3. Integrar procesos de formación, sistematización y uso de información para fortalecer la toma de decisiones y el empoderamiento territorial.</w:t>
      </w:r>
    </w:p>
    <w:p w14:paraId="76E3078F" w14:textId="2C91D60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4.1.1.4. Incluir un módulo específico sobre igualdad de género y masculinidades transformadoras, basado en el PAG.</w:t>
      </w:r>
    </w:p>
    <w:p w14:paraId="7EA5F4A7"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4.1.1.5. Integrar los programas de formación sobre restauración, MSL y agroforestería (Productos 2.1.2 y 2.2.1) en una estrategia formativa unificada, accesible y coherente que potencie las capacidades locales, evite duplicidades y garantice enfoques de género, interculturalidad y sostenibilidad.</w:t>
      </w:r>
    </w:p>
    <w:p w14:paraId="3FA7A6AD"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4.1.1.6. Desarrollar herramientas y métricas de gestión del conocimiento sensibles al género para evaluar y mejorar la apropiación del contenido por parte de mujeres y grupos diversos, contribuyendo a la generación de productos de comunicación y conocimiento adaptados, en línea con el Indicador 18 del Marco de Resultados.</w:t>
      </w:r>
    </w:p>
    <w:p w14:paraId="1DB20601"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4.1.1.7. Implementar la metodología de recolección de datos con enfoque de género (Producto 2.2.4), integrando sus resultados en los módulos de formación.</w:t>
      </w:r>
    </w:p>
    <w:p w14:paraId="519D0EF5"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4.1.1.8. Utilizar esta metodología para apoyar sistemas de monitoreo participativo y rastrear la adopción, aplicación y resultados del conocimiento técnico entre los componentes y beneficiarios del proyecto.</w:t>
      </w:r>
    </w:p>
    <w:p w14:paraId="1153A87F"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4.1.1.9. Integrar el Sistema de Alerta Temprana (SAT – Producto 4.1.2) como herramienta clave dentro del programa de desarrollo de capacidades, incorporándolo al contenido formativo sobre cambio climático, degradación de tierras y biodiversidad. Su inclusión en la plataforma e-learning respaldará la planificación territorial y la respuesta ante riesgos climáticos y ambientales, con enfoque de género e interseccionalidad.</w:t>
      </w:r>
    </w:p>
    <w:p w14:paraId="5173BB4B"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4.1.1.10. Fortalecer el monitoreo comunitario de la biodiversidad y los recursos hídricos mediante herramientas digitales y formación técnica, partiendo de los sistemas participativos existentes en los Componentes 1 y 2, mejorando la integración de datos, la planificación territorial y la toma de decisiones local.</w:t>
      </w:r>
    </w:p>
    <w:p w14:paraId="5FE51E0F"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 xml:space="preserve">4.1.1.11. Diseñar módulos de formación específicos sobre gobernanza del agua: uso del agua, prestación de servicios, participación comunitaria y planificación </w:t>
      </w:r>
      <w:proofErr w:type="spellStart"/>
      <w:r w:rsidRPr="00D34005">
        <w:rPr>
          <w:rFonts w:asciiTheme="minorHAnsi" w:hAnsiTheme="minorHAnsi" w:cstheme="minorHAnsi"/>
          <w:sz w:val="20"/>
          <w:szCs w:val="20"/>
        </w:rPr>
        <w:t>hidrosocial</w:t>
      </w:r>
      <w:proofErr w:type="spellEnd"/>
      <w:r w:rsidRPr="00D34005">
        <w:rPr>
          <w:rFonts w:asciiTheme="minorHAnsi" w:hAnsiTheme="minorHAnsi" w:cstheme="minorHAnsi"/>
          <w:sz w:val="20"/>
          <w:szCs w:val="20"/>
        </w:rPr>
        <w:t>.</w:t>
      </w:r>
    </w:p>
    <w:p w14:paraId="73BF2247" w14:textId="3C1BCAA9"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t>4.1.1.12. Facilitar la coordinación entre actores territoriales (</w:t>
      </w:r>
      <w:proofErr w:type="spellStart"/>
      <w:r w:rsidRPr="00D34005">
        <w:rPr>
          <w:rFonts w:asciiTheme="minorHAnsi" w:hAnsiTheme="minorHAnsi" w:cstheme="minorHAnsi"/>
          <w:sz w:val="20"/>
          <w:szCs w:val="20"/>
        </w:rPr>
        <w:t>GADs</w:t>
      </w:r>
      <w:proofErr w:type="spellEnd"/>
      <w:r w:rsidRPr="00D34005">
        <w:rPr>
          <w:rFonts w:asciiTheme="minorHAnsi" w:hAnsiTheme="minorHAnsi" w:cstheme="minorHAnsi"/>
          <w:sz w:val="20"/>
          <w:szCs w:val="20"/>
        </w:rPr>
        <w:t xml:space="preserve">, MAE, </w:t>
      </w:r>
      <w:r w:rsidR="000F0497" w:rsidRPr="000F0497">
        <w:rPr>
          <w:rFonts w:asciiTheme="minorHAnsi" w:hAnsiTheme="minorHAnsi" w:cstheme="minorHAnsi"/>
          <w:sz w:val="20"/>
          <w:szCs w:val="20"/>
        </w:rPr>
        <w:t>Agencia de Regulación y Control del Agua (ARCA)</w:t>
      </w:r>
      <w:r w:rsidRPr="00D34005">
        <w:rPr>
          <w:rFonts w:asciiTheme="minorHAnsi" w:hAnsiTheme="minorHAnsi" w:cstheme="minorHAnsi"/>
          <w:sz w:val="20"/>
          <w:szCs w:val="20"/>
        </w:rPr>
        <w:t>, comunidades) incorporando contenidos de gobernanza y planificación del agua en el programa de formación y la plataforma virtual, promoviendo una gestión colaborativa e informada de los recursos hídricos con enfoque de género, interculturalidad y sostenibilidad.</w:t>
      </w:r>
    </w:p>
    <w:p w14:paraId="0692EF2A" w14:textId="77777777" w:rsidR="00835153" w:rsidRPr="00D34005" w:rsidRDefault="00835153" w:rsidP="00D34005">
      <w:pPr>
        <w:ind w:left="360"/>
        <w:jc w:val="both"/>
        <w:rPr>
          <w:rFonts w:asciiTheme="minorHAnsi" w:hAnsiTheme="minorHAnsi" w:cstheme="minorHAnsi"/>
          <w:sz w:val="20"/>
          <w:szCs w:val="20"/>
        </w:rPr>
      </w:pPr>
      <w:r w:rsidRPr="00D34005">
        <w:rPr>
          <w:rFonts w:asciiTheme="minorHAnsi" w:hAnsiTheme="minorHAnsi" w:cstheme="minorHAnsi"/>
          <w:sz w:val="20"/>
          <w:szCs w:val="20"/>
        </w:rPr>
        <w:lastRenderedPageBreak/>
        <w:t>4.1.1.13. Complementar la formación con contenidos que refuercen el manejo integrado del paisaje, la resiliencia climática y la sostenibilidad ambiental.</w:t>
      </w:r>
    </w:p>
    <w:p w14:paraId="5B446312" w14:textId="77777777" w:rsidR="007A7F98" w:rsidRDefault="007A7F98" w:rsidP="00AF2738">
      <w:pPr>
        <w:jc w:val="both"/>
        <w:rPr>
          <w:rFonts w:asciiTheme="minorHAnsi" w:hAnsiTheme="minorHAnsi" w:cstheme="minorHAnsi"/>
          <w:b/>
          <w:bCs/>
          <w:sz w:val="20"/>
          <w:szCs w:val="20"/>
          <w:lang w:val="es-EC"/>
        </w:rPr>
      </w:pPr>
    </w:p>
    <w:p w14:paraId="2EB863F8" w14:textId="77777777" w:rsidR="0020519D" w:rsidRPr="00356000" w:rsidRDefault="0020519D" w:rsidP="00356000">
      <w:pPr>
        <w:jc w:val="both"/>
        <w:rPr>
          <w:rFonts w:asciiTheme="minorHAnsi" w:hAnsiTheme="minorHAnsi" w:cstheme="minorBidi"/>
          <w:b/>
          <w:bCs/>
          <w:sz w:val="20"/>
          <w:szCs w:val="20"/>
        </w:rPr>
      </w:pPr>
      <w:r w:rsidRPr="00356000">
        <w:rPr>
          <w:rFonts w:asciiTheme="minorHAnsi" w:hAnsiTheme="minorHAnsi" w:cstheme="minorBidi"/>
          <w:b/>
          <w:bCs/>
          <w:sz w:val="20"/>
          <w:szCs w:val="20"/>
        </w:rPr>
        <w:t>4.1.2. Fortalecimiento de la red hidrometeorológica y de la cadena de información para el desarrollo de un Sistema de Alerta Temprana (SAT)</w:t>
      </w:r>
    </w:p>
    <w:p w14:paraId="72E0002D" w14:textId="37431465" w:rsidR="0020519D" w:rsidRPr="00356000" w:rsidRDefault="0020519D" w:rsidP="00EC2CBE">
      <w:pPr>
        <w:pStyle w:val="Prrafodelista"/>
        <w:numPr>
          <w:ilvl w:val="0"/>
          <w:numId w:val="3"/>
        </w:numPr>
        <w:tabs>
          <w:tab w:val="clear" w:pos="360"/>
          <w:tab w:val="num" w:pos="0"/>
        </w:tabs>
        <w:ind w:left="0" w:hanging="502"/>
        <w:jc w:val="both"/>
        <w:rPr>
          <w:rFonts w:asciiTheme="minorHAnsi" w:eastAsia="SimSun" w:hAnsiTheme="minorHAnsi" w:cstheme="minorHAnsi"/>
          <w:iCs/>
          <w:sz w:val="20"/>
          <w:szCs w:val="20"/>
        </w:rPr>
      </w:pPr>
      <w:r w:rsidRPr="00356000">
        <w:rPr>
          <w:rFonts w:asciiTheme="minorHAnsi" w:eastAsia="SimSun" w:hAnsiTheme="minorHAnsi" w:cstheme="minorHAnsi"/>
          <w:iCs/>
          <w:sz w:val="20"/>
          <w:szCs w:val="20"/>
        </w:rPr>
        <w:t>Este producto tiene como objetivo diseñar e implementar un Sistema de Alerta Temprana (SAT) que combine tecnología moderna con el conocimiento local para anticipar, monitorear y responder a eventos climáticos extremos en la cuenca del río Napo. Una red integrada de monitoreo hidrometeorológico, ecológico e hidrológico mejorará la planificación territorial, la gestión del agua y la resiliencia comunitaria frente a riesgos como sequías, inundaciones y deslizamientos.</w:t>
      </w:r>
    </w:p>
    <w:p w14:paraId="647BB6FF" w14:textId="77777777"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4.1.2.1 Diseñar e implementar una red de monitoreo integrada y un SAT que combine tecnología con saberes tradicionales.</w:t>
      </w:r>
      <w:r w:rsidRPr="00474289">
        <w:rPr>
          <w:rFonts w:asciiTheme="minorHAnsi" w:hAnsiTheme="minorHAnsi" w:cstheme="minorHAnsi"/>
          <w:sz w:val="20"/>
          <w:szCs w:val="20"/>
        </w:rPr>
        <w:br/>
        <w:t>4.1.2.2 Utilizar el SAT como herramienta de adaptación climática para anticipar impactos y activar respuestas frente a eventos extremos —por ejemplo, sequías (2015–2016), inundaciones (2021), deslizamientos (2025) en el norte de la Amazonía— fortaleciendo así la planificación y resiliencia territorial.</w:t>
      </w:r>
    </w:p>
    <w:p w14:paraId="3D31D1D0" w14:textId="77777777"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4.1.2.3 Integrar el monitoreo climático, ecológico e hidrológico para mejorar la toma de decisiones basada en riesgos.</w:t>
      </w:r>
      <w:r w:rsidRPr="00474289">
        <w:rPr>
          <w:rFonts w:asciiTheme="minorHAnsi" w:hAnsiTheme="minorHAnsi" w:cstheme="minorHAnsi"/>
          <w:sz w:val="20"/>
          <w:szCs w:val="20"/>
        </w:rPr>
        <w:br/>
        <w:t>4.1.2.4 Alimentar el “Plan de Monitoreo Comunitario del Impacto Hidrológico, Calidad del Agua y Biodiversidad” con datos del SAT. Este plan forma parte de los planes de manejo de las Áreas de Protección Hídrica (APH), y su integración con el SAT mejorará la vigilancia ambiental, la anticipación de impactos y la gestión comunitaria de los recursos hídricos.</w:t>
      </w:r>
    </w:p>
    <w:p w14:paraId="5F876175" w14:textId="0CE975BE"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4.1.2.5 Garantizar la participación equitativa de mujeres y hombres en la recolección y uso de datos dentro del SAT.</w:t>
      </w:r>
      <w:r w:rsidRPr="00474289">
        <w:rPr>
          <w:rFonts w:asciiTheme="minorHAnsi" w:hAnsiTheme="minorHAnsi" w:cstheme="minorHAnsi"/>
          <w:sz w:val="20"/>
          <w:szCs w:val="20"/>
        </w:rPr>
        <w:br/>
        <w:t>4.1.2.6 Identificar, fortalecer y facilitar el acceso a plataformas de información para comunidades y Gobiernos Autónomos Descentralizados (GAD), integrando datos sobre biodiversidad, agua y cambio climático.</w:t>
      </w:r>
      <w:r w:rsidRPr="00474289">
        <w:rPr>
          <w:rFonts w:asciiTheme="minorHAnsi" w:hAnsiTheme="minorHAnsi" w:cstheme="minorHAnsi"/>
          <w:sz w:val="20"/>
          <w:szCs w:val="20"/>
        </w:rPr>
        <w:br/>
        <w:t>4.1.2.7 Integrar datos del Registro Único de Autorizaciones de Uso de Agua (RUAA) para mejorar el análisis de estrés hídrico.</w:t>
      </w:r>
      <w:r w:rsidRPr="00474289">
        <w:rPr>
          <w:rFonts w:asciiTheme="minorHAnsi" w:hAnsiTheme="minorHAnsi" w:cstheme="minorHAnsi"/>
          <w:sz w:val="20"/>
          <w:szCs w:val="20"/>
        </w:rPr>
        <w:br/>
        <w:t>4.1.2.8 Apoyar la planificación del uso del agua en unidades hidrográficas prioritarias y fortalecer la interoperabilidad con los sistemas de ARCA y MAE.</w:t>
      </w:r>
    </w:p>
    <w:p w14:paraId="6244B9AF" w14:textId="77777777"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4.1.2.9 Establecer y capacitar brigadas comunitarias de monitoreo hidrometeorológico con participación equitativa de género.</w:t>
      </w:r>
    </w:p>
    <w:p w14:paraId="7A80B369" w14:textId="77777777"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4.1.2.10 Consolidar una red de conocimiento y cooperación entre GAD, comunidades y sectores clave (ambiental, productivo, hidrológico).</w:t>
      </w:r>
    </w:p>
    <w:p w14:paraId="154BA26A" w14:textId="5F42398F"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4.1.2.11 Integrar el SAT al Sistema Ambiental de Alerta Temprana (SATA) del MAE, asegurando su interoperabilidad con los sistemas de monitoreo forestal, de biodiversidad y de cumplimiento ambiental.</w:t>
      </w:r>
      <w:r w:rsidRPr="00474289">
        <w:rPr>
          <w:rFonts w:asciiTheme="minorHAnsi" w:hAnsiTheme="minorHAnsi" w:cstheme="minorHAnsi"/>
          <w:sz w:val="20"/>
          <w:szCs w:val="20"/>
        </w:rPr>
        <w:br/>
        <w:t>4.1.2.12 Coordinar con los procesos de fiscalización y respuesta de la Autoridad Ambiental Nacional (AAN) para responder eficientemente a eventos de degradación ambiental, utilizando los datos generados por el SAT y los sistemas de monitoreo comunitario.</w:t>
      </w:r>
    </w:p>
    <w:p w14:paraId="3113571F" w14:textId="77777777"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4.1.2.13 Aplicar el SAT como herramienta transversal en: planificación territorial y gestión del paisaje (Componente 1); adaptación de prácticas agroecológicas y forestales (Componente 2); y formulación de propuestas basadas en condiciones climáticas y ecológicas (Componente 3).</w:t>
      </w:r>
    </w:p>
    <w:p w14:paraId="7C4AE319" w14:textId="77777777" w:rsidR="00F35937"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4.1.2.14 Difundir la información generada por el SAT a través de los mecanismos definidos en los Productos 4.1.1 y 4.1.3 para su integración en la gestión local y regional.</w:t>
      </w:r>
    </w:p>
    <w:p w14:paraId="6E84F9DF" w14:textId="441BDF1B" w:rsidR="0020519D" w:rsidRDefault="0020519D" w:rsidP="00F35937">
      <w:pPr>
        <w:ind w:left="360"/>
        <w:jc w:val="both"/>
        <w:rPr>
          <w:rFonts w:asciiTheme="minorHAnsi" w:hAnsiTheme="minorHAnsi" w:cstheme="minorHAnsi"/>
          <w:sz w:val="20"/>
          <w:szCs w:val="20"/>
        </w:rPr>
      </w:pPr>
      <w:r w:rsidRPr="00474289">
        <w:rPr>
          <w:rFonts w:asciiTheme="minorHAnsi" w:hAnsiTheme="minorHAnsi" w:cstheme="minorHAnsi"/>
          <w:sz w:val="20"/>
          <w:szCs w:val="20"/>
        </w:rPr>
        <w:t>4.1.2.15 Implementar estas acciones en coordinación con actores clave como INAMHI, IKIAM, USFQ, GAD y el sector privado.</w:t>
      </w:r>
    </w:p>
    <w:p w14:paraId="0F98C3C5" w14:textId="77777777" w:rsidR="00F35937" w:rsidRPr="00474289" w:rsidRDefault="00F35937" w:rsidP="00F35937">
      <w:pPr>
        <w:jc w:val="both"/>
        <w:rPr>
          <w:rFonts w:asciiTheme="minorHAnsi" w:hAnsiTheme="minorHAnsi" w:cstheme="minorHAnsi"/>
          <w:sz w:val="20"/>
          <w:szCs w:val="20"/>
        </w:rPr>
      </w:pPr>
    </w:p>
    <w:p w14:paraId="5236B626" w14:textId="77777777" w:rsidR="00F35937" w:rsidRPr="00F35937" w:rsidRDefault="00F35937" w:rsidP="00F35937">
      <w:pPr>
        <w:jc w:val="both"/>
        <w:rPr>
          <w:rFonts w:asciiTheme="minorHAnsi" w:hAnsiTheme="minorHAnsi" w:cstheme="minorBidi"/>
          <w:b/>
          <w:bCs/>
          <w:sz w:val="20"/>
          <w:szCs w:val="20"/>
        </w:rPr>
      </w:pPr>
      <w:r w:rsidRPr="00F35937">
        <w:rPr>
          <w:rFonts w:asciiTheme="minorHAnsi" w:hAnsiTheme="minorHAnsi" w:cstheme="minorBidi"/>
          <w:b/>
          <w:bCs/>
          <w:sz w:val="20"/>
          <w:szCs w:val="20"/>
        </w:rPr>
        <w:t>4.1.3. Estrategia de comunicación desarrollada e implementada</w:t>
      </w:r>
    </w:p>
    <w:p w14:paraId="17F6A4B4" w14:textId="7BC67BF4" w:rsidR="00F35937" w:rsidRPr="00F35937" w:rsidRDefault="00F35937"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F35937">
        <w:rPr>
          <w:rFonts w:asciiTheme="minorHAnsi" w:hAnsiTheme="minorHAnsi" w:cstheme="minorBidi"/>
          <w:sz w:val="20"/>
          <w:szCs w:val="20"/>
        </w:rPr>
        <w:t>Este producto tiene como objetivo diseñar e implementar una estrategia integral de comunicación para fortalecer la difusión, la sensibilización y la apropiación local de la agenda de gestión territorial sostenible del proyecto. La estrategia utilizará formatos multicanal (radio, audiovisual, digital e impreso), contenidos en lenguas indígenas, herramientas educativas y vocerías comunitarias, enfatizando el liderazgo de mujeres, jóvenes y pueblos indígenas. Se garantizará que los materiales reflejen la diversidad cultural, generacional y de género del territorio, promoviendo una narrativa positiva basada en resultados y aprendizajes.</w:t>
      </w:r>
    </w:p>
    <w:p w14:paraId="6C193925"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lastRenderedPageBreak/>
        <w:t>4.1.3.1 Diseñar e implementar una estrategia integral de comunicación enfocada en la difusión y sensibilización sobre la gestión territorial sostenible. La estrategia incluirá campañas en múltiples formatos (radio, audiovisual, digital e impreso), narrativas territoriales, herramientas educativas, sistematización de experiencias, vocerías comunitarias y contenidos en lenguas indígenas. Asimismo, empoderará a mujeres, jóvenes y pueblos indígenas como agentes de cambio, vinculando los mensajes con los procesos de formación, gobernanza y comercialización del proyecto.</w:t>
      </w:r>
    </w:p>
    <w:p w14:paraId="1EB243A5"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4.1.3.2 Garantizar que todos los materiales de comunicación reflejen la diversidad de género, intercultural y generacional.</w:t>
      </w:r>
    </w:p>
    <w:p w14:paraId="37D9C684"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4.1.3.3 Producir videos e infografías que visibilicen a mujeres lideresas y jóvenes involucrados en la gestión territorial y la conservación.</w:t>
      </w:r>
    </w:p>
    <w:p w14:paraId="38A18AEC"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4.1.3.4 Organizar eventos participativos e intercambios de experiencias con enfoque territorial y cultural.</w:t>
      </w:r>
    </w:p>
    <w:p w14:paraId="285B58D3"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4.1.3.5 Destacar iniciativas exitosas lideradas por mujeres y comunidades que promuevan la equidad de género.</w:t>
      </w:r>
    </w:p>
    <w:p w14:paraId="536B6F5E"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4.1.3.6 Fortalecer la apropiación local del proyecto mediante herramientas de comunicación culturalmente pertinentes y accesibles.</w:t>
      </w:r>
    </w:p>
    <w:p w14:paraId="5B9C4562"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4.1.3.7 Promover la sostenibilidad del proyecto a través de una narrativa positiva basada en resultados concretos, testimonios y aprendizajes.</w:t>
      </w:r>
    </w:p>
    <w:p w14:paraId="151EB172"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4.1.3.8 Vincular la estrategia de comunicación con los contenidos y productos generados en el Componente 4 (especialmente los Productos 4.1.1 y 4.1.2).</w:t>
      </w:r>
    </w:p>
    <w:p w14:paraId="558A2B05"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4.1.3.9 Garantizar la sistematización y difusión de buenas prácticas e historias de éxito a través de canales digitales, territoriales y de aliados estratégicos.</w:t>
      </w:r>
    </w:p>
    <w:p w14:paraId="30A13908" w14:textId="77777777" w:rsidR="00F35937" w:rsidRPr="00F35937" w:rsidRDefault="00F35937" w:rsidP="00F35937">
      <w:pPr>
        <w:ind w:left="360"/>
        <w:jc w:val="both"/>
        <w:rPr>
          <w:rFonts w:asciiTheme="minorHAnsi" w:hAnsiTheme="minorHAnsi" w:cstheme="minorHAnsi"/>
          <w:sz w:val="20"/>
          <w:szCs w:val="20"/>
        </w:rPr>
      </w:pPr>
      <w:r w:rsidRPr="00F35937">
        <w:rPr>
          <w:rFonts w:asciiTheme="minorHAnsi" w:hAnsiTheme="minorHAnsi" w:cstheme="minorHAnsi"/>
          <w:sz w:val="20"/>
          <w:szCs w:val="20"/>
        </w:rPr>
        <w:t>4.1.3.10 Incluir una sección específica de difusión institucional dentro de la estrategia de comunicación para asegurar el reconocimiento adecuado del FMAM y del PNUD en todos los productos, plataformas, eventos y puntos de interacción con las partes interesadas.</w:t>
      </w:r>
    </w:p>
    <w:p w14:paraId="05C2830C" w14:textId="77777777" w:rsidR="00474289" w:rsidRPr="00F35937" w:rsidRDefault="00474289" w:rsidP="00AF2738">
      <w:pPr>
        <w:jc w:val="both"/>
        <w:rPr>
          <w:rFonts w:asciiTheme="minorHAnsi" w:hAnsiTheme="minorHAnsi" w:cstheme="minorHAnsi"/>
          <w:sz w:val="20"/>
          <w:szCs w:val="20"/>
        </w:rPr>
      </w:pPr>
    </w:p>
    <w:p w14:paraId="45BC932C" w14:textId="77777777" w:rsidR="00F35937" w:rsidRDefault="00F35937" w:rsidP="00AF2738">
      <w:pPr>
        <w:jc w:val="both"/>
        <w:rPr>
          <w:rFonts w:asciiTheme="minorHAnsi" w:hAnsiTheme="minorHAnsi" w:cstheme="minorHAnsi"/>
          <w:bCs/>
          <w:sz w:val="20"/>
          <w:szCs w:val="20"/>
          <w:lang w:val="es-EC"/>
        </w:rPr>
      </w:pPr>
    </w:p>
    <w:p w14:paraId="5E3BBF55" w14:textId="77777777" w:rsidR="00440A77" w:rsidRPr="00440A77" w:rsidRDefault="00440A77" w:rsidP="00440A77">
      <w:pPr>
        <w:contextualSpacing/>
        <w:jc w:val="both"/>
        <w:rPr>
          <w:rFonts w:asciiTheme="minorHAnsi" w:hAnsiTheme="minorHAnsi" w:cstheme="minorBidi"/>
          <w:b/>
          <w:bCs/>
          <w:sz w:val="20"/>
          <w:szCs w:val="20"/>
        </w:rPr>
      </w:pPr>
      <w:r w:rsidRPr="00440A77">
        <w:rPr>
          <w:rFonts w:asciiTheme="minorHAnsi" w:hAnsiTheme="minorHAnsi" w:cstheme="minorBidi"/>
          <w:b/>
          <w:bCs/>
          <w:sz w:val="20"/>
          <w:szCs w:val="20"/>
        </w:rPr>
        <w:t>Componente 5: Monitoreo y Evaluación</w:t>
      </w:r>
    </w:p>
    <w:p w14:paraId="3527FD3E" w14:textId="23FE8C83" w:rsidR="00440A77" w:rsidRPr="00440A77" w:rsidRDefault="00440A77"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440A77">
        <w:rPr>
          <w:rFonts w:asciiTheme="minorHAnsi" w:hAnsiTheme="minorHAnsi" w:cstheme="minorBidi"/>
          <w:sz w:val="20"/>
          <w:szCs w:val="20"/>
        </w:rPr>
        <w:t>Este componente garantizará la implementación de un sistema sólido de monitoreo y evaluación (M&amp;E) que permita medir el progreso del proyecto, los impactos diferenciados en grupos vulnerables y la eficacia de las medidas adoptadas. Asimismo, asegurará la integración de salvaguardas sociales y ambientales y fomentará una revisión continua del desempeño del proyecto para respaldar su adaptación y mejora constante.</w:t>
      </w:r>
    </w:p>
    <w:p w14:paraId="5A2AF370" w14:textId="310733A2" w:rsidR="00440A77" w:rsidRDefault="00440A77" w:rsidP="00440A77"/>
    <w:p w14:paraId="3CC9E734" w14:textId="77777777" w:rsidR="00440A77" w:rsidRPr="00440A77" w:rsidRDefault="00440A77" w:rsidP="00440A77">
      <w:pPr>
        <w:contextualSpacing/>
        <w:jc w:val="both"/>
        <w:rPr>
          <w:rFonts w:asciiTheme="minorHAnsi" w:hAnsiTheme="minorHAnsi" w:cstheme="minorBidi"/>
          <w:b/>
          <w:bCs/>
          <w:sz w:val="20"/>
          <w:szCs w:val="20"/>
        </w:rPr>
      </w:pPr>
      <w:r w:rsidRPr="00440A77">
        <w:rPr>
          <w:rFonts w:asciiTheme="minorHAnsi" w:hAnsiTheme="minorHAnsi" w:cstheme="minorBidi"/>
          <w:b/>
          <w:bCs/>
          <w:sz w:val="20"/>
          <w:szCs w:val="20"/>
        </w:rPr>
        <w:t>Resultado 5.1: Monitoreo y evaluación de las actividades e indicadores del proyecto</w:t>
      </w:r>
    </w:p>
    <w:p w14:paraId="28B795BA" w14:textId="4D8BB0DC" w:rsidR="00440A77" w:rsidRPr="00440A77" w:rsidRDefault="00440A77" w:rsidP="00440A77">
      <w:pPr>
        <w:contextualSpacing/>
        <w:jc w:val="both"/>
        <w:rPr>
          <w:rFonts w:asciiTheme="minorHAnsi" w:hAnsiTheme="minorHAnsi" w:cstheme="minorBidi"/>
          <w:b/>
          <w:bCs/>
          <w:sz w:val="20"/>
          <w:szCs w:val="20"/>
        </w:rPr>
      </w:pPr>
      <w:r w:rsidRPr="00440A77">
        <w:rPr>
          <w:rFonts w:asciiTheme="minorHAnsi" w:hAnsiTheme="minorHAnsi" w:cstheme="minorBidi"/>
          <w:b/>
          <w:bCs/>
          <w:sz w:val="20"/>
          <w:szCs w:val="20"/>
        </w:rPr>
        <w:t>5.1.1. Monitoreo de los riesgos identificados mediante el Procedimiento de Evaluación Social y Ambiental, e implementación de acciones de mitigación</w:t>
      </w:r>
    </w:p>
    <w:p w14:paraId="25F7C043" w14:textId="769E0A42" w:rsidR="00440A77" w:rsidRPr="00440A77" w:rsidRDefault="00440A77"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440A77">
        <w:rPr>
          <w:rFonts w:asciiTheme="minorHAnsi" w:hAnsiTheme="minorHAnsi" w:cstheme="minorBidi"/>
          <w:sz w:val="20"/>
          <w:szCs w:val="20"/>
        </w:rPr>
        <w:t>Este producto tiene como objetivo fortalecer el monitoreo de los riesgos sociales y ambientales identificados durante la ejecución del proyecto, a través de un sistema de monitoreo participativo e inclusivo que oriente la toma de decisiones y promueva la mejora continua.</w:t>
      </w:r>
    </w:p>
    <w:p w14:paraId="2C978CF4"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t>5.1.1.1 Identificar recomendaciones para acciones de mitigación basadas en los resultados del sistema de M&amp;E, asegurando que incluyan una perspectiva de género e interseccionalidad.</w:t>
      </w:r>
    </w:p>
    <w:p w14:paraId="4D073279"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t>5.1.1.2 Verificar que las acciones de mitigación propuestas en respuesta a los riesgos evaluados sean inclusivas y contemplen la participación de las mujeres en su validación y seguimiento.</w:t>
      </w:r>
    </w:p>
    <w:p w14:paraId="282830E3"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t>5.1.1.3 Asegurar que las medidas de mitigación estén alineadas con las salvaguardas sociales y ambientales de REDD+ y con los estándares nacionales e internacionales pertinentes dentro del marco de M&amp;E.</w:t>
      </w:r>
    </w:p>
    <w:p w14:paraId="28E841A5"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t>5.1.1.4 Diseñar e implementar un sistema periódico de monitoreo de riesgos y acciones de mitigación, con mecanismos participativos y un enfoque diferenciado para mujeres, jóvenes y pueblos indígenas, como parte del sistema de M&amp;E del proyecto.</w:t>
      </w:r>
    </w:p>
    <w:p w14:paraId="712B0DDC"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t>5.1.1.5 Monitorear la integración de los enfoques de empoderamiento de las mujeres a lo largo de todo el ciclo de mitigación, desde la planificación hasta el seguimiento, como parte del análisis de género dentro del sistema de M&amp;E.</w:t>
      </w:r>
    </w:p>
    <w:p w14:paraId="1BBFB699"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t>5.1.1.6 Documentar, sistematizar y actualizar periódicamente la información sobre los riesgos identificados, las respuestas implementadas y las lecciones aprendidas, integrándolas al sistema de M&amp;E.</w:t>
      </w:r>
    </w:p>
    <w:p w14:paraId="24CCC0DC" w14:textId="77777777" w:rsidR="00440A77" w:rsidRPr="003F7CA8" w:rsidRDefault="00440A77" w:rsidP="00440A77">
      <w:pPr>
        <w:ind w:left="360"/>
        <w:jc w:val="both"/>
        <w:rPr>
          <w:rFonts w:asciiTheme="minorHAnsi" w:hAnsiTheme="minorHAnsi" w:cstheme="minorHAnsi"/>
          <w:sz w:val="20"/>
          <w:szCs w:val="20"/>
        </w:rPr>
      </w:pPr>
      <w:r w:rsidRPr="003F7CA8">
        <w:rPr>
          <w:rFonts w:asciiTheme="minorHAnsi" w:hAnsiTheme="minorHAnsi" w:cstheme="minorHAnsi"/>
          <w:sz w:val="20"/>
          <w:szCs w:val="20"/>
        </w:rPr>
        <w:lastRenderedPageBreak/>
        <w:t>5.1.1.7 Asegurar que las lecciones aprendidas y los ajustes derivados del monitoreo de riesgos y mitigación se incorporen en los informes de resultados del proyecto, promoviendo la mejora continua y la coherencia social y ambiental en la implementación.</w:t>
      </w:r>
    </w:p>
    <w:p w14:paraId="1A24D0E1" w14:textId="77777777" w:rsidR="00474289" w:rsidRPr="00D830D9" w:rsidRDefault="00474289" w:rsidP="00AF2738">
      <w:pPr>
        <w:jc w:val="both"/>
        <w:rPr>
          <w:rFonts w:asciiTheme="minorHAnsi" w:hAnsiTheme="minorHAnsi" w:cstheme="minorHAnsi"/>
          <w:bCs/>
          <w:sz w:val="20"/>
          <w:szCs w:val="20"/>
          <w:lang w:val="es-EC"/>
        </w:rPr>
      </w:pPr>
    </w:p>
    <w:p w14:paraId="3E761801" w14:textId="77777777" w:rsidR="003F7CA8" w:rsidRPr="003F7CA8" w:rsidRDefault="003F7CA8" w:rsidP="003F7CA8">
      <w:pPr>
        <w:contextualSpacing/>
        <w:jc w:val="both"/>
        <w:rPr>
          <w:rFonts w:asciiTheme="minorHAnsi" w:hAnsiTheme="minorHAnsi" w:cstheme="minorBidi"/>
          <w:b/>
          <w:bCs/>
          <w:sz w:val="20"/>
          <w:szCs w:val="20"/>
        </w:rPr>
      </w:pPr>
      <w:r w:rsidRPr="003F7CA8">
        <w:rPr>
          <w:rFonts w:asciiTheme="minorHAnsi" w:hAnsiTheme="minorHAnsi" w:cstheme="minorBidi"/>
          <w:b/>
          <w:bCs/>
          <w:sz w:val="20"/>
          <w:szCs w:val="20"/>
        </w:rPr>
        <w:t>5.1.2: Monitoreo y reporte de los resultados del proyecto</w:t>
      </w:r>
    </w:p>
    <w:p w14:paraId="5383B4FB" w14:textId="68400577" w:rsidR="003F7CA8" w:rsidRPr="003F7CA8" w:rsidRDefault="003F7CA8"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F7CA8">
        <w:rPr>
          <w:rFonts w:asciiTheme="minorHAnsi" w:hAnsiTheme="minorHAnsi" w:cstheme="minorBidi"/>
          <w:sz w:val="20"/>
          <w:szCs w:val="20"/>
        </w:rPr>
        <w:t>Este producto busca consolidar un sistema eficaz de monitoreo, evaluación y reporte enfocado en cinco áreas clave: Neutralidad en la Degradación de la Tierra (NDT), emisiones de GEI mitigadas, riesgo climático, biodiversidad y medios de vida. A través de indicadores sensibles al género, datos desagregados e información tanto cualitativa como cuantitativa, se promoverá una gestión inclusiva y orientada a resultados. Se garantizará una retroalimentación continua, la toma de decisiones basada en evidencia y la difusión participativa de los avances. Todas las actividades se alinearán con los estándares de M&amp;E del FMAM y el PNUD; se recomienda que las herramientas, indicadores y formatos cumplan con los manuales técnicos actualizados de la Arquitectura de Resultados del FMAM</w:t>
      </w:r>
      <w:r>
        <w:rPr>
          <w:rFonts w:asciiTheme="minorHAnsi" w:hAnsiTheme="minorHAnsi" w:cstheme="minorBidi"/>
          <w:sz w:val="20"/>
          <w:szCs w:val="20"/>
        </w:rPr>
        <w:t xml:space="preserve"> </w:t>
      </w:r>
      <w:r w:rsidRPr="003F7CA8">
        <w:rPr>
          <w:rFonts w:asciiTheme="minorHAnsi" w:hAnsiTheme="minorHAnsi" w:cstheme="minorBidi"/>
          <w:sz w:val="20"/>
          <w:szCs w:val="20"/>
        </w:rPr>
        <w:t>y el </w:t>
      </w:r>
      <w:r>
        <w:rPr>
          <w:rFonts w:asciiTheme="minorHAnsi" w:hAnsiTheme="minorHAnsi" w:cstheme="minorBidi"/>
          <w:sz w:val="20"/>
          <w:szCs w:val="20"/>
        </w:rPr>
        <w:t>Informe Anual Orientado a Resultados (</w:t>
      </w:r>
      <w:r w:rsidRPr="003F7CA8">
        <w:rPr>
          <w:rFonts w:asciiTheme="minorHAnsi" w:hAnsiTheme="minorHAnsi" w:cstheme="minorBidi"/>
          <w:sz w:val="20"/>
          <w:szCs w:val="20"/>
        </w:rPr>
        <w:t>ROAR</w:t>
      </w:r>
      <w:r>
        <w:rPr>
          <w:rFonts w:asciiTheme="minorHAnsi" w:hAnsiTheme="minorHAnsi" w:cstheme="minorBidi"/>
          <w:sz w:val="20"/>
          <w:szCs w:val="20"/>
        </w:rPr>
        <w:t xml:space="preserve"> por su sigla en </w:t>
      </w:r>
      <w:r w:rsidR="00A56D43">
        <w:rPr>
          <w:rFonts w:asciiTheme="minorHAnsi" w:hAnsiTheme="minorHAnsi" w:cstheme="minorBidi"/>
          <w:sz w:val="20"/>
          <w:szCs w:val="20"/>
        </w:rPr>
        <w:t>inglés</w:t>
      </w:r>
      <w:r>
        <w:rPr>
          <w:rFonts w:asciiTheme="minorHAnsi" w:hAnsiTheme="minorHAnsi" w:cstheme="minorBidi"/>
          <w:sz w:val="20"/>
          <w:szCs w:val="20"/>
        </w:rPr>
        <w:t>)</w:t>
      </w:r>
      <w:r w:rsidRPr="003F7CA8">
        <w:rPr>
          <w:rFonts w:asciiTheme="minorHAnsi" w:hAnsiTheme="minorHAnsi" w:cstheme="minorBidi"/>
          <w:sz w:val="20"/>
          <w:szCs w:val="20"/>
        </w:rPr>
        <w:t> del PNUD.</w:t>
      </w:r>
    </w:p>
    <w:p w14:paraId="7EC2DA1F" w14:textId="0A971884" w:rsidR="003F7CA8" w:rsidRDefault="003F7CA8" w:rsidP="003F7CA8"/>
    <w:p w14:paraId="1436C868" w14:textId="77777777" w:rsidR="003F7CA8" w:rsidRPr="003F7CA8" w:rsidRDefault="003F7CA8" w:rsidP="003F7CA8">
      <w:pPr>
        <w:ind w:left="360"/>
        <w:jc w:val="both"/>
        <w:rPr>
          <w:rFonts w:asciiTheme="minorHAnsi" w:hAnsiTheme="minorHAnsi" w:cstheme="minorHAnsi"/>
          <w:sz w:val="20"/>
          <w:szCs w:val="20"/>
        </w:rPr>
      </w:pPr>
      <w:r w:rsidRPr="00A56D43">
        <w:rPr>
          <w:rFonts w:asciiTheme="minorHAnsi" w:hAnsiTheme="minorHAnsi" w:cstheme="minorHAnsi"/>
          <w:sz w:val="20"/>
          <w:szCs w:val="20"/>
        </w:rPr>
        <w:t>5.1.2.1 Implementar un sistema de monitoreo y evaluación centrado en cinco áreas clave: NDT, emisiones de GEI mitigadas</w:t>
      </w:r>
      <w:r w:rsidRPr="003F7CA8">
        <w:rPr>
          <w:rFonts w:asciiTheme="minorHAnsi" w:hAnsiTheme="minorHAnsi" w:cstheme="minorHAnsi"/>
          <w:sz w:val="20"/>
          <w:szCs w:val="20"/>
        </w:rPr>
        <w:t>, riesgo climático, biodiversidad y medios de vida.</w:t>
      </w:r>
    </w:p>
    <w:p w14:paraId="14B2FC0D"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5.1.2.2 Desarrollar indicadores sensibles al género específicos para cada área, asegurando su aplicabilidad al contexto territorial del proyecto.</w:t>
      </w:r>
    </w:p>
    <w:p w14:paraId="317C3007"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5.1.2.3 Generar insumos e información cuantitativa y cualitativa para demostrar el progreso del proyecto hacia el cambio de paradigma deseado.</w:t>
      </w:r>
    </w:p>
    <w:p w14:paraId="044B43F4"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5.1.2.4 Evaluar el impacto del proyecto en la igualdad de género, con énfasis en la participación de las mujeres en la toma de decisiones y el acceso a recursos.</w:t>
      </w:r>
    </w:p>
    <w:p w14:paraId="567A9F16"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5.1.2.5 Medir el desempeño e impacto del proyecto con datos desagregados (por género, edad, grupo étnico, etc.) que permitan captar dimensiones críticas del desarrollo inclusivo.</w:t>
      </w:r>
    </w:p>
    <w:p w14:paraId="3935F8B7"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5.1.2.6 Integrar los resultados del monitoreo en los informes periódicos y en los mecanismos de retroalimentación del proyecto.</w:t>
      </w:r>
    </w:p>
    <w:p w14:paraId="669369A2"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5.1.2.7 Utilizar los datos recopilados para ajustar e informar decisiones estratégicas, y fortalecer la gestión adaptativa y el enfoque transformador del proyecto.</w:t>
      </w:r>
    </w:p>
    <w:p w14:paraId="40484DEF" w14:textId="77777777" w:rsidR="003F7CA8" w:rsidRPr="003F7CA8" w:rsidRDefault="003F7CA8" w:rsidP="003F7CA8">
      <w:pPr>
        <w:ind w:left="360"/>
        <w:jc w:val="both"/>
        <w:rPr>
          <w:rFonts w:asciiTheme="minorHAnsi" w:hAnsiTheme="minorHAnsi" w:cstheme="minorHAnsi"/>
          <w:sz w:val="20"/>
          <w:szCs w:val="20"/>
        </w:rPr>
      </w:pPr>
      <w:r w:rsidRPr="003F7CA8">
        <w:rPr>
          <w:rFonts w:asciiTheme="minorHAnsi" w:hAnsiTheme="minorHAnsi" w:cstheme="minorHAnsi"/>
          <w:sz w:val="20"/>
          <w:szCs w:val="20"/>
        </w:rPr>
        <w:t>5.1.2.8 Difundir los resultados de manera accesible y participativa entre los actores clave, incluidos comunidades, GAD, instituciones nacionales y donantes.</w:t>
      </w:r>
    </w:p>
    <w:p w14:paraId="4B83733B" w14:textId="1EEEBEE4" w:rsidR="004B7B35" w:rsidRDefault="004B7B35" w:rsidP="00AF2738">
      <w:pPr>
        <w:jc w:val="both"/>
        <w:rPr>
          <w:rFonts w:asciiTheme="minorHAnsi" w:hAnsiTheme="minorHAnsi" w:cstheme="minorBidi"/>
          <w:sz w:val="20"/>
          <w:szCs w:val="20"/>
          <w:lang w:val="es-EC"/>
        </w:rPr>
      </w:pPr>
    </w:p>
    <w:p w14:paraId="00CF0486" w14:textId="77777777" w:rsidR="00A56D43" w:rsidRPr="00A56D43" w:rsidRDefault="00A56D43" w:rsidP="00A56D43">
      <w:pPr>
        <w:contextualSpacing/>
        <w:jc w:val="both"/>
        <w:rPr>
          <w:rFonts w:asciiTheme="minorHAnsi" w:hAnsiTheme="minorHAnsi" w:cstheme="minorBidi"/>
          <w:b/>
          <w:bCs/>
          <w:sz w:val="20"/>
          <w:szCs w:val="20"/>
        </w:rPr>
      </w:pPr>
      <w:r w:rsidRPr="00A56D43">
        <w:rPr>
          <w:rFonts w:asciiTheme="minorHAnsi" w:hAnsiTheme="minorHAnsi" w:cstheme="minorBidi"/>
          <w:b/>
          <w:bCs/>
          <w:sz w:val="20"/>
          <w:szCs w:val="20"/>
        </w:rPr>
        <w:t>5.1.3: Revisión de Medio Término y Evaluación Final del proyecto, conforme a las directrices del PNUD y del FMAM, incluyendo el análisis del progreso en la transversalización de género a lo largo de las fases del proyecto</w:t>
      </w:r>
    </w:p>
    <w:p w14:paraId="20ED3FAE" w14:textId="67566548" w:rsidR="00A56D43" w:rsidRPr="00A56D43" w:rsidRDefault="00A56D43"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A56D43">
        <w:rPr>
          <w:rFonts w:asciiTheme="minorHAnsi" w:hAnsiTheme="minorHAnsi" w:cstheme="minorBidi"/>
          <w:sz w:val="20"/>
          <w:szCs w:val="20"/>
        </w:rPr>
        <w:t>Este producto comprende el diseño, ejecución y difusión de dos evaluaciones clave dentro del ciclo del proyecto: la Revisión Independiente de Medio Término (RMT) y la Evaluación Final Independiente (EFI). Ambas evaluaciones se realizarán de conformidad con las directrices metodológicas del PNUD y del FMAM, y estarán alineadas con los estándares del FMAM en materia de género, sostenibilidad, impacto y participación de las partes interesadas.</w:t>
      </w:r>
    </w:p>
    <w:p w14:paraId="48B0B620"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5.1.3.1 Realizar la Revisión Independiente de Medio Término (RMT), incluyendo una evaluación del progreso hacia las metas del proyecto, los resultados esperados y el desempeño técnico</w:t>
      </w:r>
      <w:r w:rsidRPr="00A56D43">
        <w:rPr>
          <w:rFonts w:asciiTheme="minorHAnsi" w:hAnsiTheme="minorHAnsi" w:cstheme="minorHAnsi"/>
          <w:sz w:val="20"/>
          <w:szCs w:val="20"/>
        </w:rPr>
        <w:noBreakHyphen/>
        <w:t>financiero, de acuerdo con las directrices metodológicas del PNUD y del FMAM.</w:t>
      </w:r>
    </w:p>
    <w:p w14:paraId="3E47CCA5"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5.1.3.2 Incluir en la RMT un análisis específico del progreso en la transversalización de género, que abarque todos los componentes y productos del proyecto.</w:t>
      </w:r>
    </w:p>
    <w:p w14:paraId="63829E05"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5.1.3.3 Identificar fortalezas, debilidades, lecciones aprendidas y oportunidades de mejora para la segunda mitad del proyecto.</w:t>
      </w:r>
    </w:p>
    <w:p w14:paraId="24F51BFB" w14:textId="4E23E944"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5.1.3.4 Realizar la Evaluación Final Independiente (EFI) conforme a los estándares del PNUD y del FMAM, incluyendo la medición del impacto del proyecto en relación con los objetivos estratégicos del FMAM</w:t>
      </w:r>
      <w:r w:rsidRPr="00A56D43">
        <w:rPr>
          <w:rFonts w:asciiTheme="minorHAnsi" w:hAnsiTheme="minorHAnsi" w:cstheme="minorHAnsi"/>
          <w:sz w:val="20"/>
          <w:szCs w:val="20"/>
        </w:rPr>
        <w:noBreakHyphen/>
        <w:t>8, tales como las contribuciones a la NDT, la mitigación y adaptación al cambio climático, la conservación de la biodiversidad y la equidad de género.</w:t>
      </w:r>
    </w:p>
    <w:p w14:paraId="6A3F30D1"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5.1.3.5 Evaluar la sostenibilidad de los resultados, la apropiación local y la replicabilidad de los enfoques aplicados.</w:t>
      </w:r>
    </w:p>
    <w:p w14:paraId="1540AA74"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5.1.3.6 Elaborar y compartir los informes de evaluación con los actores territoriales, las agencias implementadoras y los donantes.</w:t>
      </w:r>
    </w:p>
    <w:p w14:paraId="6CD7E686"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lastRenderedPageBreak/>
        <w:t>5.1.3.7 Atender las recomendaciones de ambas evaluaciones (RMT y EFI) en la respuesta de gestión del proyecto, así como en los procesos de cierre, los mecanismos de rendición de cuentas y la estrategia de salida, con el fin de garantizar la sostenibilidad de los resultados y la continuidad del aprendizaje.</w:t>
      </w:r>
    </w:p>
    <w:p w14:paraId="31B3A056" w14:textId="77777777" w:rsidR="00A56D43" w:rsidRPr="00A56D43" w:rsidRDefault="00A56D43" w:rsidP="00A56D43">
      <w:pPr>
        <w:ind w:left="360"/>
        <w:jc w:val="both"/>
        <w:rPr>
          <w:rFonts w:asciiTheme="minorHAnsi" w:hAnsiTheme="minorHAnsi" w:cstheme="minorHAnsi"/>
          <w:sz w:val="20"/>
          <w:szCs w:val="20"/>
        </w:rPr>
      </w:pPr>
      <w:r w:rsidRPr="00A56D43">
        <w:rPr>
          <w:rFonts w:asciiTheme="minorHAnsi" w:hAnsiTheme="minorHAnsi" w:cstheme="minorHAnsi"/>
          <w:sz w:val="20"/>
          <w:szCs w:val="20"/>
        </w:rPr>
        <w:t>5.1.3.8 Sistematizar los avances en la transversalización de género como insumo para futuros proyectos del FMAM y del PNUD.</w:t>
      </w:r>
    </w:p>
    <w:p w14:paraId="0A36387D" w14:textId="77777777" w:rsidR="00440A77" w:rsidRPr="00D830D9" w:rsidRDefault="00440A77" w:rsidP="00AF2738">
      <w:pPr>
        <w:jc w:val="both"/>
        <w:rPr>
          <w:rFonts w:asciiTheme="minorHAnsi" w:hAnsiTheme="minorHAnsi" w:cstheme="minorBidi"/>
          <w:sz w:val="20"/>
          <w:szCs w:val="20"/>
          <w:lang w:val="es-EC"/>
        </w:rPr>
      </w:pPr>
    </w:p>
    <w:p w14:paraId="2C3CC9D5" w14:textId="77777777" w:rsidR="00AF2738" w:rsidRDefault="00AF2738" w:rsidP="00AF2738">
      <w:pPr>
        <w:contextualSpacing/>
        <w:jc w:val="both"/>
        <w:rPr>
          <w:rFonts w:asciiTheme="minorHAnsi" w:hAnsiTheme="minorHAnsi" w:cstheme="minorHAnsi"/>
          <w:b/>
          <w:bCs/>
          <w:sz w:val="20"/>
          <w:szCs w:val="20"/>
          <w:lang w:val="es-EC"/>
        </w:rPr>
      </w:pPr>
    </w:p>
    <w:p w14:paraId="3D033EF4" w14:textId="372CB266" w:rsidR="00D118BF" w:rsidRPr="00D118BF" w:rsidRDefault="00D118BF"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D118BF">
        <w:rPr>
          <w:rFonts w:asciiTheme="minorHAnsi" w:hAnsiTheme="minorHAnsi" w:cstheme="minorBidi"/>
          <w:sz w:val="20"/>
          <w:szCs w:val="20"/>
          <w:u w:val="single"/>
        </w:rPr>
        <w:t>Acuerdo sobre derechos de propiedad intelectual, uso del logotipo en los productos del proyecto y divulgación de información:</w:t>
      </w:r>
      <w:r>
        <w:rPr>
          <w:rFonts w:asciiTheme="minorHAnsi" w:hAnsiTheme="minorHAnsi" w:cstheme="minorBidi"/>
          <w:sz w:val="20"/>
          <w:szCs w:val="20"/>
          <w:u w:val="single"/>
        </w:rPr>
        <w:t xml:space="preserve"> </w:t>
      </w:r>
      <w:r w:rsidRPr="00D118BF">
        <w:rPr>
          <w:rFonts w:asciiTheme="minorHAnsi" w:hAnsiTheme="minorHAnsi" w:cstheme="minorBidi"/>
          <w:sz w:val="20"/>
          <w:szCs w:val="20"/>
        </w:rPr>
        <w:t>Con el fin de otorgar el debido reconocimiento al FMAM por la provisión de los fondos de subvención, el logotipo del FMAM aparecerá junto con el logotipo del PNUD en todos los materiales promocionales, en otros materiales escritos como publicaciones desarrolladas por el proyecto y en los equipos adquiridos por este. Toda cita en publicaciones relacionadas con proyectos financiados por el FMAM también otorgará el reconocimiento correspondiente al FMAM. La información será divulgada de conformidad con las políticas pertinentes, en particular la Política de Divulgación del PNUD y la política del FMAM sobre participación pública.</w:t>
      </w:r>
    </w:p>
    <w:p w14:paraId="4092F606" w14:textId="48C4BF55" w:rsidR="00D118BF" w:rsidRDefault="00D118BF" w:rsidP="00D118BF"/>
    <w:p w14:paraId="60F526C9" w14:textId="77777777" w:rsidR="00D118BF" w:rsidRPr="003A2762" w:rsidRDefault="00D118BF" w:rsidP="003A2762">
      <w:pPr>
        <w:contextualSpacing/>
        <w:rPr>
          <w:rFonts w:asciiTheme="minorHAnsi" w:hAnsiTheme="minorHAnsi" w:cstheme="minorHAnsi"/>
          <w:b/>
          <w:bCs/>
        </w:rPr>
      </w:pPr>
      <w:r w:rsidRPr="003A2762">
        <w:rPr>
          <w:rFonts w:asciiTheme="minorHAnsi" w:hAnsiTheme="minorHAnsi" w:cstheme="minorHAnsi"/>
          <w:b/>
          <w:bCs/>
        </w:rPr>
        <w:t>Recursos necesarios para alcanzar el resultado esperado</w:t>
      </w:r>
    </w:p>
    <w:p w14:paraId="37DDC85C" w14:textId="766225D6" w:rsidR="00D118BF" w:rsidRPr="00D118BF" w:rsidRDefault="00D118BF"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D118BF">
        <w:rPr>
          <w:rFonts w:asciiTheme="minorHAnsi" w:hAnsiTheme="minorHAnsi" w:cstheme="minorBidi"/>
          <w:sz w:val="20"/>
          <w:szCs w:val="20"/>
        </w:rPr>
        <w:t>Para alcanzar los resultados previstos, el proyecto se apoyará en un conjunto integral de recursos humanos, técnicos y financieros distribuidos estratégicamente a lo largo de sus cinco componentes. El equipo técnico estará conformado por profesionales especializados en gobernanza territorial, restauración ecológica, producción sostenible, bioeconomía, equidad de género, pueblos indígenas, monitoreo y evaluación (MEL), comunicación y gestión del conocimiento. Este equipo se complementará con técnicos locales, promotores comunitarios y personal administrativo, garantizando una ejecución coherente desde el nivel central hasta el local, con presencia permanente en territorio.</w:t>
      </w:r>
    </w:p>
    <w:p w14:paraId="525C3502" w14:textId="7E4DA872" w:rsidR="00D118BF" w:rsidRPr="00D118BF" w:rsidRDefault="00D118BF"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D118BF">
        <w:rPr>
          <w:rFonts w:asciiTheme="minorHAnsi" w:hAnsiTheme="minorHAnsi" w:cstheme="minorBidi"/>
          <w:sz w:val="20"/>
          <w:szCs w:val="20"/>
        </w:rPr>
        <w:t>Entre los recursos clave se incluyen consultorías especializadas, tales como el equipo responsable de las Evaluaciones de Impacto Ambiental y Social (EIAS), consultores para la elaboración de planes de manejo en Áreas de Protección Hídrica y Bosques Protectores, y expertos para el diseño de mecanismos financieros inclusivos. Asimismo, se contratarán firmas nacionales para implementar programas de capacitación presenciales y virtuales, incluida la plataforma de aprendizaje electrónico multilingüe, las Escuelas de Campo para Agricultores, y procesos formativos en finanzas verdes, agroecología y gobernanza forestal. Estos esfuerzos se acompañarán de materiales educativos impresos y digitales, contenidos audiovisuales y herramientas de trazabilidad adaptadas al contexto amazónico.</w:t>
      </w:r>
    </w:p>
    <w:p w14:paraId="366A616C" w14:textId="42668CA5" w:rsidR="00D118BF" w:rsidRPr="00D118BF" w:rsidRDefault="00D118BF"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D118BF">
        <w:rPr>
          <w:rFonts w:asciiTheme="minorHAnsi" w:hAnsiTheme="minorHAnsi" w:cstheme="minorBidi"/>
          <w:sz w:val="20"/>
          <w:szCs w:val="20"/>
        </w:rPr>
        <w:t>El proyecto también prevé inversiones significativas en movilidad (vehículos, transporte terrestre y fluvial), equipamiento (tabletas, GPS, estaciones de monitoreo, equipos audiovisuales), suministros operativos y la producción de kits didácticos. Además, se financiarán Subvenciones de Bajo Valor (SBV) para apoyar iniciativas comunitarias y emprendimientos liderados por mujeres, jóvenes y pueblos indígenas, fomentando la apropiación local de las acciones del proyecto y su sostenibilidad a largo plazo.</w:t>
      </w:r>
    </w:p>
    <w:p w14:paraId="2A2841F4" w14:textId="6FC21B63" w:rsidR="00D118BF" w:rsidRPr="00D118BF" w:rsidRDefault="00D118BF"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D118BF">
        <w:rPr>
          <w:rFonts w:asciiTheme="minorHAnsi" w:hAnsiTheme="minorHAnsi" w:cstheme="minorBidi"/>
          <w:sz w:val="20"/>
          <w:szCs w:val="20"/>
        </w:rPr>
        <w:t>El sistema de Monitoreo, Evaluación y Aprendizaje (MEL) será liderado por un especialista dedicado, reforzado por el equipo de M&amp;E del PNUD, garantizando un seguimiento riguroso de los indicadores clave del proyecto, la integración de salvaguardas sociales y ambientales, y la sistematización de lecciones aprendidas. Se han asignado recursos para evaluaciones externas, misiones de supervisión, auditorías anuales y la elaboración de informes técnicos y materiales de comunicación accesibles para todas las partes interesadas.</w:t>
      </w:r>
    </w:p>
    <w:p w14:paraId="6576FFAF" w14:textId="3B391E3A" w:rsidR="00D118BF" w:rsidRPr="00D118BF" w:rsidRDefault="00D118BF"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D118BF">
        <w:rPr>
          <w:rFonts w:asciiTheme="minorHAnsi" w:hAnsiTheme="minorHAnsi" w:cstheme="minorBidi"/>
          <w:sz w:val="20"/>
          <w:szCs w:val="20"/>
        </w:rPr>
        <w:t>Finalmente, se ha considerado el tiempo del personal del PNUD a nivel nacional, regional y de sede, de conformidad con los requisitos del FMAM. Todas las acciones planificadas se ajustarán a estándares de equidad de género, interculturalidad, participación y sostenibilidad, garantizando una implementación eficaz y transformadora del proyecto en los territorios amazónicos priorizados.</w:t>
      </w:r>
    </w:p>
    <w:p w14:paraId="3DEB2F15" w14:textId="77777777" w:rsidR="00D64B9A" w:rsidRPr="00D118BF" w:rsidRDefault="00D64B9A" w:rsidP="00D118BF">
      <w:pPr>
        <w:pStyle w:val="Prrafodelista"/>
        <w:ind w:left="0"/>
        <w:jc w:val="both"/>
        <w:rPr>
          <w:rFonts w:asciiTheme="minorHAnsi" w:hAnsiTheme="minorHAnsi" w:cstheme="minorBidi"/>
          <w:sz w:val="20"/>
          <w:szCs w:val="20"/>
        </w:rPr>
      </w:pPr>
    </w:p>
    <w:p w14:paraId="1E79EA68" w14:textId="77777777" w:rsidR="00D64B9A" w:rsidRDefault="00D64B9A" w:rsidP="00AF2738">
      <w:pPr>
        <w:contextualSpacing/>
        <w:jc w:val="both"/>
        <w:rPr>
          <w:rFonts w:asciiTheme="minorHAnsi" w:hAnsiTheme="minorHAnsi" w:cstheme="minorHAnsi"/>
          <w:b/>
          <w:bCs/>
          <w:sz w:val="20"/>
          <w:szCs w:val="20"/>
          <w:lang w:val="es-EC"/>
        </w:rPr>
      </w:pPr>
    </w:p>
    <w:p w14:paraId="1BFCB8C8" w14:textId="77777777" w:rsidR="003A2762" w:rsidRPr="003A2762" w:rsidRDefault="003A2762" w:rsidP="003A2762">
      <w:pPr>
        <w:contextualSpacing/>
        <w:rPr>
          <w:rFonts w:asciiTheme="minorHAnsi" w:hAnsiTheme="minorHAnsi" w:cstheme="minorHAnsi"/>
          <w:b/>
          <w:bCs/>
        </w:rPr>
      </w:pPr>
      <w:r w:rsidRPr="003A2762">
        <w:rPr>
          <w:rFonts w:asciiTheme="minorHAnsi" w:hAnsiTheme="minorHAnsi" w:cstheme="minorHAnsi"/>
          <w:b/>
          <w:bCs/>
        </w:rPr>
        <w:t>Resultados Esperados</w:t>
      </w:r>
    </w:p>
    <w:p w14:paraId="494984F5" w14:textId="324E0915"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t>El proyecto tiene como objetivo consolidar un modelo territorial sostenible e inclusivo en la cuenca del río Napo, integrando la planificación participativa, la restauración ecológica, mecanismos financieros transformadores y la gestión del conocimiento. Las intervenciones propuestas están diseñadas para abordar las causas estructurales de la degradación ambiental —como la expansión agrícola no planificada, la fragmentación del hábitat y la ausencia de incentivos sostenibles— mediante soluciones que integren justicia ambiental, equidad de género e interculturalidad.</w:t>
      </w:r>
    </w:p>
    <w:p w14:paraId="247E7C9A" w14:textId="6F900E70"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lastRenderedPageBreak/>
        <w:t xml:space="preserve">Con base en la Teoría del Cambio, se espera que las comunidades y actores locales fortalezcan sus capacidades para liderar procesos de gobernanza y gestión sostenible del paisaje. Esto se traducirá en cambios tangibles: al menos 125.000 hectáreas bajo conservación o manejo sostenible, 4.020 hectáreas bajo restauración activa o pasiva, 21.189 hectáreas bajo manejo forestal sostenible, 23.990 hectáreas bajo prácticas agroproductivas sostenibles, y más de 7.600 personas beneficiadas directamente —con un mínimo del 40% de mujeres— mediante procesos de formación, acceso a financiamiento e implementación de proyectos productivos sostenibles. Adicionalmente, se estiman al menos 605.643 </w:t>
      </w:r>
      <w:proofErr w:type="spellStart"/>
      <w:r w:rsidRPr="003A2762">
        <w:rPr>
          <w:rFonts w:asciiTheme="minorHAnsi" w:hAnsiTheme="minorHAnsi" w:cstheme="minorBidi"/>
          <w:sz w:val="20"/>
          <w:szCs w:val="20"/>
        </w:rPr>
        <w:t>tCO₂eq</w:t>
      </w:r>
      <w:proofErr w:type="spellEnd"/>
      <w:r w:rsidRPr="003A2762">
        <w:rPr>
          <w:rFonts w:asciiTheme="minorHAnsi" w:hAnsiTheme="minorHAnsi" w:cstheme="minorBidi"/>
          <w:sz w:val="20"/>
          <w:szCs w:val="20"/>
        </w:rPr>
        <w:t xml:space="preserve"> de emisiones evitadas mediante la reducción proyectada de la deforestación.</w:t>
      </w:r>
    </w:p>
    <w:p w14:paraId="237EF25E" w14:textId="7923456F"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t>Estos resultados contribuirán directamente a las prioridades del FMAM-8 en restauración de paisajes, biodiversidad y resiliencia climática, así como a los Objetivos de Desarrollo Sostenible (ODS 6, 13, 15, 16 y 17), al resultado 2.3 del Marco de Cooperación de las Naciones Unidas para el Desarrollo Sostenible (</w:t>
      </w:r>
      <w:r w:rsidR="00A05C16">
        <w:rPr>
          <w:rFonts w:asciiTheme="minorHAnsi" w:hAnsiTheme="minorHAnsi" w:cstheme="minorBidi"/>
          <w:sz w:val="20"/>
          <w:szCs w:val="20"/>
        </w:rPr>
        <w:t>MCEODS</w:t>
      </w:r>
      <w:r w:rsidRPr="003A2762">
        <w:rPr>
          <w:rFonts w:asciiTheme="minorHAnsi" w:hAnsiTheme="minorHAnsi" w:cstheme="minorBidi"/>
          <w:sz w:val="20"/>
          <w:szCs w:val="20"/>
        </w:rPr>
        <w:t>) en Ecuador 2023–2027, y al resultado 3.1 del Plan Estratégico del PNUD 2022–2025.</w:t>
      </w:r>
    </w:p>
    <w:p w14:paraId="26936D96" w14:textId="253632E0"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t>La estrategia de implementación contempla cinco líneas de acción: (1) Fortalecimiento de la gobernanza territorial; (2) Prácticas de producción sostenible y conservación; (3) Financiamiento e inclusión económica; (4) Monitoreo y gestión del conocimiento; y (5) Evaluación y mitigación de riesgos.</w:t>
      </w:r>
      <w:r>
        <w:rPr>
          <w:rFonts w:asciiTheme="minorHAnsi" w:hAnsiTheme="minorHAnsi" w:cstheme="minorBidi"/>
          <w:sz w:val="20"/>
          <w:szCs w:val="20"/>
        </w:rPr>
        <w:t xml:space="preserve"> </w:t>
      </w:r>
      <w:r w:rsidRPr="003A2762">
        <w:rPr>
          <w:rFonts w:asciiTheme="minorHAnsi" w:hAnsiTheme="minorHAnsi" w:cstheme="minorBidi"/>
          <w:sz w:val="20"/>
          <w:szCs w:val="20"/>
        </w:rPr>
        <w:t>Cada componente del proyecto incluye productos definidos, alineados con indicadores medibles y herramientas de monitoreo para evaluar el progreso.</w:t>
      </w:r>
    </w:p>
    <w:p w14:paraId="00DFD283" w14:textId="11CB61E0"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t>La gestión del conocimiento se desarrollará como un componente independiente mediante una plataforma virtual de aprendizaje, campañas de comunicación en formatos múltiples, productos educativos multilingües y mecanismos de sistematización y difusión de lecciones aprendidas. Estas acciones facilitarán la apropiación local, empoderarán a actores clave —especialmente mujeres, jóvenes y pueblos indígenas— y garantizarán la sostenibilidad de los impactos más allá del ciclo del proyecto.</w:t>
      </w:r>
    </w:p>
    <w:p w14:paraId="259B95DA" w14:textId="769E14DB"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t>Los resultados cofinanciados solo se incluirán si cumplen con las condiciones establecidas en las directrices del ProDoc, indicando claramente si los recursos serán gestionados a través de las cuentas del PNUD. Todo el sistema de monitoreo será sensible al género y a la interseccionalidad, en consonancia con los estándares sociales y ambientales del PNUD.</w:t>
      </w:r>
    </w:p>
    <w:p w14:paraId="5CD090C1" w14:textId="2501842E" w:rsidR="003A2762" w:rsidRPr="003A2762" w:rsidRDefault="003A2762" w:rsidP="00EC2CBE">
      <w:pPr>
        <w:pStyle w:val="Prrafodelista"/>
        <w:numPr>
          <w:ilvl w:val="0"/>
          <w:numId w:val="3"/>
        </w:numPr>
        <w:tabs>
          <w:tab w:val="clear" w:pos="360"/>
          <w:tab w:val="num" w:pos="0"/>
        </w:tabs>
        <w:ind w:left="0" w:hanging="502"/>
        <w:jc w:val="both"/>
        <w:rPr>
          <w:rFonts w:asciiTheme="minorHAnsi" w:hAnsiTheme="minorHAnsi" w:cstheme="minorBidi"/>
          <w:sz w:val="20"/>
          <w:szCs w:val="20"/>
        </w:rPr>
      </w:pPr>
      <w:r w:rsidRPr="003A2762">
        <w:rPr>
          <w:rFonts w:asciiTheme="minorHAnsi" w:hAnsiTheme="minorHAnsi" w:cstheme="minorBidi"/>
          <w:sz w:val="20"/>
          <w:szCs w:val="20"/>
        </w:rPr>
        <w:t>Los resultados esperados están alineados con los siguientes marcos de resultados de alto nivel:</w:t>
      </w:r>
    </w:p>
    <w:p w14:paraId="63F09678" w14:textId="44F8F589" w:rsidR="003A2762" w:rsidRPr="00324FCC" w:rsidRDefault="00A05C16" w:rsidP="00EC2CBE">
      <w:pPr>
        <w:numPr>
          <w:ilvl w:val="0"/>
          <w:numId w:val="5"/>
        </w:numPr>
        <w:contextualSpacing/>
        <w:rPr>
          <w:rFonts w:asciiTheme="minorHAnsi" w:hAnsiTheme="minorHAnsi" w:cstheme="minorHAnsi"/>
          <w:sz w:val="20"/>
          <w:szCs w:val="20"/>
        </w:rPr>
      </w:pPr>
      <w:r>
        <w:rPr>
          <w:rFonts w:asciiTheme="minorHAnsi" w:hAnsiTheme="minorHAnsi" w:cstheme="minorHAnsi"/>
          <w:sz w:val="20"/>
          <w:szCs w:val="20"/>
        </w:rPr>
        <w:t>MCEODS</w:t>
      </w:r>
      <w:r w:rsidR="003A2762" w:rsidRPr="00324FCC">
        <w:rPr>
          <w:rFonts w:asciiTheme="minorHAnsi" w:hAnsiTheme="minorHAnsi" w:cstheme="minorHAnsi"/>
          <w:sz w:val="20"/>
          <w:szCs w:val="20"/>
        </w:rPr>
        <w:t xml:space="preserve"> Ecuador 2023–2027: Resultado 2.1: Gobernanza ambiental fortalecida por instituciones nacionales y locales. Resultado 3.2: Mejorado acceso de las poblaciones rurales, especialmente mujeres y pueblos indígenas, a medios de vida sostenibles y resilientes al clima.</w:t>
      </w:r>
    </w:p>
    <w:p w14:paraId="36712371" w14:textId="4A37301B" w:rsidR="003A2762" w:rsidRPr="00324FCC" w:rsidRDefault="003A2762" w:rsidP="00EC2CBE">
      <w:pPr>
        <w:numPr>
          <w:ilvl w:val="0"/>
          <w:numId w:val="5"/>
        </w:numPr>
        <w:contextualSpacing/>
        <w:rPr>
          <w:rFonts w:asciiTheme="minorHAnsi" w:hAnsiTheme="minorHAnsi" w:cstheme="minorHAnsi"/>
          <w:sz w:val="20"/>
          <w:szCs w:val="20"/>
        </w:rPr>
      </w:pPr>
      <w:r w:rsidRPr="00324FCC">
        <w:rPr>
          <w:rFonts w:asciiTheme="minorHAnsi" w:hAnsiTheme="minorHAnsi" w:cstheme="minorHAnsi"/>
          <w:sz w:val="20"/>
          <w:szCs w:val="20"/>
        </w:rPr>
        <w:t>Plan Estratégico del PNUD 2022–2025: Resultado 1.1: Cambios transformadores para las personas y el planeta. Resultado 2.2: Igualdad de género y empoderamiento de las mujeres. Resultado 3.1: Resiliencia frente a crisis climáticas y socioeconómicas.</w:t>
      </w:r>
    </w:p>
    <w:p w14:paraId="2D69807E" w14:textId="68505A26" w:rsidR="003A2762" w:rsidRPr="00324FCC" w:rsidRDefault="003A2762" w:rsidP="00EC2CBE">
      <w:pPr>
        <w:numPr>
          <w:ilvl w:val="0"/>
          <w:numId w:val="5"/>
        </w:numPr>
        <w:contextualSpacing/>
        <w:rPr>
          <w:rFonts w:asciiTheme="minorHAnsi" w:hAnsiTheme="minorHAnsi" w:cstheme="minorHAnsi"/>
          <w:sz w:val="20"/>
          <w:szCs w:val="20"/>
        </w:rPr>
      </w:pPr>
      <w:r w:rsidRPr="00324FCC">
        <w:rPr>
          <w:rFonts w:asciiTheme="minorHAnsi" w:hAnsiTheme="minorHAnsi" w:cstheme="minorHAnsi"/>
          <w:sz w:val="20"/>
          <w:szCs w:val="20"/>
        </w:rPr>
        <w:t xml:space="preserve">Plan de Acción Nacional sobre Neutralidad en la Degradación de Tierras (NDT) de Ecuador, alineado con la Estrategia de la </w:t>
      </w:r>
      <w:r w:rsidR="00324FCC" w:rsidRPr="00324FCC">
        <w:rPr>
          <w:rFonts w:asciiTheme="minorHAnsi" w:hAnsiTheme="minorHAnsi" w:cstheme="minorHAnsi"/>
          <w:sz w:val="20"/>
          <w:szCs w:val="20"/>
        </w:rPr>
        <w:t>Convención de las Naciones Unidas de Lucha contra la Desertificación</w:t>
      </w:r>
      <w:r w:rsidR="00324FCC">
        <w:rPr>
          <w:rFonts w:asciiTheme="minorHAnsi" w:hAnsiTheme="minorHAnsi" w:cstheme="minorHAnsi"/>
          <w:sz w:val="20"/>
          <w:szCs w:val="20"/>
        </w:rPr>
        <w:t xml:space="preserve"> (</w:t>
      </w:r>
      <w:r w:rsidRPr="00324FCC">
        <w:rPr>
          <w:rFonts w:asciiTheme="minorHAnsi" w:hAnsiTheme="minorHAnsi" w:cstheme="minorHAnsi"/>
          <w:sz w:val="20"/>
          <w:szCs w:val="20"/>
        </w:rPr>
        <w:t>CNULD</w:t>
      </w:r>
      <w:r w:rsidR="00324FCC">
        <w:rPr>
          <w:rFonts w:asciiTheme="minorHAnsi" w:hAnsiTheme="minorHAnsi" w:cstheme="minorHAnsi"/>
          <w:sz w:val="20"/>
          <w:szCs w:val="20"/>
        </w:rPr>
        <w:t>)</w:t>
      </w:r>
      <w:r w:rsidRPr="00324FCC">
        <w:rPr>
          <w:rFonts w:asciiTheme="minorHAnsi" w:hAnsiTheme="minorHAnsi" w:cstheme="minorHAnsi"/>
          <w:sz w:val="20"/>
          <w:szCs w:val="20"/>
        </w:rPr>
        <w:t xml:space="preserve"> sobre NDT.</w:t>
      </w:r>
    </w:p>
    <w:p w14:paraId="43731E77" w14:textId="77777777" w:rsidR="003A2762" w:rsidRPr="00324FCC" w:rsidRDefault="003A2762" w:rsidP="00EC2CBE">
      <w:pPr>
        <w:numPr>
          <w:ilvl w:val="0"/>
          <w:numId w:val="5"/>
        </w:numPr>
        <w:contextualSpacing/>
        <w:rPr>
          <w:rFonts w:asciiTheme="minorHAnsi" w:hAnsiTheme="minorHAnsi" w:cstheme="minorHAnsi"/>
          <w:sz w:val="20"/>
          <w:szCs w:val="20"/>
        </w:rPr>
      </w:pPr>
      <w:r w:rsidRPr="00324FCC">
        <w:rPr>
          <w:rFonts w:asciiTheme="minorHAnsi" w:hAnsiTheme="minorHAnsi" w:cstheme="minorHAnsi"/>
          <w:sz w:val="20"/>
          <w:szCs w:val="20"/>
        </w:rPr>
        <w:t>Contribuciones Nacionalmente Determinadas (NDC) y el Plan Nacional de Adaptación (PNA) de Ecuador, mediante la implementación de soluciones basadas en la naturaleza y estrategias de gobernanza del agua.</w:t>
      </w:r>
    </w:p>
    <w:p w14:paraId="32649A04" w14:textId="77777777" w:rsidR="003A2762" w:rsidRPr="003A2762" w:rsidRDefault="003A2762" w:rsidP="00EC2CBE">
      <w:pPr>
        <w:numPr>
          <w:ilvl w:val="0"/>
          <w:numId w:val="5"/>
        </w:numPr>
        <w:contextualSpacing/>
        <w:rPr>
          <w:rFonts w:asciiTheme="minorHAnsi" w:hAnsiTheme="minorHAnsi" w:cstheme="minorHAnsi"/>
          <w:sz w:val="20"/>
          <w:szCs w:val="20"/>
        </w:rPr>
      </w:pPr>
      <w:r w:rsidRPr="00324FCC">
        <w:rPr>
          <w:rFonts w:asciiTheme="minorHAnsi" w:hAnsiTheme="minorHAnsi" w:cstheme="minorHAnsi"/>
          <w:sz w:val="20"/>
          <w:szCs w:val="20"/>
        </w:rPr>
        <w:t>Marco Mundial de la Biodiversidad Kunming-Montreal</w:t>
      </w:r>
      <w:r w:rsidRPr="003A2762">
        <w:rPr>
          <w:rFonts w:asciiTheme="minorHAnsi" w:hAnsiTheme="minorHAnsi" w:cstheme="minorHAnsi"/>
          <w:sz w:val="20"/>
          <w:szCs w:val="20"/>
        </w:rPr>
        <w:t> (metas 2, 3, 9 y 22), mediante acciones integradas de conservación de la biodiversidad y gestión del paisaje.</w:t>
      </w:r>
    </w:p>
    <w:p w14:paraId="0681BF38" w14:textId="77777777" w:rsidR="00A40704" w:rsidRPr="00D830D9" w:rsidRDefault="00A40704" w:rsidP="00AF2738">
      <w:pPr>
        <w:contextualSpacing/>
        <w:jc w:val="both"/>
        <w:rPr>
          <w:rFonts w:asciiTheme="minorHAnsi" w:hAnsiTheme="minorHAnsi" w:cstheme="minorHAnsi"/>
          <w:b/>
          <w:bCs/>
          <w:sz w:val="20"/>
          <w:szCs w:val="20"/>
          <w:lang w:val="es-EC"/>
        </w:rPr>
      </w:pPr>
    </w:p>
    <w:p w14:paraId="14182F21" w14:textId="77777777" w:rsidR="001A5672" w:rsidRPr="00A51E75" w:rsidRDefault="001A5672" w:rsidP="001A5672">
      <w:pPr>
        <w:contextualSpacing/>
        <w:rPr>
          <w:rFonts w:asciiTheme="minorHAnsi" w:hAnsiTheme="minorHAnsi" w:cstheme="minorHAnsi"/>
          <w:b/>
          <w:bCs/>
          <w:lang w:val="en-US"/>
        </w:rPr>
      </w:pPr>
      <w:r w:rsidRPr="00A51E75">
        <w:rPr>
          <w:rFonts w:asciiTheme="minorHAnsi" w:hAnsiTheme="minorHAnsi" w:cstheme="minorHAnsi"/>
          <w:b/>
          <w:bCs/>
        </w:rPr>
        <w:t>Conocimiento</w:t>
      </w:r>
    </w:p>
    <w:p w14:paraId="4E91A7AE" w14:textId="77777777" w:rsidR="009D7DE6" w:rsidRPr="00D830D9" w:rsidRDefault="001A5672"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El proyecto generará una amplia gama de productos de conocimiento destinados a fortalecer la gestión territorial sostenible y la toma de decisiones informada, más allá de las evaluaciones requeridas. Estos productos incluyen publicaciones técnicas, módulos de formación, bases de datos medioambientales, sistemas de monitorización georreferenciados, materiales audiovisuales, infografías multilingües y una plataforma de aprendizaje virtual (e-learning) diseñada para actores locales, autoridades y comunidades.</w:t>
      </w:r>
    </w:p>
    <w:p w14:paraId="10746360" w14:textId="77777777" w:rsidR="009D7DE6" w:rsidRPr="00D830D9" w:rsidRDefault="001A5672"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También se desarrollará una estrategia de comunicación integrada para sistematizar y difundir las mejores prácticas, las lecciones aprendidas y los testimonios territoriales. Esta estrategia utilizará formatos accesibles y culturalmente relevantes —incluyendo narrativas indígenas y de género— para garantizar la propiedad local y la visibilidad nacional e internacional del conocimiento generado.</w:t>
      </w:r>
    </w:p>
    <w:p w14:paraId="54CE6AB7" w14:textId="26867CF4" w:rsidR="001A5672" w:rsidRPr="00D830D9" w:rsidRDefault="001A5672"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 xml:space="preserve">Los productos se compartirán mediante campañas multicanal, eventos participativos, herramientas digitales y redes de cooperación regionales y Sur-Sur, facilitando la replicabilidad en otros territorios y la retroalimentación continua </w:t>
      </w:r>
      <w:r w:rsidRPr="00A51E75">
        <w:rPr>
          <w:rFonts w:asciiTheme="minorHAnsi" w:hAnsiTheme="minorHAnsi" w:cstheme="minorHAnsi"/>
          <w:sz w:val="20"/>
          <w:szCs w:val="20"/>
        </w:rPr>
        <w:lastRenderedPageBreak/>
        <w:t>con actores clave del desarrollo sostenible. Integrar este contenido en los sistemas de seguimiento, planificación y financiación contribuirá a una gobernanza adaptativa basada en la evidencia.</w:t>
      </w:r>
    </w:p>
    <w:p w14:paraId="08B992DD" w14:textId="77777777" w:rsidR="001A5672" w:rsidRPr="00D830D9" w:rsidRDefault="001A5672" w:rsidP="005B55CA">
      <w:pPr>
        <w:contextualSpacing/>
        <w:rPr>
          <w:rFonts w:asciiTheme="minorHAnsi" w:hAnsiTheme="minorHAnsi" w:cstheme="minorHAnsi"/>
          <w:sz w:val="20"/>
          <w:szCs w:val="20"/>
          <w:lang w:val="es-EC"/>
        </w:rPr>
      </w:pPr>
    </w:p>
    <w:p w14:paraId="3DB88015" w14:textId="352DB718" w:rsidR="00AB3154" w:rsidRPr="00A51E75" w:rsidRDefault="00AB3154" w:rsidP="00AB3154">
      <w:pPr>
        <w:contextualSpacing/>
        <w:jc w:val="both"/>
        <w:rPr>
          <w:rFonts w:asciiTheme="minorHAnsi" w:hAnsiTheme="minorHAnsi" w:cstheme="minorHAnsi"/>
          <w:b/>
          <w:bCs/>
        </w:rPr>
      </w:pPr>
      <w:r w:rsidRPr="00A51E75">
        <w:rPr>
          <w:rFonts w:asciiTheme="minorHAnsi" w:hAnsiTheme="minorHAnsi" w:cstheme="minorHAnsi"/>
          <w:b/>
          <w:bCs/>
        </w:rPr>
        <w:t>Sostenibilidad y estrategia de escalabilidad</w:t>
      </w:r>
    </w:p>
    <w:p w14:paraId="5774A9E3" w14:textId="77777777" w:rsidR="00AB3154" w:rsidRPr="00A51E75" w:rsidRDefault="00AB3154" w:rsidP="00AB3154">
      <w:pPr>
        <w:contextualSpacing/>
        <w:jc w:val="both"/>
        <w:rPr>
          <w:rFonts w:asciiTheme="minorHAnsi" w:hAnsiTheme="minorHAnsi" w:cstheme="minorHAnsi"/>
          <w:sz w:val="20"/>
          <w:szCs w:val="20"/>
        </w:rPr>
      </w:pPr>
    </w:p>
    <w:p w14:paraId="6A16762D" w14:textId="77777777" w:rsidR="00AB3154" w:rsidRPr="00A51E75"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n-US"/>
        </w:rPr>
      </w:pPr>
      <w:r w:rsidRPr="00A51E75">
        <w:rPr>
          <w:rFonts w:asciiTheme="minorHAnsi" w:hAnsiTheme="minorHAnsi" w:cstheme="minorHAnsi"/>
          <w:sz w:val="20"/>
          <w:szCs w:val="20"/>
        </w:rPr>
        <w:t>El proyecto incorpora una estrategia de sostenibilidad y escalabilidad que se activa desde la fase inicial y se consolida hasta la fase de cierre, asegurando que los beneficios medioambientales, sociales y de gobernanza se mantengan a lo largo del tiempo. Esta estrategia incluye:</w:t>
      </w:r>
    </w:p>
    <w:p w14:paraId="7AC0804C" w14:textId="1F1CF350" w:rsidR="00AB3154" w:rsidRPr="00D830D9" w:rsidRDefault="00AB3154" w:rsidP="00EC2CBE">
      <w:pPr>
        <w:numPr>
          <w:ilvl w:val="0"/>
          <w:numId w:val="6"/>
        </w:numPr>
        <w:contextualSpacing/>
        <w:jc w:val="both"/>
        <w:rPr>
          <w:rFonts w:asciiTheme="minorHAnsi" w:hAnsiTheme="minorHAnsi" w:cstheme="minorHAnsi"/>
          <w:sz w:val="20"/>
          <w:szCs w:val="20"/>
          <w:lang w:val="es-EC"/>
        </w:rPr>
      </w:pPr>
      <w:r w:rsidRPr="00A51E75">
        <w:rPr>
          <w:rFonts w:asciiTheme="minorHAnsi" w:hAnsiTheme="minorHAnsi" w:cstheme="minorHAnsi"/>
          <w:b/>
          <w:bCs/>
          <w:sz w:val="20"/>
          <w:szCs w:val="20"/>
        </w:rPr>
        <w:t>Sostenibilidad institucional</w:t>
      </w:r>
      <w:r w:rsidRPr="00A51E75">
        <w:rPr>
          <w:rFonts w:asciiTheme="minorHAnsi" w:hAnsiTheme="minorHAnsi" w:cstheme="minorHAnsi"/>
          <w:sz w:val="20"/>
          <w:szCs w:val="20"/>
        </w:rPr>
        <w:t xml:space="preserve">: Mediante la integración de acciones en los instrumentos y marcos legales existentes de planificación territorial (PDOT, PUGS, </w:t>
      </w:r>
      <w:r w:rsidR="006943DE">
        <w:rPr>
          <w:rFonts w:asciiTheme="minorHAnsi" w:hAnsiTheme="minorHAnsi" w:cstheme="minorHAnsi"/>
          <w:sz w:val="20"/>
          <w:szCs w:val="20"/>
        </w:rPr>
        <w:t>Planes de vida</w:t>
      </w:r>
      <w:r w:rsidRPr="00A51E75">
        <w:rPr>
          <w:rFonts w:asciiTheme="minorHAnsi" w:hAnsiTheme="minorHAnsi" w:cstheme="minorHAnsi"/>
          <w:sz w:val="20"/>
          <w:szCs w:val="20"/>
        </w:rPr>
        <w:t>, PIA, APH, ZPH), el proyecto se institucionalizará como parte de las responsabilidades de los gobiernos locales (GAD) y los actores comunitarios. Se dará prioridad a la emisión de resoluciones y ordenanzas locales que apoyen los mecanismos implementados.</w:t>
      </w:r>
    </w:p>
    <w:p w14:paraId="4606EFA6" w14:textId="2F1F470C" w:rsidR="00AB3154" w:rsidRPr="00D830D9" w:rsidRDefault="00AB3154" w:rsidP="00EC2CBE">
      <w:pPr>
        <w:numPr>
          <w:ilvl w:val="0"/>
          <w:numId w:val="6"/>
        </w:numPr>
        <w:contextualSpacing/>
        <w:jc w:val="both"/>
        <w:rPr>
          <w:rFonts w:asciiTheme="minorHAnsi" w:hAnsiTheme="minorHAnsi" w:cstheme="minorBidi"/>
          <w:sz w:val="20"/>
          <w:szCs w:val="20"/>
          <w:lang w:val="es-EC"/>
        </w:rPr>
      </w:pPr>
      <w:r w:rsidRPr="00A51E75">
        <w:rPr>
          <w:rFonts w:asciiTheme="minorHAnsi" w:hAnsiTheme="minorHAnsi" w:cstheme="minorBidi"/>
          <w:b/>
          <w:bCs/>
          <w:sz w:val="20"/>
          <w:szCs w:val="20"/>
        </w:rPr>
        <w:t>Sostenibilidad financiera</w:t>
      </w:r>
      <w:r w:rsidRPr="00A51E75">
        <w:rPr>
          <w:rFonts w:asciiTheme="minorHAnsi" w:hAnsiTheme="minorHAnsi" w:cstheme="minorBidi"/>
          <w:sz w:val="20"/>
          <w:szCs w:val="20"/>
        </w:rPr>
        <w:t>: El proyecto garantizará la continuidad de la operación de al menos dos mecanismos clave de financiación sostenible: (i) un Fondo Rotatorio Verde gestionado por FODESNA en coordinación con bancos comunitarios e instituciones como BanEcuador y CTEA; y (ii) un esquema de pago por servicios ecosistémicos (</w:t>
      </w:r>
      <w:r w:rsidR="0036430A">
        <w:rPr>
          <w:rFonts w:asciiTheme="minorHAnsi" w:hAnsiTheme="minorHAnsi" w:cstheme="minorBidi"/>
          <w:sz w:val="20"/>
          <w:szCs w:val="20"/>
        </w:rPr>
        <w:t>PSE</w:t>
      </w:r>
      <w:r w:rsidRPr="00A51E75">
        <w:rPr>
          <w:rFonts w:asciiTheme="minorHAnsi" w:hAnsiTheme="minorHAnsi" w:cstheme="minorBidi"/>
          <w:sz w:val="20"/>
          <w:szCs w:val="20"/>
        </w:rPr>
        <w:t xml:space="preserve">) adaptado al contexto de la Cuenca de Napo, con sostenibilidad técnica respaldada por </w:t>
      </w:r>
      <w:r w:rsidR="006943DE" w:rsidRPr="00A51E75">
        <w:rPr>
          <w:rFonts w:asciiTheme="minorHAnsi" w:hAnsiTheme="minorHAnsi" w:cstheme="minorBidi"/>
          <w:sz w:val="20"/>
          <w:szCs w:val="20"/>
        </w:rPr>
        <w:t>BIOFIN, GIZ</w:t>
      </w:r>
      <w:r w:rsidRPr="00A51E75">
        <w:rPr>
          <w:rFonts w:asciiTheme="minorHAnsi" w:hAnsiTheme="minorHAnsi" w:cstheme="minorBidi"/>
          <w:sz w:val="20"/>
          <w:szCs w:val="20"/>
        </w:rPr>
        <w:t>, y la Unidad de Finanzas Sostenibles del PNUD. Además, se desarrollarán propuestas para garantizar el acceso recurrente a los fondos climáticos.</w:t>
      </w:r>
    </w:p>
    <w:p w14:paraId="13249FE1" w14:textId="327832C4" w:rsidR="00AB3154" w:rsidRPr="00D830D9" w:rsidRDefault="00AB3154" w:rsidP="00EC2CBE">
      <w:pPr>
        <w:numPr>
          <w:ilvl w:val="0"/>
          <w:numId w:val="6"/>
        </w:numPr>
        <w:contextualSpacing/>
        <w:jc w:val="both"/>
        <w:rPr>
          <w:rFonts w:asciiTheme="minorHAnsi" w:hAnsiTheme="minorHAnsi" w:cstheme="minorBidi"/>
          <w:sz w:val="20"/>
          <w:szCs w:val="20"/>
          <w:lang w:val="es-EC"/>
        </w:rPr>
      </w:pPr>
      <w:r w:rsidRPr="7CD6F03B">
        <w:rPr>
          <w:rFonts w:asciiTheme="minorHAnsi" w:hAnsiTheme="minorHAnsi" w:cstheme="minorBidi"/>
          <w:b/>
          <w:bCs/>
          <w:sz w:val="20"/>
          <w:szCs w:val="20"/>
        </w:rPr>
        <w:t>Sostenibilidad operativa y técnica</w:t>
      </w:r>
      <w:r w:rsidRPr="7CD6F03B">
        <w:rPr>
          <w:rFonts w:asciiTheme="minorHAnsi" w:hAnsiTheme="minorHAnsi" w:cstheme="minorBidi"/>
          <w:sz w:val="20"/>
          <w:szCs w:val="20"/>
        </w:rPr>
        <w:t xml:space="preserve">: La gestión de Centros de Innovación Agroecológica, brigadas de monitoreo juvenil y comunitario, y comités de cogestión se consolidará y transferirá a actores locales mediante acuerdos formales. Se ejecutará un plan progresivo de transferencia de funciones a partir del tercer año del proyecto, apoyado por un programa de mentoría técnica liderado por </w:t>
      </w:r>
      <w:r w:rsidR="009E221F" w:rsidRPr="7CD6F03B">
        <w:rPr>
          <w:rFonts w:asciiTheme="minorHAnsi" w:hAnsiTheme="minorHAnsi" w:cstheme="minorBidi"/>
          <w:sz w:val="20"/>
          <w:szCs w:val="20"/>
        </w:rPr>
        <w:t>MAE</w:t>
      </w:r>
      <w:r w:rsidRPr="7CD6F03B">
        <w:rPr>
          <w:rFonts w:asciiTheme="minorHAnsi" w:hAnsiTheme="minorHAnsi" w:cstheme="minorBidi"/>
          <w:sz w:val="20"/>
          <w:szCs w:val="20"/>
        </w:rPr>
        <w:t xml:space="preserve"> y socios estratégicos.</w:t>
      </w:r>
    </w:p>
    <w:p w14:paraId="7F1635C7" w14:textId="274C1554" w:rsidR="00AB3154" w:rsidRPr="00A51E75" w:rsidRDefault="00AB3154" w:rsidP="00EC2CBE">
      <w:pPr>
        <w:numPr>
          <w:ilvl w:val="0"/>
          <w:numId w:val="6"/>
        </w:numPr>
        <w:contextualSpacing/>
        <w:jc w:val="both"/>
        <w:rPr>
          <w:rFonts w:asciiTheme="minorHAnsi" w:hAnsiTheme="minorHAnsi" w:cstheme="minorBidi"/>
          <w:sz w:val="20"/>
          <w:szCs w:val="20"/>
        </w:rPr>
      </w:pPr>
      <w:r w:rsidRPr="7CD6F03B">
        <w:rPr>
          <w:rFonts w:asciiTheme="minorHAnsi" w:hAnsiTheme="minorHAnsi" w:cstheme="minorBidi"/>
          <w:b/>
          <w:bCs/>
          <w:sz w:val="20"/>
          <w:szCs w:val="20"/>
        </w:rPr>
        <w:t>Sostenibilidad del conocimiento</w:t>
      </w:r>
      <w:r w:rsidRPr="7CD6F03B">
        <w:rPr>
          <w:rFonts w:asciiTheme="minorHAnsi" w:hAnsiTheme="minorHAnsi" w:cstheme="minorBidi"/>
          <w:sz w:val="20"/>
          <w:szCs w:val="20"/>
        </w:rPr>
        <w:t xml:space="preserve">: El mantenimiento y actualización de la plataforma de aprendizaje en línea, los sistemas de trazabilidad y el Sistema de Alerta Temprana (SAT) se garantizarán mediante acuerdos con universidades (USFQ, IKIAM), INAMHI y </w:t>
      </w:r>
      <w:r w:rsidR="009E221F" w:rsidRPr="7CD6F03B">
        <w:rPr>
          <w:rFonts w:asciiTheme="minorHAnsi" w:hAnsiTheme="minorHAnsi" w:cstheme="minorBidi"/>
          <w:sz w:val="20"/>
          <w:szCs w:val="20"/>
        </w:rPr>
        <w:t>MAE</w:t>
      </w:r>
      <w:r w:rsidRPr="7CD6F03B">
        <w:rPr>
          <w:rFonts w:asciiTheme="minorHAnsi" w:hAnsiTheme="minorHAnsi" w:cstheme="minorBidi"/>
          <w:sz w:val="20"/>
          <w:szCs w:val="20"/>
        </w:rPr>
        <w:t>. Todos los materiales formativos serán de acceso abierto y replicables.</w:t>
      </w:r>
    </w:p>
    <w:p w14:paraId="121A1898" w14:textId="7012BF5D" w:rsidR="00AB3154" w:rsidRPr="00D830D9" w:rsidRDefault="00AB3154" w:rsidP="00EC2CBE">
      <w:pPr>
        <w:numPr>
          <w:ilvl w:val="0"/>
          <w:numId w:val="6"/>
        </w:numPr>
        <w:contextualSpacing/>
        <w:jc w:val="both"/>
        <w:rPr>
          <w:rFonts w:asciiTheme="minorHAnsi" w:hAnsiTheme="minorHAnsi" w:cstheme="minorBidi"/>
          <w:sz w:val="20"/>
          <w:szCs w:val="20"/>
          <w:lang w:val="es-EC"/>
        </w:rPr>
      </w:pPr>
      <w:r w:rsidRPr="7CD6F03B">
        <w:rPr>
          <w:rFonts w:asciiTheme="minorHAnsi" w:hAnsiTheme="minorHAnsi" w:cstheme="minorBidi"/>
          <w:b/>
          <w:bCs/>
          <w:sz w:val="20"/>
          <w:szCs w:val="20"/>
        </w:rPr>
        <w:t>Estrategia de salida</w:t>
      </w:r>
      <w:r w:rsidRPr="7CD6F03B">
        <w:rPr>
          <w:rFonts w:asciiTheme="minorHAnsi" w:hAnsiTheme="minorHAnsi" w:cstheme="minorBidi"/>
          <w:sz w:val="20"/>
          <w:szCs w:val="20"/>
        </w:rPr>
        <w:t xml:space="preserve">: Durante el quinto año, se activará un plan de transición, que incluye: (i) la transferencia formal de herramientas y responsabilidades a actores locales; (ii) revisión de las capacidades institucionales; (iii) activación de redes territoriales para continuar los procesos; y (iv) sistematización de las lecciones aprendidas. Esta estrategia contará con el apoyo de un Comité de Sostenibilidad compuesto por </w:t>
      </w:r>
      <w:r w:rsidR="009E221F" w:rsidRPr="7CD6F03B">
        <w:rPr>
          <w:rFonts w:asciiTheme="minorHAnsi" w:hAnsiTheme="minorHAnsi" w:cstheme="minorBidi"/>
          <w:sz w:val="20"/>
          <w:szCs w:val="20"/>
        </w:rPr>
        <w:t>MAE</w:t>
      </w:r>
      <w:r w:rsidRPr="7CD6F03B">
        <w:rPr>
          <w:rFonts w:asciiTheme="minorHAnsi" w:hAnsiTheme="minorHAnsi" w:cstheme="minorBidi"/>
          <w:sz w:val="20"/>
          <w:szCs w:val="20"/>
        </w:rPr>
        <w:t>, PNUD, representantes locales y donantes clave, y quedará documentada en el Plan de Salida aprobado por el Comité Directivo del Proyecto.</w:t>
      </w:r>
    </w:p>
    <w:p w14:paraId="1286ED41" w14:textId="77777777" w:rsidR="001A21BA" w:rsidRDefault="001A21BA" w:rsidP="00AB3154">
      <w:pPr>
        <w:contextualSpacing/>
        <w:jc w:val="both"/>
        <w:rPr>
          <w:rFonts w:asciiTheme="minorHAnsi" w:hAnsiTheme="minorHAnsi" w:cstheme="minorHAnsi"/>
          <w:b/>
          <w:bCs/>
          <w:sz w:val="20"/>
          <w:szCs w:val="20"/>
          <w:lang w:val="es-EC"/>
        </w:rPr>
      </w:pPr>
    </w:p>
    <w:p w14:paraId="38F4AE43" w14:textId="77777777" w:rsidR="00943C92" w:rsidRPr="00D830D9" w:rsidRDefault="00943C92" w:rsidP="00AB3154">
      <w:pPr>
        <w:contextualSpacing/>
        <w:jc w:val="both"/>
        <w:rPr>
          <w:rFonts w:asciiTheme="minorHAnsi" w:hAnsiTheme="minorHAnsi" w:cstheme="minorHAnsi"/>
          <w:b/>
          <w:bCs/>
          <w:sz w:val="20"/>
          <w:szCs w:val="20"/>
          <w:lang w:val="es-EC"/>
        </w:rPr>
      </w:pPr>
    </w:p>
    <w:p w14:paraId="0E2E3818" w14:textId="269674F3" w:rsidR="00AB3154" w:rsidRPr="00A51E75" w:rsidRDefault="00AB3154" w:rsidP="00AB3154">
      <w:pPr>
        <w:contextualSpacing/>
        <w:jc w:val="both"/>
        <w:rPr>
          <w:rFonts w:asciiTheme="minorHAnsi" w:hAnsiTheme="minorHAnsi" w:cstheme="minorHAnsi"/>
          <w:b/>
          <w:bCs/>
        </w:rPr>
      </w:pPr>
      <w:r w:rsidRPr="00A51E75">
        <w:rPr>
          <w:rFonts w:asciiTheme="minorHAnsi" w:hAnsiTheme="minorHAnsi" w:cstheme="minorHAnsi"/>
          <w:b/>
          <w:bCs/>
        </w:rPr>
        <w:t>Alianzas</w:t>
      </w:r>
    </w:p>
    <w:p w14:paraId="0DF19C5A" w14:textId="77777777" w:rsidR="00A57352" w:rsidRPr="00A51E75" w:rsidRDefault="00A57352" w:rsidP="00AB3154">
      <w:pPr>
        <w:contextualSpacing/>
        <w:jc w:val="both"/>
        <w:rPr>
          <w:rFonts w:asciiTheme="minorHAnsi" w:hAnsiTheme="minorHAnsi" w:cstheme="minorHAnsi"/>
        </w:rPr>
      </w:pPr>
    </w:p>
    <w:p w14:paraId="1E2A9F07" w14:textId="77777777"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 xml:space="preserve">El proyecto se basa en una arquitectura de colaboración que reúne actores públicos, privados, académicos, de la sociedad civil y de los pueblos indígenas, cada uno con roles diferenciados pero interdependientes para lograr los resultados esperados. Estas alianzas están intrínsecamente ligadas a la teoría del cambio del proyecto, que se basa en la premisa de que el fortalecimiento de la gobernanza territorial, combinado con la adopción de prácticas sostenibles, el acceso a la financiación y la </w:t>
      </w:r>
      <w:proofErr w:type="gramStart"/>
      <w:r w:rsidRPr="00A51E75">
        <w:rPr>
          <w:rFonts w:asciiTheme="minorHAnsi" w:hAnsiTheme="minorHAnsi" w:cstheme="minorHAnsi"/>
          <w:sz w:val="20"/>
          <w:szCs w:val="20"/>
        </w:rPr>
        <w:t>participación activa</w:t>
      </w:r>
      <w:proofErr w:type="gramEnd"/>
      <w:r w:rsidRPr="00A51E75">
        <w:rPr>
          <w:rFonts w:asciiTheme="minorHAnsi" w:hAnsiTheme="minorHAnsi" w:cstheme="minorHAnsi"/>
          <w:sz w:val="20"/>
          <w:szCs w:val="20"/>
        </w:rPr>
        <w:t xml:space="preserve"> de actores clave, generará impactos sostenibles en la gestión de la tierra, la biodiversidad y el bienestar de las comunidades locales.</w:t>
      </w:r>
    </w:p>
    <w:p w14:paraId="64238CC2" w14:textId="60A64A73"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Bidi"/>
          <w:sz w:val="20"/>
          <w:szCs w:val="20"/>
          <w:lang w:val="es-EC"/>
        </w:rPr>
      </w:pPr>
      <w:r w:rsidRPr="7CD6F03B">
        <w:rPr>
          <w:rFonts w:asciiTheme="minorHAnsi" w:hAnsiTheme="minorHAnsi" w:cstheme="minorBidi"/>
          <w:sz w:val="20"/>
          <w:szCs w:val="20"/>
        </w:rPr>
        <w:t xml:space="preserve">Los socios gubernamentales, como </w:t>
      </w:r>
      <w:r w:rsidR="009E221F" w:rsidRPr="7CD6F03B">
        <w:rPr>
          <w:rFonts w:asciiTheme="minorHAnsi" w:hAnsiTheme="minorHAnsi" w:cstheme="minorBidi"/>
          <w:sz w:val="20"/>
          <w:szCs w:val="20"/>
        </w:rPr>
        <w:t>MAE</w:t>
      </w:r>
      <w:r w:rsidRPr="7CD6F03B">
        <w:rPr>
          <w:rFonts w:asciiTheme="minorHAnsi" w:hAnsiTheme="minorHAnsi" w:cstheme="minorBidi"/>
          <w:sz w:val="20"/>
          <w:szCs w:val="20"/>
        </w:rPr>
        <w:t xml:space="preserve"> y </w:t>
      </w:r>
      <w:r w:rsidR="009E221F" w:rsidRPr="7CD6F03B">
        <w:rPr>
          <w:rFonts w:asciiTheme="minorHAnsi" w:hAnsiTheme="minorHAnsi" w:cstheme="minorBidi"/>
          <w:sz w:val="20"/>
          <w:szCs w:val="20"/>
        </w:rPr>
        <w:t>MAGP</w:t>
      </w:r>
      <w:r w:rsidRPr="7CD6F03B">
        <w:rPr>
          <w:rFonts w:asciiTheme="minorHAnsi" w:hAnsiTheme="minorHAnsi" w:cstheme="minorBidi"/>
          <w:sz w:val="20"/>
          <w:szCs w:val="20"/>
        </w:rPr>
        <w:t>, son fundamentales para liderar la implementación de políticas públicas y garantizar la alineación con los marcos regulatorios nacionales. Junto con los Gobiernos Autónomos Descentralizados (GAD) y la Secretaría Técnica del Distrito Territorial Especial de la Amazonía, fortalecerán los mecanismos de planificación y gobernanza territorial multinivel, clave para institucionalizar y escalar las intervenciones de los proyectos.</w:t>
      </w:r>
    </w:p>
    <w:p w14:paraId="42DBD7AD" w14:textId="5A802934"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Bidi"/>
          <w:sz w:val="20"/>
          <w:szCs w:val="20"/>
          <w:lang w:val="es-EC"/>
        </w:rPr>
      </w:pPr>
      <w:r w:rsidRPr="00A51E75">
        <w:rPr>
          <w:rFonts w:asciiTheme="minorHAnsi" w:hAnsiTheme="minorHAnsi" w:cstheme="minorBidi"/>
          <w:sz w:val="20"/>
          <w:szCs w:val="20"/>
        </w:rPr>
        <w:t xml:space="preserve">Las nacionalidades y pueblos indígenas, como los kichwa, shuar, cofán y </w:t>
      </w:r>
      <w:proofErr w:type="spellStart"/>
      <w:r w:rsidRPr="00A51E75">
        <w:rPr>
          <w:rFonts w:asciiTheme="minorHAnsi" w:hAnsiTheme="minorHAnsi" w:cstheme="minorBidi"/>
          <w:sz w:val="20"/>
          <w:szCs w:val="20"/>
        </w:rPr>
        <w:t>waorani</w:t>
      </w:r>
      <w:proofErr w:type="spellEnd"/>
      <w:r w:rsidRPr="00A51E75">
        <w:rPr>
          <w:rFonts w:asciiTheme="minorHAnsi" w:hAnsiTheme="minorHAnsi" w:cstheme="minorBidi"/>
          <w:sz w:val="20"/>
          <w:szCs w:val="20"/>
        </w:rPr>
        <w:t xml:space="preserve">, son actores centrales en la implementación, ya que sus territorios son áreas prioritarias de intervención. El proyecto incorpora sus Planes de Vida como instrumentos de planificación orientadora, reconociendo sus derechos colectivos y conocimientos </w:t>
      </w:r>
      <w:r w:rsidRPr="00A51E75">
        <w:rPr>
          <w:rFonts w:asciiTheme="minorHAnsi" w:hAnsiTheme="minorHAnsi" w:cstheme="minorBidi"/>
          <w:sz w:val="20"/>
          <w:szCs w:val="20"/>
        </w:rPr>
        <w:lastRenderedPageBreak/>
        <w:t>ancestrales, garantizando el Consentimiento Libre, Previo e Informado (</w:t>
      </w:r>
      <w:r w:rsidR="0036430A">
        <w:rPr>
          <w:rFonts w:asciiTheme="minorHAnsi" w:hAnsiTheme="minorHAnsi" w:cstheme="minorBidi"/>
          <w:sz w:val="20"/>
          <w:szCs w:val="20"/>
        </w:rPr>
        <w:t>CLPI</w:t>
      </w:r>
      <w:r w:rsidRPr="00A51E75">
        <w:rPr>
          <w:rFonts w:asciiTheme="minorHAnsi" w:hAnsiTheme="minorHAnsi" w:cstheme="minorBidi"/>
          <w:sz w:val="20"/>
          <w:szCs w:val="20"/>
        </w:rPr>
        <w:t xml:space="preserve">), y su </w:t>
      </w:r>
      <w:proofErr w:type="gramStart"/>
      <w:r w:rsidRPr="00A51E75">
        <w:rPr>
          <w:rFonts w:asciiTheme="minorHAnsi" w:hAnsiTheme="minorHAnsi" w:cstheme="minorBidi"/>
          <w:sz w:val="20"/>
          <w:szCs w:val="20"/>
        </w:rPr>
        <w:t>participación activa</w:t>
      </w:r>
      <w:proofErr w:type="gramEnd"/>
      <w:r w:rsidRPr="00A51E75">
        <w:rPr>
          <w:rFonts w:asciiTheme="minorHAnsi" w:hAnsiTheme="minorHAnsi" w:cstheme="minorBidi"/>
          <w:sz w:val="20"/>
          <w:szCs w:val="20"/>
        </w:rPr>
        <w:t xml:space="preserve"> en la toma de decisiones.</w:t>
      </w:r>
    </w:p>
    <w:p w14:paraId="06EDE297" w14:textId="07DE36C4"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 xml:space="preserve">Las organizaciones locales de productoras, mujeres y jóvenes rurales desempeñarán papeles destacados en los procesos de transformación hacia modelos sostenibles. Estas alianzas son esenciales para abordar supuestos clave de la teoría del cambio, que reconoce </w:t>
      </w:r>
      <w:r w:rsidR="0036430A" w:rsidRPr="00A51E75">
        <w:rPr>
          <w:rFonts w:asciiTheme="minorHAnsi" w:hAnsiTheme="minorHAnsi" w:cstheme="minorHAnsi"/>
          <w:sz w:val="20"/>
          <w:szCs w:val="20"/>
        </w:rPr>
        <w:t>que,</w:t>
      </w:r>
      <w:r w:rsidRPr="00A51E75">
        <w:rPr>
          <w:rFonts w:asciiTheme="minorHAnsi" w:hAnsiTheme="minorHAnsi" w:cstheme="minorHAnsi"/>
          <w:sz w:val="20"/>
          <w:szCs w:val="20"/>
        </w:rPr>
        <w:t xml:space="preserve"> sin la propiedad local, la sostenibilidad de los resultados es limitada.</w:t>
      </w:r>
    </w:p>
    <w:p w14:paraId="6F1A6D0E" w14:textId="21B2D103"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El sector privado, incluidas cooperativas, asociaciones de productores y empresas, se integrará mediante asociaciones público-privadas destinadas a fortalecer las cadenas de valor sostenibles, abrir mercados verdes y facilitar el acceso a la financiación verde. Se planifica colaboración con instituciones financieras públicas (BanEcuador, CFN, BDE, CONAFIPS) y entidades privadas para canalizar crédito e incentivos, especialmente hacia empresas lideradas por mujeres bajo esquemas de economía popular y solidaria.</w:t>
      </w:r>
    </w:p>
    <w:p w14:paraId="63D6A6BF" w14:textId="388000FE"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 xml:space="preserve">En cuanto a la cooperación internacional, se destacarán sinergias con iniciativas anteriores y actuales financiadas por el </w:t>
      </w:r>
      <w:r w:rsidR="0036430A">
        <w:rPr>
          <w:rFonts w:asciiTheme="minorHAnsi" w:hAnsiTheme="minorHAnsi" w:cstheme="minorHAnsi"/>
          <w:sz w:val="20"/>
          <w:szCs w:val="20"/>
        </w:rPr>
        <w:t>FMAM</w:t>
      </w:r>
      <w:r w:rsidRPr="00A51E75">
        <w:rPr>
          <w:rFonts w:asciiTheme="minorHAnsi" w:hAnsiTheme="minorHAnsi" w:cstheme="minorHAnsi"/>
          <w:sz w:val="20"/>
          <w:szCs w:val="20"/>
        </w:rPr>
        <w:t xml:space="preserve"> y sus fondos asociados, incluyendo el Proyecto de Pago </w:t>
      </w:r>
      <w:r w:rsidR="0036430A">
        <w:rPr>
          <w:rFonts w:asciiTheme="minorHAnsi" w:hAnsiTheme="minorHAnsi" w:cstheme="minorHAnsi"/>
          <w:sz w:val="20"/>
          <w:szCs w:val="20"/>
        </w:rPr>
        <w:t>por</w:t>
      </w:r>
      <w:r w:rsidRPr="00A51E75">
        <w:rPr>
          <w:rFonts w:asciiTheme="minorHAnsi" w:hAnsiTheme="minorHAnsi" w:cstheme="minorHAnsi"/>
          <w:sz w:val="20"/>
          <w:szCs w:val="20"/>
        </w:rPr>
        <w:t xml:space="preserve"> Resultados (PPR) REDD+ y el programa PROAmazonía, que han generado valiosas lecciones sobre gobernanza forestal, género y restauración. El proyecto también fomentará la articulación con los Fondos de Agua existentes (FONAG, FODESNA), que contribuyen con financiación y modelos replicables de gestión comunitaria del agua.</w:t>
      </w:r>
    </w:p>
    <w:p w14:paraId="3CC7E68C" w14:textId="77777777" w:rsidR="009D7DE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La participación de ONG y centros de investigación como WWF, CI, WCS, IKIAM, USFQ y PUCE mejorará la implementación técnica del proyecto, especialmente en restauración ecológica, monitorización, educación ambiental y desarrollo de capacidades. Su papel será clave para generar conocimiento, implementar proyectos piloto y ampliar las mejores prácticas.</w:t>
      </w:r>
    </w:p>
    <w:p w14:paraId="3F7D2694" w14:textId="4AEB7AEB" w:rsidR="00AB3154"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 xml:space="preserve">Estas alianzas se operacionalizarán a través de comités de coordinación y plataformas de gobernanza que garanticen una participación informada, equitativa e inclusiva, en consonancia con los principios del </w:t>
      </w:r>
      <w:r w:rsidR="00790DBE">
        <w:rPr>
          <w:rFonts w:asciiTheme="minorHAnsi" w:hAnsiTheme="minorHAnsi" w:cstheme="minorHAnsi"/>
          <w:sz w:val="20"/>
          <w:szCs w:val="20"/>
        </w:rPr>
        <w:t>FMAM</w:t>
      </w:r>
      <w:r w:rsidRPr="00A51E75">
        <w:rPr>
          <w:rFonts w:asciiTheme="minorHAnsi" w:hAnsiTheme="minorHAnsi" w:cstheme="minorHAnsi"/>
          <w:sz w:val="20"/>
          <w:szCs w:val="20"/>
        </w:rPr>
        <w:t>-8 y el marco de salvaguardias sociales y medioambientales del PNUD. El enfoque interseccional y sensible al género, guiado por el Plan de Acción de Género, garantiza que mujeres, jóvenes y pueblos indígenas participen activamente y se beneficien del proyecto, contribuyendo a resultados más equitativos, sostenibles y resilientes.</w:t>
      </w:r>
    </w:p>
    <w:p w14:paraId="677A9C30" w14:textId="77777777" w:rsidR="00AB3154" w:rsidRPr="00D830D9" w:rsidRDefault="00AB3154" w:rsidP="004032C7">
      <w:pPr>
        <w:contextualSpacing/>
        <w:jc w:val="both"/>
        <w:rPr>
          <w:rFonts w:asciiTheme="minorHAnsi" w:hAnsiTheme="minorHAnsi" w:cstheme="minorHAnsi"/>
          <w:sz w:val="20"/>
          <w:szCs w:val="20"/>
          <w:lang w:val="es-EC"/>
        </w:rPr>
      </w:pPr>
    </w:p>
    <w:p w14:paraId="27023EBC" w14:textId="5251F88A" w:rsidR="006524B6" w:rsidRPr="00A51E75" w:rsidRDefault="006524B6" w:rsidP="006524B6">
      <w:pPr>
        <w:pStyle w:val="Descripcin"/>
        <w:keepNext/>
        <w:jc w:val="center"/>
        <w:rPr>
          <w:rFonts w:asciiTheme="minorHAnsi" w:hAnsiTheme="minorHAnsi" w:cstheme="minorHAnsi"/>
        </w:rPr>
      </w:pPr>
      <w:bookmarkStart w:id="14" w:name="_Toc201073147"/>
      <w:r w:rsidRPr="00A51E75">
        <w:rPr>
          <w:rFonts w:asciiTheme="minorHAnsi" w:hAnsiTheme="minorHAnsi" w:cstheme="minorHAnsi"/>
        </w:rPr>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2</w:t>
      </w:r>
      <w:r w:rsidRPr="00A51E75">
        <w:rPr>
          <w:rFonts w:asciiTheme="minorHAnsi" w:hAnsiTheme="minorHAnsi" w:cstheme="minorHAnsi"/>
        </w:rPr>
        <w:fldChar w:fldCharType="end"/>
      </w:r>
      <w:r w:rsidRPr="00A51E75">
        <w:rPr>
          <w:rFonts w:asciiTheme="minorHAnsi" w:hAnsiTheme="minorHAnsi" w:cstheme="minorHAnsi"/>
        </w:rPr>
        <w:t>: Colaboraciones de proyectos</w:t>
      </w:r>
      <w:bookmarkEnd w:id="14"/>
    </w:p>
    <w:tbl>
      <w:tblPr>
        <w:tblStyle w:val="Tablaconcuadrcula"/>
        <w:tblW w:w="0" w:type="auto"/>
        <w:tblLook w:val="04A0" w:firstRow="1" w:lastRow="0" w:firstColumn="1" w:lastColumn="0" w:noHBand="0" w:noVBand="1"/>
      </w:tblPr>
      <w:tblGrid>
        <w:gridCol w:w="1519"/>
        <w:gridCol w:w="1687"/>
        <w:gridCol w:w="1859"/>
        <w:gridCol w:w="4285"/>
      </w:tblGrid>
      <w:tr w:rsidR="001409D9" w:rsidRPr="00A51E75" w14:paraId="206D019F" w14:textId="77777777" w:rsidTr="7CD6F03B">
        <w:tc>
          <w:tcPr>
            <w:tcW w:w="0" w:type="auto"/>
            <w:shd w:val="clear" w:color="auto" w:fill="D9D9D9" w:themeFill="background1" w:themeFillShade="D9"/>
            <w:vAlign w:val="center"/>
          </w:tcPr>
          <w:p w14:paraId="017A805A" w14:textId="77777777" w:rsidR="001409D9" w:rsidRPr="00A51E75" w:rsidRDefault="001409D9" w:rsidP="00A57352">
            <w:pPr>
              <w:rPr>
                <w:rFonts w:asciiTheme="minorHAnsi" w:hAnsiTheme="minorHAnsi" w:cstheme="minorHAnsi"/>
                <w:b/>
                <w:bCs/>
                <w:sz w:val="18"/>
                <w:szCs w:val="18"/>
                <w:lang w:val="en-US"/>
              </w:rPr>
            </w:pPr>
            <w:bookmarkStart w:id="15" w:name="_Hlk196760425"/>
            <w:r w:rsidRPr="00A51E75">
              <w:rPr>
                <w:rFonts w:asciiTheme="minorHAnsi" w:hAnsiTheme="minorHAnsi" w:cstheme="minorHAnsi"/>
                <w:b/>
                <w:bCs/>
                <w:sz w:val="18"/>
                <w:szCs w:val="18"/>
              </w:rPr>
              <w:t xml:space="preserve">Tipo </w:t>
            </w:r>
          </w:p>
        </w:tc>
        <w:tc>
          <w:tcPr>
            <w:tcW w:w="0" w:type="auto"/>
            <w:shd w:val="clear" w:color="auto" w:fill="D9D9D9" w:themeFill="background1" w:themeFillShade="D9"/>
            <w:vAlign w:val="center"/>
          </w:tcPr>
          <w:p w14:paraId="539AAC47" w14:textId="77777777" w:rsidR="001409D9" w:rsidRPr="00A51E75" w:rsidRDefault="001409D9" w:rsidP="00A57352">
            <w:pPr>
              <w:rPr>
                <w:rFonts w:asciiTheme="minorHAnsi" w:hAnsiTheme="minorHAnsi" w:cstheme="minorHAnsi"/>
                <w:b/>
                <w:bCs/>
                <w:sz w:val="18"/>
                <w:szCs w:val="18"/>
                <w:lang w:val="en-US"/>
              </w:rPr>
            </w:pPr>
            <w:r w:rsidRPr="00A51E75">
              <w:rPr>
                <w:rFonts w:asciiTheme="minorHAnsi" w:hAnsiTheme="minorHAnsi" w:cstheme="minorHAnsi"/>
                <w:b/>
                <w:bCs/>
                <w:sz w:val="18"/>
                <w:szCs w:val="18"/>
              </w:rPr>
              <w:t xml:space="preserve"> Grupo </w:t>
            </w:r>
          </w:p>
        </w:tc>
        <w:tc>
          <w:tcPr>
            <w:tcW w:w="0" w:type="auto"/>
            <w:shd w:val="clear" w:color="auto" w:fill="D9D9D9" w:themeFill="background1" w:themeFillShade="D9"/>
            <w:vAlign w:val="center"/>
          </w:tcPr>
          <w:p w14:paraId="6FCFF760" w14:textId="77777777" w:rsidR="001409D9" w:rsidRPr="00A51E75" w:rsidRDefault="001409D9" w:rsidP="00A57352">
            <w:pPr>
              <w:rPr>
                <w:rFonts w:asciiTheme="minorHAnsi" w:hAnsiTheme="minorHAnsi" w:cstheme="minorHAnsi"/>
                <w:b/>
                <w:bCs/>
                <w:sz w:val="18"/>
                <w:szCs w:val="18"/>
                <w:lang w:val="en-US"/>
              </w:rPr>
            </w:pPr>
            <w:r w:rsidRPr="00A51E75">
              <w:rPr>
                <w:rFonts w:asciiTheme="minorHAnsi" w:hAnsiTheme="minorHAnsi" w:cstheme="minorHAnsi"/>
                <w:b/>
                <w:bCs/>
                <w:sz w:val="18"/>
                <w:szCs w:val="18"/>
              </w:rPr>
              <w:t xml:space="preserve"> Actor </w:t>
            </w:r>
          </w:p>
        </w:tc>
        <w:tc>
          <w:tcPr>
            <w:tcW w:w="0" w:type="auto"/>
            <w:shd w:val="clear" w:color="auto" w:fill="D9D9D9" w:themeFill="background1" w:themeFillShade="D9"/>
            <w:vAlign w:val="center"/>
          </w:tcPr>
          <w:p w14:paraId="185217F0" w14:textId="77777777" w:rsidR="001409D9" w:rsidRPr="00A51E75" w:rsidRDefault="001409D9" w:rsidP="00A57352">
            <w:pPr>
              <w:rPr>
                <w:rFonts w:asciiTheme="minorHAnsi" w:hAnsiTheme="minorHAnsi" w:cstheme="minorHAnsi"/>
                <w:b/>
                <w:bCs/>
                <w:sz w:val="18"/>
                <w:szCs w:val="18"/>
                <w:lang w:val="en-US"/>
              </w:rPr>
            </w:pPr>
            <w:r w:rsidRPr="00A51E75">
              <w:rPr>
                <w:rFonts w:asciiTheme="minorHAnsi" w:hAnsiTheme="minorHAnsi" w:cstheme="minorHAnsi"/>
                <w:b/>
                <w:bCs/>
                <w:sz w:val="18"/>
                <w:szCs w:val="18"/>
              </w:rPr>
              <w:t xml:space="preserve"> Función</w:t>
            </w:r>
          </w:p>
        </w:tc>
      </w:tr>
      <w:tr w:rsidR="00A57352" w:rsidRPr="007D4F41" w14:paraId="306CEE71" w14:textId="77777777" w:rsidTr="7CD6F03B">
        <w:tc>
          <w:tcPr>
            <w:tcW w:w="0" w:type="auto"/>
            <w:vMerge w:val="restart"/>
            <w:vAlign w:val="center"/>
          </w:tcPr>
          <w:p w14:paraId="10E3E36B" w14:textId="788E085E"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Entidad pública</w:t>
            </w:r>
          </w:p>
        </w:tc>
        <w:tc>
          <w:tcPr>
            <w:tcW w:w="0" w:type="auto"/>
            <w:vAlign w:val="center"/>
          </w:tcPr>
          <w:p w14:paraId="11982B42"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Gobierno Nacional </w:t>
            </w:r>
          </w:p>
        </w:tc>
        <w:tc>
          <w:tcPr>
            <w:tcW w:w="0" w:type="auto"/>
            <w:vAlign w:val="center"/>
          </w:tcPr>
          <w:p w14:paraId="15C03CF9" w14:textId="22A3D246" w:rsidR="00A57352" w:rsidRPr="00A51E75" w:rsidRDefault="105B025B" w:rsidP="7CD6F03B">
            <w:pPr>
              <w:rPr>
                <w:rFonts w:asciiTheme="minorHAnsi" w:hAnsiTheme="minorHAnsi" w:cstheme="minorBidi"/>
                <w:sz w:val="18"/>
                <w:szCs w:val="18"/>
                <w:lang w:val="en-US"/>
              </w:rPr>
            </w:pP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w:t>
            </w:r>
          </w:p>
        </w:tc>
        <w:tc>
          <w:tcPr>
            <w:tcW w:w="0" w:type="auto"/>
            <w:vAlign w:val="center"/>
          </w:tcPr>
          <w:p w14:paraId="0AEFE691" w14:textId="7DCF7DF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Autoridad nacional medioambiental. Punto focal del </w:t>
            </w:r>
            <w:r w:rsidR="00993918">
              <w:rPr>
                <w:rFonts w:asciiTheme="minorHAnsi" w:hAnsiTheme="minorHAnsi" w:cstheme="minorHAnsi"/>
                <w:sz w:val="18"/>
                <w:szCs w:val="18"/>
              </w:rPr>
              <w:t>FMAM</w:t>
            </w:r>
            <w:r w:rsidRPr="00A51E75">
              <w:rPr>
                <w:rFonts w:asciiTheme="minorHAnsi" w:hAnsiTheme="minorHAnsi" w:cstheme="minorHAnsi"/>
                <w:sz w:val="18"/>
                <w:szCs w:val="18"/>
              </w:rPr>
              <w:t xml:space="preserve"> y para acuerdos medioambientales multilaterales. Responsable de la implementación del proyecto, incluyendo la coordinación interinstitucional, regulaciones, monitoreo ambiental, salvaguardas y liderazgo técnico de la Unidad de Gestión de Proyectos (UGP).</w:t>
            </w:r>
          </w:p>
        </w:tc>
      </w:tr>
      <w:tr w:rsidR="00A57352" w:rsidRPr="00A51E75" w14:paraId="43D6353B" w14:textId="77777777" w:rsidTr="7CD6F03B">
        <w:tc>
          <w:tcPr>
            <w:tcW w:w="0" w:type="auto"/>
            <w:vMerge/>
            <w:vAlign w:val="center"/>
          </w:tcPr>
          <w:p w14:paraId="5E042D81" w14:textId="13030CD7" w:rsidR="00A57352" w:rsidRPr="00D830D9" w:rsidRDefault="00A57352" w:rsidP="00A57352">
            <w:pPr>
              <w:rPr>
                <w:rFonts w:asciiTheme="minorHAnsi" w:hAnsiTheme="minorHAnsi" w:cstheme="minorHAnsi"/>
                <w:sz w:val="18"/>
                <w:szCs w:val="18"/>
                <w:lang w:val="es-EC"/>
              </w:rPr>
            </w:pPr>
          </w:p>
        </w:tc>
        <w:tc>
          <w:tcPr>
            <w:tcW w:w="0" w:type="auto"/>
            <w:vAlign w:val="center"/>
          </w:tcPr>
          <w:p w14:paraId="6152A080"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Gobierno Nacional </w:t>
            </w:r>
          </w:p>
        </w:tc>
        <w:tc>
          <w:tcPr>
            <w:tcW w:w="0" w:type="auto"/>
            <w:vAlign w:val="center"/>
          </w:tcPr>
          <w:p w14:paraId="39E44B42" w14:textId="64EDDFB6" w:rsidR="00A57352" w:rsidRPr="00A51E75" w:rsidRDefault="105B025B" w:rsidP="7CD6F03B">
            <w:pPr>
              <w:rPr>
                <w:rFonts w:asciiTheme="minorHAnsi" w:hAnsiTheme="minorHAnsi" w:cstheme="minorBidi"/>
                <w:sz w:val="18"/>
                <w:szCs w:val="18"/>
                <w:lang w:val="en-US"/>
              </w:rPr>
            </w:pP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MAGP</w:t>
            </w:r>
            <w:r w:rsidRPr="7CD6F03B">
              <w:rPr>
                <w:rFonts w:asciiTheme="minorHAnsi" w:hAnsiTheme="minorHAnsi" w:cstheme="minorBidi"/>
                <w:sz w:val="18"/>
                <w:szCs w:val="18"/>
              </w:rPr>
              <w:t xml:space="preserve"> </w:t>
            </w:r>
          </w:p>
        </w:tc>
        <w:tc>
          <w:tcPr>
            <w:tcW w:w="0" w:type="auto"/>
            <w:vAlign w:val="center"/>
          </w:tcPr>
          <w:p w14:paraId="0627E704" w14:textId="51757656" w:rsidR="00A57352" w:rsidRPr="007763F2"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Institución líder en el sector agrícola. Responsable del componente productivo, la formación MST/MFS y la difusión de información sobre </w:t>
            </w:r>
            <w:r w:rsidR="007763F2" w:rsidRPr="007763F2">
              <w:rPr>
                <w:rFonts w:asciiTheme="minorHAnsi" w:hAnsiTheme="minorHAnsi" w:cstheme="minorHAnsi"/>
                <w:sz w:val="18"/>
                <w:szCs w:val="18"/>
              </w:rPr>
              <w:t>Conservación de Paisajes Productivos</w:t>
            </w:r>
            <w:r w:rsidR="007763F2">
              <w:rPr>
                <w:rFonts w:asciiTheme="minorHAnsi" w:hAnsiTheme="minorHAnsi" w:cstheme="minorHAnsi"/>
                <w:sz w:val="18"/>
                <w:szCs w:val="18"/>
              </w:rPr>
              <w:t xml:space="preserve"> / </w:t>
            </w:r>
            <w:proofErr w:type="spellStart"/>
            <w:r w:rsidR="007763F2">
              <w:rPr>
                <w:rFonts w:asciiTheme="minorHAnsi" w:hAnsiTheme="minorHAnsi" w:cstheme="minorHAnsi"/>
                <w:sz w:val="18"/>
                <w:szCs w:val="18"/>
              </w:rPr>
              <w:t>Practicas</w:t>
            </w:r>
            <w:proofErr w:type="spellEnd"/>
            <w:r w:rsidR="007763F2">
              <w:rPr>
                <w:rFonts w:asciiTheme="minorHAnsi" w:hAnsiTheme="minorHAnsi" w:cstheme="minorHAnsi"/>
                <w:sz w:val="18"/>
                <w:szCs w:val="18"/>
              </w:rPr>
              <w:t xml:space="preserve"> Agrícolas Protegidas (</w:t>
            </w:r>
            <w:r w:rsidRPr="00A51E75">
              <w:rPr>
                <w:rFonts w:asciiTheme="minorHAnsi" w:hAnsiTheme="minorHAnsi" w:cstheme="minorHAnsi"/>
                <w:sz w:val="18"/>
                <w:szCs w:val="18"/>
              </w:rPr>
              <w:t>COP/PAP</w:t>
            </w:r>
            <w:r w:rsidR="007763F2">
              <w:rPr>
                <w:rFonts w:asciiTheme="minorHAnsi" w:hAnsiTheme="minorHAnsi" w:cstheme="minorHAnsi"/>
                <w:sz w:val="18"/>
                <w:szCs w:val="18"/>
              </w:rPr>
              <w:t>)</w:t>
            </w:r>
            <w:r w:rsidRPr="00A51E75">
              <w:rPr>
                <w:rFonts w:asciiTheme="minorHAnsi" w:hAnsiTheme="minorHAnsi" w:cstheme="minorHAnsi"/>
                <w:sz w:val="18"/>
                <w:szCs w:val="18"/>
              </w:rPr>
              <w:t>. Beneficiario directo y socio estratégico.</w:t>
            </w:r>
          </w:p>
        </w:tc>
      </w:tr>
      <w:tr w:rsidR="00A57352" w:rsidRPr="007D4F41" w14:paraId="3F231BB6" w14:textId="77777777" w:rsidTr="7CD6F03B">
        <w:tc>
          <w:tcPr>
            <w:tcW w:w="0" w:type="auto"/>
            <w:vMerge/>
            <w:vAlign w:val="center"/>
          </w:tcPr>
          <w:p w14:paraId="0BC4FBCB" w14:textId="4974A7EA" w:rsidR="00A57352" w:rsidRPr="007763F2" w:rsidRDefault="00A57352" w:rsidP="00A57352">
            <w:pPr>
              <w:rPr>
                <w:rFonts w:asciiTheme="minorHAnsi" w:hAnsiTheme="minorHAnsi" w:cstheme="minorHAnsi"/>
                <w:sz w:val="18"/>
                <w:szCs w:val="18"/>
                <w:lang w:val="es-EC"/>
              </w:rPr>
            </w:pPr>
          </w:p>
        </w:tc>
        <w:tc>
          <w:tcPr>
            <w:tcW w:w="0" w:type="auto"/>
            <w:vAlign w:val="center"/>
          </w:tcPr>
          <w:p w14:paraId="1EFC48AE"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Gobierno Nacional </w:t>
            </w:r>
          </w:p>
        </w:tc>
        <w:tc>
          <w:tcPr>
            <w:tcW w:w="0" w:type="auto"/>
            <w:vAlign w:val="center"/>
          </w:tcPr>
          <w:p w14:paraId="4F7CFBF3"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INAMHI </w:t>
            </w:r>
          </w:p>
        </w:tc>
        <w:tc>
          <w:tcPr>
            <w:tcW w:w="0" w:type="auto"/>
            <w:vAlign w:val="center"/>
          </w:tcPr>
          <w:p w14:paraId="08DA70B9" w14:textId="4E75AA9F" w:rsidR="00A57352" w:rsidRPr="00D830D9" w:rsidRDefault="105B025B" w:rsidP="7CD6F03B">
            <w:pPr>
              <w:rPr>
                <w:rFonts w:asciiTheme="minorHAnsi" w:hAnsiTheme="minorHAnsi" w:cstheme="minorBidi"/>
                <w:sz w:val="18"/>
                <w:szCs w:val="18"/>
                <w:lang w:val="es-EC"/>
              </w:rPr>
            </w:pPr>
            <w:r w:rsidRPr="7CD6F03B">
              <w:rPr>
                <w:rFonts w:asciiTheme="minorHAnsi" w:hAnsiTheme="minorHAnsi" w:cstheme="minorBidi"/>
                <w:sz w:val="18"/>
                <w:szCs w:val="18"/>
              </w:rPr>
              <w:t xml:space="preserve">Soporta el Sistema de Alerta Temprana (SAT) y la monitorización climática. Responsable de los datos hidrometeorológicos y la coordinación con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para la planificación del agua.</w:t>
            </w:r>
          </w:p>
        </w:tc>
      </w:tr>
      <w:tr w:rsidR="00A57352" w:rsidRPr="007D4F41" w14:paraId="5AAEA13B" w14:textId="77777777" w:rsidTr="7CD6F03B">
        <w:tc>
          <w:tcPr>
            <w:tcW w:w="0" w:type="auto"/>
            <w:vMerge/>
            <w:vAlign w:val="center"/>
          </w:tcPr>
          <w:p w14:paraId="40EAD8ED" w14:textId="7A3FDF96" w:rsidR="00A57352" w:rsidRPr="00D830D9" w:rsidRDefault="00A57352" w:rsidP="00A57352">
            <w:pPr>
              <w:rPr>
                <w:rFonts w:asciiTheme="minorHAnsi" w:hAnsiTheme="minorHAnsi" w:cstheme="minorHAnsi"/>
                <w:sz w:val="18"/>
                <w:szCs w:val="18"/>
                <w:lang w:val="es-EC"/>
              </w:rPr>
            </w:pPr>
          </w:p>
        </w:tc>
        <w:tc>
          <w:tcPr>
            <w:tcW w:w="0" w:type="auto"/>
            <w:vAlign w:val="center"/>
          </w:tcPr>
          <w:p w14:paraId="0C90E4B3"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Gobiernos locales </w:t>
            </w:r>
          </w:p>
        </w:tc>
        <w:tc>
          <w:tcPr>
            <w:tcW w:w="0" w:type="auto"/>
            <w:vAlign w:val="center"/>
          </w:tcPr>
          <w:p w14:paraId="2DA27062" w14:textId="3761B874" w:rsidR="00A57352" w:rsidRPr="00A51E75" w:rsidRDefault="007A085B" w:rsidP="00A57352">
            <w:pPr>
              <w:rPr>
                <w:rFonts w:asciiTheme="minorHAnsi" w:hAnsiTheme="minorHAnsi" w:cstheme="minorHAnsi"/>
                <w:sz w:val="18"/>
                <w:szCs w:val="18"/>
                <w:lang w:val="en-US"/>
              </w:rPr>
            </w:pPr>
            <w:r>
              <w:rPr>
                <w:rFonts w:asciiTheme="minorHAnsi" w:hAnsiTheme="minorHAnsi" w:cstheme="minorHAnsi"/>
                <w:sz w:val="18"/>
                <w:szCs w:val="18"/>
              </w:rPr>
              <w:t>GAD</w:t>
            </w:r>
            <w:r w:rsidR="00A57352" w:rsidRPr="00A51E75">
              <w:rPr>
                <w:rFonts w:asciiTheme="minorHAnsi" w:hAnsiTheme="minorHAnsi" w:cstheme="minorHAnsi"/>
                <w:sz w:val="18"/>
                <w:szCs w:val="18"/>
              </w:rPr>
              <w:t xml:space="preserve"> (Archidona y otros) </w:t>
            </w:r>
          </w:p>
        </w:tc>
        <w:tc>
          <w:tcPr>
            <w:tcW w:w="0" w:type="auto"/>
            <w:vAlign w:val="center"/>
          </w:tcPr>
          <w:p w14:paraId="4BBE32C6" w14:textId="0588B1D0"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Facilitar la implementación territorial. Parte del marco de gobernanza multinivel, apoyan la cogestión, la planificación y el acceso a la financiación.</w:t>
            </w:r>
          </w:p>
        </w:tc>
      </w:tr>
      <w:tr w:rsidR="00A57352" w:rsidRPr="007D4F41" w14:paraId="27D9F04C" w14:textId="77777777" w:rsidTr="7CD6F03B">
        <w:tc>
          <w:tcPr>
            <w:tcW w:w="0" w:type="auto"/>
            <w:vMerge/>
            <w:vAlign w:val="center"/>
          </w:tcPr>
          <w:p w14:paraId="786C4353" w14:textId="543C3CD7" w:rsidR="00A57352" w:rsidRPr="00D830D9" w:rsidRDefault="00A57352" w:rsidP="00A57352">
            <w:pPr>
              <w:rPr>
                <w:rFonts w:asciiTheme="minorHAnsi" w:hAnsiTheme="minorHAnsi" w:cstheme="minorHAnsi"/>
                <w:sz w:val="18"/>
                <w:szCs w:val="18"/>
                <w:lang w:val="es-EC"/>
              </w:rPr>
            </w:pPr>
          </w:p>
        </w:tc>
        <w:tc>
          <w:tcPr>
            <w:tcW w:w="0" w:type="auto"/>
            <w:vAlign w:val="center"/>
          </w:tcPr>
          <w:p w14:paraId="6C5FC0C2"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Gobierno Regional </w:t>
            </w:r>
          </w:p>
        </w:tc>
        <w:tc>
          <w:tcPr>
            <w:tcW w:w="0" w:type="auto"/>
            <w:vAlign w:val="center"/>
          </w:tcPr>
          <w:p w14:paraId="3072CB30" w14:textId="699684E8" w:rsidR="00A57352" w:rsidRPr="00895463"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CTEA (</w:t>
            </w:r>
            <w:r w:rsidR="007763F2">
              <w:rPr>
                <w:rFonts w:asciiTheme="minorHAnsi" w:hAnsiTheme="minorHAnsi" w:cstheme="minorHAnsi"/>
                <w:sz w:val="18"/>
                <w:szCs w:val="18"/>
              </w:rPr>
              <w:t xml:space="preserve">Circunscripción </w:t>
            </w:r>
            <w:r w:rsidR="007763F2" w:rsidRPr="00A51E75">
              <w:rPr>
                <w:rFonts w:asciiTheme="minorHAnsi" w:hAnsiTheme="minorHAnsi" w:cstheme="minorHAnsi"/>
                <w:sz w:val="18"/>
                <w:szCs w:val="18"/>
              </w:rPr>
              <w:t>Territorial</w:t>
            </w:r>
            <w:r w:rsidRPr="00A51E75">
              <w:rPr>
                <w:rFonts w:asciiTheme="minorHAnsi" w:hAnsiTheme="minorHAnsi" w:cstheme="minorHAnsi"/>
                <w:sz w:val="18"/>
                <w:szCs w:val="18"/>
              </w:rPr>
              <w:t xml:space="preserve"> Especial Amazónico) </w:t>
            </w:r>
          </w:p>
        </w:tc>
        <w:tc>
          <w:tcPr>
            <w:tcW w:w="0" w:type="auto"/>
            <w:vAlign w:val="center"/>
          </w:tcPr>
          <w:p w14:paraId="3EE9BBE4"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Actor público clave en la cogestión, la financiación sostenible, el fortalecimiento de las capacidades indígenas y la articulación con mecanismos de gobernanza territorial. Facilita el acceso a fondos comunes, redes de </w:t>
            </w:r>
            <w:proofErr w:type="spellStart"/>
            <w:r w:rsidRPr="00A51E75">
              <w:rPr>
                <w:rFonts w:asciiTheme="minorHAnsi" w:hAnsiTheme="minorHAnsi" w:cstheme="minorHAnsi"/>
                <w:sz w:val="18"/>
                <w:szCs w:val="18"/>
              </w:rPr>
              <w:t>bionegocios</w:t>
            </w:r>
            <w:proofErr w:type="spellEnd"/>
            <w:r w:rsidRPr="00A51E75">
              <w:rPr>
                <w:rFonts w:asciiTheme="minorHAnsi" w:hAnsiTheme="minorHAnsi" w:cstheme="minorHAnsi"/>
                <w:sz w:val="18"/>
                <w:szCs w:val="18"/>
              </w:rPr>
              <w:t xml:space="preserve"> y políticas amazónicas.</w:t>
            </w:r>
          </w:p>
        </w:tc>
      </w:tr>
      <w:tr w:rsidR="00A57352" w:rsidRPr="007D4F41" w14:paraId="20545B87" w14:textId="77777777" w:rsidTr="7CD6F03B">
        <w:tc>
          <w:tcPr>
            <w:tcW w:w="0" w:type="auto"/>
            <w:vMerge w:val="restart"/>
            <w:vAlign w:val="center"/>
          </w:tcPr>
          <w:p w14:paraId="6EE45E9C" w14:textId="29A04DEA"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Sociedad civil, pueblos y nacionalidades </w:t>
            </w:r>
          </w:p>
        </w:tc>
        <w:tc>
          <w:tcPr>
            <w:tcW w:w="0" w:type="auto"/>
            <w:vAlign w:val="center"/>
          </w:tcPr>
          <w:p w14:paraId="4A0E800E" w14:textId="5B13EF42"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Organizaciones indígenas </w:t>
            </w:r>
          </w:p>
        </w:tc>
        <w:tc>
          <w:tcPr>
            <w:tcW w:w="0" w:type="auto"/>
            <w:vAlign w:val="center"/>
          </w:tcPr>
          <w:p w14:paraId="29537CD1" w14:textId="3AEE17CD"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CONFENIAE, FOIN, PKR </w:t>
            </w:r>
          </w:p>
        </w:tc>
        <w:tc>
          <w:tcPr>
            <w:tcW w:w="0" w:type="auto"/>
            <w:vAlign w:val="center"/>
          </w:tcPr>
          <w:p w14:paraId="02E82EB4"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Representación política de los pueblos indígenas amazónicos. </w:t>
            </w:r>
            <w:proofErr w:type="spellStart"/>
            <w:r w:rsidRPr="00A51E75">
              <w:rPr>
                <w:rFonts w:asciiTheme="minorHAnsi" w:hAnsiTheme="minorHAnsi" w:cstheme="minorHAnsi"/>
                <w:sz w:val="18"/>
                <w:szCs w:val="18"/>
              </w:rPr>
              <w:t>Co-diseñar</w:t>
            </w:r>
            <w:proofErr w:type="spellEnd"/>
            <w:r w:rsidRPr="00A51E75">
              <w:rPr>
                <w:rFonts w:asciiTheme="minorHAnsi" w:hAnsiTheme="minorHAnsi" w:cstheme="minorHAnsi"/>
                <w:sz w:val="18"/>
                <w:szCs w:val="18"/>
              </w:rPr>
              <w:t xml:space="preserve"> proyectos, validar Planes de </w:t>
            </w:r>
            <w:r w:rsidRPr="00A51E75">
              <w:rPr>
                <w:rFonts w:asciiTheme="minorHAnsi" w:hAnsiTheme="minorHAnsi" w:cstheme="minorHAnsi"/>
                <w:sz w:val="18"/>
                <w:szCs w:val="18"/>
              </w:rPr>
              <w:lastRenderedPageBreak/>
              <w:t>Vida, liderar procesos comunitarios y fortalecer la gobernanza indígena.</w:t>
            </w:r>
          </w:p>
        </w:tc>
      </w:tr>
      <w:tr w:rsidR="00A57352" w:rsidRPr="007D4F41" w14:paraId="125915F3" w14:textId="77777777" w:rsidTr="7CD6F03B">
        <w:tc>
          <w:tcPr>
            <w:tcW w:w="0" w:type="auto"/>
            <w:vMerge/>
            <w:vAlign w:val="center"/>
          </w:tcPr>
          <w:p w14:paraId="5F47FCFF" w14:textId="27627272" w:rsidR="00A57352" w:rsidRPr="00D830D9" w:rsidRDefault="00A57352" w:rsidP="00A57352">
            <w:pPr>
              <w:rPr>
                <w:rFonts w:asciiTheme="minorHAnsi" w:hAnsiTheme="minorHAnsi" w:cstheme="minorHAnsi"/>
                <w:sz w:val="18"/>
                <w:szCs w:val="18"/>
                <w:lang w:val="es-EC"/>
              </w:rPr>
            </w:pPr>
          </w:p>
        </w:tc>
        <w:tc>
          <w:tcPr>
            <w:tcW w:w="0" w:type="auto"/>
            <w:vAlign w:val="center"/>
          </w:tcPr>
          <w:p w14:paraId="67C1A0E5"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Organizaciones comunitarias </w:t>
            </w:r>
          </w:p>
        </w:tc>
        <w:tc>
          <w:tcPr>
            <w:tcW w:w="0" w:type="auto"/>
            <w:vAlign w:val="center"/>
          </w:tcPr>
          <w:p w14:paraId="0A465E5E" w14:textId="77777777" w:rsidR="00A57352" w:rsidRPr="00895463"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Comités de cogestión, brigadas comunitarias, comunidades locales </w:t>
            </w:r>
          </w:p>
        </w:tc>
        <w:tc>
          <w:tcPr>
            <w:tcW w:w="0" w:type="auto"/>
            <w:vAlign w:val="center"/>
          </w:tcPr>
          <w:p w14:paraId="489EE236"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Actores clave en la implementación territorial, restauración, monitoreo participativo y toma de decisiones en materia de tierra, biodiversidad y agua.</w:t>
            </w:r>
          </w:p>
        </w:tc>
      </w:tr>
      <w:tr w:rsidR="00A57352" w:rsidRPr="007D4F41" w14:paraId="42EE7D1D" w14:textId="77777777" w:rsidTr="7CD6F03B">
        <w:tc>
          <w:tcPr>
            <w:tcW w:w="0" w:type="auto"/>
            <w:vMerge/>
            <w:vAlign w:val="center"/>
          </w:tcPr>
          <w:p w14:paraId="7EABC711" w14:textId="42652AA2" w:rsidR="00A57352" w:rsidRPr="00D830D9" w:rsidRDefault="00A57352" w:rsidP="00A57352">
            <w:pPr>
              <w:rPr>
                <w:rFonts w:asciiTheme="minorHAnsi" w:hAnsiTheme="minorHAnsi" w:cstheme="minorHAnsi"/>
                <w:sz w:val="18"/>
                <w:szCs w:val="18"/>
                <w:lang w:val="es-EC"/>
              </w:rPr>
            </w:pPr>
          </w:p>
        </w:tc>
        <w:tc>
          <w:tcPr>
            <w:tcW w:w="0" w:type="auto"/>
            <w:vAlign w:val="center"/>
          </w:tcPr>
          <w:p w14:paraId="1F00D56F"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Organizaciones de mujeres y jóvenes </w:t>
            </w:r>
          </w:p>
        </w:tc>
        <w:tc>
          <w:tcPr>
            <w:tcW w:w="0" w:type="auto"/>
            <w:vAlign w:val="center"/>
          </w:tcPr>
          <w:p w14:paraId="7E08B958"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Redes de Mujeres Amazónicas, Red Juvenil del Ejército de Salud Yasuní </w:t>
            </w:r>
          </w:p>
        </w:tc>
        <w:tc>
          <w:tcPr>
            <w:tcW w:w="0" w:type="auto"/>
            <w:vAlign w:val="center"/>
          </w:tcPr>
          <w:p w14:paraId="2FBB63C0"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Participación en procesos de gobernanza, liderazgo en restauración, supervisión, bioempresas y formación con enfoque en género e interseccionalidad.</w:t>
            </w:r>
          </w:p>
        </w:tc>
      </w:tr>
      <w:tr w:rsidR="001409D9" w:rsidRPr="007D4F41" w14:paraId="14A5669C" w14:textId="77777777" w:rsidTr="7CD6F03B">
        <w:tc>
          <w:tcPr>
            <w:tcW w:w="0" w:type="auto"/>
            <w:vAlign w:val="center"/>
          </w:tcPr>
          <w:p w14:paraId="52429C7F"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Academia </w:t>
            </w:r>
          </w:p>
        </w:tc>
        <w:tc>
          <w:tcPr>
            <w:tcW w:w="0" w:type="auto"/>
            <w:vAlign w:val="center"/>
          </w:tcPr>
          <w:p w14:paraId="607AA19B"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Universidades </w:t>
            </w:r>
          </w:p>
        </w:tc>
        <w:tc>
          <w:tcPr>
            <w:tcW w:w="0" w:type="auto"/>
            <w:vAlign w:val="center"/>
          </w:tcPr>
          <w:p w14:paraId="5B969F9B"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IKIAM, USFQ </w:t>
            </w:r>
          </w:p>
        </w:tc>
        <w:tc>
          <w:tcPr>
            <w:tcW w:w="0" w:type="auto"/>
            <w:vAlign w:val="center"/>
          </w:tcPr>
          <w:p w14:paraId="3C75F784" w14:textId="77777777"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Socios en investigación aplicada, monitorización hidrológica, desarrollo de capacidades, diseño SAT y formación técnica.</w:t>
            </w:r>
          </w:p>
        </w:tc>
      </w:tr>
      <w:tr w:rsidR="00A57352" w:rsidRPr="007D4F41" w14:paraId="13E62DAF" w14:textId="77777777" w:rsidTr="7CD6F03B">
        <w:tc>
          <w:tcPr>
            <w:tcW w:w="0" w:type="auto"/>
            <w:vMerge w:val="restart"/>
            <w:vAlign w:val="center"/>
          </w:tcPr>
          <w:p w14:paraId="285E387A" w14:textId="187BA54E"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ONG </w:t>
            </w:r>
          </w:p>
        </w:tc>
        <w:tc>
          <w:tcPr>
            <w:tcW w:w="0" w:type="auto"/>
            <w:vAlign w:val="center"/>
          </w:tcPr>
          <w:p w14:paraId="41A976F0"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Conservación y Desarrollo Sostenible </w:t>
            </w:r>
          </w:p>
        </w:tc>
        <w:tc>
          <w:tcPr>
            <w:tcW w:w="0" w:type="auto"/>
            <w:vAlign w:val="center"/>
          </w:tcPr>
          <w:p w14:paraId="1D44AE21"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ECOCIENCIA </w:t>
            </w:r>
          </w:p>
        </w:tc>
        <w:tc>
          <w:tcPr>
            <w:tcW w:w="0" w:type="auto"/>
            <w:vAlign w:val="center"/>
          </w:tcPr>
          <w:p w14:paraId="6ED8F2C4"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Apoya la trazabilidad de créditos verdes, la monitorización financiera, el desarrollo de capacidades en sostenibilidad y el uso de plataformas de monitorización.</w:t>
            </w:r>
          </w:p>
        </w:tc>
      </w:tr>
      <w:tr w:rsidR="00A57352" w:rsidRPr="007D4F41" w14:paraId="18B23A7D" w14:textId="77777777" w:rsidTr="7CD6F03B">
        <w:tc>
          <w:tcPr>
            <w:tcW w:w="0" w:type="auto"/>
            <w:vMerge/>
            <w:vAlign w:val="center"/>
          </w:tcPr>
          <w:p w14:paraId="00735C62" w14:textId="2BC67391" w:rsidR="00A57352" w:rsidRPr="00D830D9" w:rsidRDefault="00A57352" w:rsidP="00A57352">
            <w:pPr>
              <w:rPr>
                <w:rFonts w:asciiTheme="minorHAnsi" w:hAnsiTheme="minorHAnsi" w:cstheme="minorHAnsi"/>
                <w:sz w:val="18"/>
                <w:szCs w:val="18"/>
                <w:lang w:val="es-EC"/>
              </w:rPr>
            </w:pPr>
          </w:p>
        </w:tc>
        <w:tc>
          <w:tcPr>
            <w:tcW w:w="0" w:type="auto"/>
            <w:vAlign w:val="center"/>
          </w:tcPr>
          <w:p w14:paraId="64ABCBDA"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Conservación y Desarrollo Sostenible </w:t>
            </w:r>
          </w:p>
        </w:tc>
        <w:tc>
          <w:tcPr>
            <w:tcW w:w="0" w:type="auto"/>
            <w:vAlign w:val="center"/>
          </w:tcPr>
          <w:p w14:paraId="2DB86980"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WCS </w:t>
            </w:r>
          </w:p>
        </w:tc>
        <w:tc>
          <w:tcPr>
            <w:tcW w:w="0" w:type="auto"/>
            <w:vAlign w:val="center"/>
          </w:tcPr>
          <w:p w14:paraId="16B429BF" w14:textId="57692C1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Apoya la cogestión, la conservación de la biodiversidad, el fortalecimiento comunitario y la conexión con mecanismos internacionales </w:t>
            </w:r>
            <w:r w:rsidR="00422E37">
              <w:rPr>
                <w:rFonts w:asciiTheme="minorHAnsi" w:hAnsiTheme="minorHAnsi" w:cstheme="minorHAnsi"/>
                <w:sz w:val="18"/>
                <w:szCs w:val="18"/>
              </w:rPr>
              <w:t xml:space="preserve">como el Fondo De Paisajes Patrimoniales </w:t>
            </w:r>
            <w:r w:rsidRPr="00A51E75">
              <w:rPr>
                <w:rFonts w:asciiTheme="minorHAnsi" w:hAnsiTheme="minorHAnsi" w:cstheme="minorHAnsi"/>
                <w:sz w:val="18"/>
                <w:szCs w:val="18"/>
              </w:rPr>
              <w:t>(LLF</w:t>
            </w:r>
            <w:r w:rsidR="00422E37">
              <w:rPr>
                <w:rFonts w:asciiTheme="minorHAnsi" w:hAnsiTheme="minorHAnsi" w:cstheme="minorHAnsi"/>
                <w:sz w:val="18"/>
                <w:szCs w:val="18"/>
              </w:rPr>
              <w:t xml:space="preserve"> por sus siglas en ingles</w:t>
            </w:r>
            <w:r w:rsidRPr="00A51E75">
              <w:rPr>
                <w:rFonts w:asciiTheme="minorHAnsi" w:hAnsiTheme="minorHAnsi" w:cstheme="minorHAnsi"/>
                <w:sz w:val="18"/>
                <w:szCs w:val="18"/>
              </w:rPr>
              <w:t>).</w:t>
            </w:r>
          </w:p>
        </w:tc>
      </w:tr>
      <w:tr w:rsidR="00A57352" w:rsidRPr="007D4F41" w14:paraId="16911E55" w14:textId="77777777" w:rsidTr="7CD6F03B">
        <w:tc>
          <w:tcPr>
            <w:tcW w:w="0" w:type="auto"/>
            <w:vMerge/>
            <w:vAlign w:val="center"/>
          </w:tcPr>
          <w:p w14:paraId="087A866F" w14:textId="219488C9" w:rsidR="00A57352" w:rsidRPr="00D830D9" w:rsidRDefault="00A57352" w:rsidP="00A57352">
            <w:pPr>
              <w:rPr>
                <w:rFonts w:asciiTheme="minorHAnsi" w:hAnsiTheme="minorHAnsi" w:cstheme="minorHAnsi"/>
                <w:sz w:val="18"/>
                <w:szCs w:val="18"/>
                <w:lang w:val="es-EC"/>
              </w:rPr>
            </w:pPr>
          </w:p>
        </w:tc>
        <w:tc>
          <w:tcPr>
            <w:tcW w:w="0" w:type="auto"/>
            <w:vAlign w:val="center"/>
          </w:tcPr>
          <w:p w14:paraId="5F840C91"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Conservación y Desarrollo Sostenible </w:t>
            </w:r>
          </w:p>
        </w:tc>
        <w:tc>
          <w:tcPr>
            <w:tcW w:w="0" w:type="auto"/>
            <w:vAlign w:val="center"/>
          </w:tcPr>
          <w:p w14:paraId="67E2F203"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WWF </w:t>
            </w:r>
          </w:p>
        </w:tc>
        <w:tc>
          <w:tcPr>
            <w:tcW w:w="0" w:type="auto"/>
            <w:vAlign w:val="center"/>
          </w:tcPr>
          <w:p w14:paraId="086B470B"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Promueve prácticas productivas sostenibles, la restauración ecológica y la conservación de ecosistemas estratégicos.</w:t>
            </w:r>
          </w:p>
        </w:tc>
      </w:tr>
      <w:tr w:rsidR="00A57352" w:rsidRPr="007D4F41" w14:paraId="2B05E670" w14:textId="77777777" w:rsidTr="7CD6F03B">
        <w:tc>
          <w:tcPr>
            <w:tcW w:w="0" w:type="auto"/>
            <w:vMerge/>
            <w:vAlign w:val="center"/>
          </w:tcPr>
          <w:p w14:paraId="5845523C" w14:textId="6CADDDE9" w:rsidR="00A57352" w:rsidRPr="00D830D9" w:rsidRDefault="00A57352" w:rsidP="00A57352">
            <w:pPr>
              <w:rPr>
                <w:rFonts w:asciiTheme="minorHAnsi" w:hAnsiTheme="minorHAnsi" w:cstheme="minorHAnsi"/>
                <w:sz w:val="18"/>
                <w:szCs w:val="18"/>
                <w:lang w:val="es-EC"/>
              </w:rPr>
            </w:pPr>
          </w:p>
        </w:tc>
        <w:tc>
          <w:tcPr>
            <w:tcW w:w="0" w:type="auto"/>
            <w:vAlign w:val="center"/>
          </w:tcPr>
          <w:p w14:paraId="767099D7"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Conservación y Desarrollo Sostenible </w:t>
            </w:r>
          </w:p>
        </w:tc>
        <w:tc>
          <w:tcPr>
            <w:tcW w:w="0" w:type="auto"/>
            <w:vAlign w:val="center"/>
          </w:tcPr>
          <w:p w14:paraId="58CAC956" w14:textId="0EE7EA92"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CI (</w:t>
            </w:r>
            <w:r w:rsidR="007A085B" w:rsidRPr="00A51E75">
              <w:rPr>
                <w:rFonts w:asciiTheme="minorHAnsi" w:hAnsiTheme="minorHAnsi" w:cstheme="minorHAnsi"/>
                <w:sz w:val="18"/>
                <w:szCs w:val="18"/>
              </w:rPr>
              <w:t>Conservación</w:t>
            </w:r>
            <w:r w:rsidRPr="00A51E75">
              <w:rPr>
                <w:rFonts w:asciiTheme="minorHAnsi" w:hAnsiTheme="minorHAnsi" w:cstheme="minorHAnsi"/>
                <w:sz w:val="18"/>
                <w:szCs w:val="18"/>
              </w:rPr>
              <w:t xml:space="preserve"> Interna</w:t>
            </w:r>
            <w:r w:rsidR="007A085B">
              <w:rPr>
                <w:rFonts w:asciiTheme="minorHAnsi" w:hAnsiTheme="minorHAnsi" w:cstheme="minorHAnsi"/>
                <w:sz w:val="18"/>
                <w:szCs w:val="18"/>
              </w:rPr>
              <w:t>c</w:t>
            </w:r>
            <w:r w:rsidRPr="00A51E75">
              <w:rPr>
                <w:rFonts w:asciiTheme="minorHAnsi" w:hAnsiTheme="minorHAnsi" w:cstheme="minorHAnsi"/>
                <w:sz w:val="18"/>
                <w:szCs w:val="18"/>
              </w:rPr>
              <w:t xml:space="preserve">ional) </w:t>
            </w:r>
          </w:p>
        </w:tc>
        <w:tc>
          <w:tcPr>
            <w:tcW w:w="0" w:type="auto"/>
            <w:vAlign w:val="center"/>
          </w:tcPr>
          <w:p w14:paraId="769AC85F"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Promueve soluciones basadas en la naturaleza y el fortalecimiento de las bioempresas, especialmente aquellas dirigidas por mujeres.</w:t>
            </w:r>
          </w:p>
        </w:tc>
      </w:tr>
      <w:tr w:rsidR="00A57352" w:rsidRPr="007D4F41" w14:paraId="7F9AC801" w14:textId="77777777" w:rsidTr="7CD6F03B">
        <w:tc>
          <w:tcPr>
            <w:tcW w:w="0" w:type="auto"/>
            <w:vMerge/>
            <w:vAlign w:val="center"/>
          </w:tcPr>
          <w:p w14:paraId="1C662F55" w14:textId="39295A2A" w:rsidR="00A57352" w:rsidRPr="00D830D9" w:rsidRDefault="00A57352" w:rsidP="00A57352">
            <w:pPr>
              <w:rPr>
                <w:rFonts w:asciiTheme="minorHAnsi" w:hAnsiTheme="minorHAnsi" w:cstheme="minorHAnsi"/>
                <w:sz w:val="18"/>
                <w:szCs w:val="18"/>
                <w:lang w:val="es-EC"/>
              </w:rPr>
            </w:pPr>
          </w:p>
        </w:tc>
        <w:tc>
          <w:tcPr>
            <w:tcW w:w="0" w:type="auto"/>
            <w:vAlign w:val="center"/>
          </w:tcPr>
          <w:p w14:paraId="17327EC9" w14:textId="721E9EC1"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Conservación y Desarrollo Sostenible </w:t>
            </w:r>
          </w:p>
        </w:tc>
        <w:tc>
          <w:tcPr>
            <w:tcW w:w="0" w:type="auto"/>
            <w:vAlign w:val="center"/>
          </w:tcPr>
          <w:p w14:paraId="0736B3A0" w14:textId="77777777" w:rsidR="00A57352" w:rsidRPr="00A51E75" w:rsidRDefault="00A57352"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TNC (</w:t>
            </w:r>
            <w:proofErr w:type="spellStart"/>
            <w:r w:rsidRPr="00A51E75">
              <w:rPr>
                <w:rFonts w:asciiTheme="minorHAnsi" w:hAnsiTheme="minorHAnsi" w:cstheme="minorHAnsi"/>
                <w:sz w:val="18"/>
                <w:szCs w:val="18"/>
              </w:rPr>
              <w:t>The</w:t>
            </w:r>
            <w:proofErr w:type="spellEnd"/>
            <w:r w:rsidRPr="00A51E75">
              <w:rPr>
                <w:rFonts w:asciiTheme="minorHAnsi" w:hAnsiTheme="minorHAnsi" w:cstheme="minorHAnsi"/>
                <w:sz w:val="18"/>
                <w:szCs w:val="18"/>
              </w:rPr>
              <w:t xml:space="preserve"> Nature </w:t>
            </w:r>
            <w:proofErr w:type="spellStart"/>
            <w:r w:rsidRPr="00A51E75">
              <w:rPr>
                <w:rFonts w:asciiTheme="minorHAnsi" w:hAnsiTheme="minorHAnsi" w:cstheme="minorHAnsi"/>
                <w:sz w:val="18"/>
                <w:szCs w:val="18"/>
              </w:rPr>
              <w:t>Conservancy</w:t>
            </w:r>
            <w:proofErr w:type="spellEnd"/>
            <w:r w:rsidRPr="00A51E75">
              <w:rPr>
                <w:rFonts w:asciiTheme="minorHAnsi" w:hAnsiTheme="minorHAnsi" w:cstheme="minorHAnsi"/>
                <w:sz w:val="18"/>
                <w:szCs w:val="18"/>
              </w:rPr>
              <w:t xml:space="preserve">) </w:t>
            </w:r>
          </w:p>
        </w:tc>
        <w:tc>
          <w:tcPr>
            <w:tcW w:w="0" w:type="auto"/>
            <w:vAlign w:val="center"/>
          </w:tcPr>
          <w:p w14:paraId="5895A2FE" w14:textId="77777777" w:rsidR="00A57352" w:rsidRPr="00D830D9" w:rsidRDefault="00A57352"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Proporciona asistencia técnica y financiera para la restauración ecológica, la gestión integrada de cuencas hidrográficas y el desarrollo de modelos de negocio sostenibles con un enfoque comunitario.</w:t>
            </w:r>
          </w:p>
        </w:tc>
      </w:tr>
      <w:tr w:rsidR="001409D9" w:rsidRPr="00A51E75" w14:paraId="7A037148" w14:textId="77777777" w:rsidTr="7CD6F03B">
        <w:tc>
          <w:tcPr>
            <w:tcW w:w="0" w:type="auto"/>
            <w:vAlign w:val="center"/>
          </w:tcPr>
          <w:p w14:paraId="6FF7D77B"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Cooperación Internacional </w:t>
            </w:r>
          </w:p>
        </w:tc>
        <w:tc>
          <w:tcPr>
            <w:tcW w:w="0" w:type="auto"/>
            <w:vAlign w:val="center"/>
          </w:tcPr>
          <w:p w14:paraId="1212731C" w14:textId="77777777"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Agencia de Implementación y Soporte Técnico </w:t>
            </w:r>
          </w:p>
        </w:tc>
        <w:tc>
          <w:tcPr>
            <w:tcW w:w="0" w:type="auto"/>
            <w:vAlign w:val="center"/>
          </w:tcPr>
          <w:p w14:paraId="68D6C286"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PNUD </w:t>
            </w:r>
          </w:p>
        </w:tc>
        <w:tc>
          <w:tcPr>
            <w:tcW w:w="0" w:type="auto"/>
            <w:vAlign w:val="center"/>
          </w:tcPr>
          <w:p w14:paraId="11F18837"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Agencia ejecutora del proyecto. Lidera la formulación, supervisión, salvaguardas del cumplimiento, estrategia de género y supervisión. Proporciona asistencia técnica y cofinanciación.</w:t>
            </w:r>
          </w:p>
        </w:tc>
      </w:tr>
      <w:tr w:rsidR="001409D9" w:rsidRPr="007D4F41" w14:paraId="27FB3876" w14:textId="77777777" w:rsidTr="7CD6F03B">
        <w:tc>
          <w:tcPr>
            <w:tcW w:w="0" w:type="auto"/>
            <w:vAlign w:val="center"/>
          </w:tcPr>
          <w:p w14:paraId="711DC60C"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Sector privado </w:t>
            </w:r>
          </w:p>
        </w:tc>
        <w:tc>
          <w:tcPr>
            <w:tcW w:w="0" w:type="auto"/>
            <w:vAlign w:val="center"/>
          </w:tcPr>
          <w:p w14:paraId="1E43B3F8"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Responsabilidad Social y Medioambiental </w:t>
            </w:r>
          </w:p>
        </w:tc>
        <w:tc>
          <w:tcPr>
            <w:tcW w:w="0" w:type="auto"/>
            <w:vAlign w:val="center"/>
          </w:tcPr>
          <w:p w14:paraId="265C0371" w14:textId="5217CC9C"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Empresas con RSC (Sacha</w:t>
            </w:r>
            <w:r w:rsidR="00A2684A">
              <w:rPr>
                <w:rFonts w:asciiTheme="minorHAnsi" w:hAnsiTheme="minorHAnsi" w:cstheme="minorHAnsi"/>
                <w:sz w:val="18"/>
                <w:szCs w:val="18"/>
              </w:rPr>
              <w:t xml:space="preserve"> </w:t>
            </w:r>
            <w:proofErr w:type="spellStart"/>
            <w:r w:rsidR="00A2684A">
              <w:rPr>
                <w:rFonts w:asciiTheme="minorHAnsi" w:hAnsiTheme="minorHAnsi" w:cstheme="minorHAnsi"/>
                <w:sz w:val="18"/>
                <w:szCs w:val="18"/>
              </w:rPr>
              <w:t>Lodge</w:t>
            </w:r>
            <w:proofErr w:type="spellEnd"/>
            <w:r w:rsidRPr="00A51E75">
              <w:rPr>
                <w:rFonts w:asciiTheme="minorHAnsi" w:hAnsiTheme="minorHAnsi" w:cstheme="minorHAnsi"/>
                <w:sz w:val="18"/>
                <w:szCs w:val="18"/>
              </w:rPr>
              <w:t xml:space="preserve">, ASOBANCA, etc.) </w:t>
            </w:r>
          </w:p>
        </w:tc>
        <w:tc>
          <w:tcPr>
            <w:tcW w:w="0" w:type="auto"/>
            <w:vAlign w:val="center"/>
          </w:tcPr>
          <w:p w14:paraId="32FCD16E" w14:textId="4DA18FC6"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Colabora en la financiación de bioempresas, promoción de incentivos fiscales verdes y ampliación de buenas prácticas.</w:t>
            </w:r>
          </w:p>
        </w:tc>
      </w:tr>
      <w:tr w:rsidR="001409D9" w:rsidRPr="007D4F41" w14:paraId="4183B198" w14:textId="77777777" w:rsidTr="7CD6F03B">
        <w:tc>
          <w:tcPr>
            <w:tcW w:w="0" w:type="auto"/>
            <w:vAlign w:val="center"/>
          </w:tcPr>
          <w:p w14:paraId="6BB1D5FD"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Sector productivo </w:t>
            </w:r>
          </w:p>
        </w:tc>
        <w:tc>
          <w:tcPr>
            <w:tcW w:w="0" w:type="auto"/>
            <w:vAlign w:val="center"/>
          </w:tcPr>
          <w:p w14:paraId="206B43EC"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Productores y asociaciones rurales </w:t>
            </w:r>
          </w:p>
        </w:tc>
        <w:tc>
          <w:tcPr>
            <w:tcW w:w="0" w:type="auto"/>
            <w:vAlign w:val="center"/>
          </w:tcPr>
          <w:p w14:paraId="4E1975B2" w14:textId="335A50A4"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Productores agrícolas, asociaciones comunitarias </w:t>
            </w:r>
          </w:p>
        </w:tc>
        <w:tc>
          <w:tcPr>
            <w:tcW w:w="0" w:type="auto"/>
            <w:vAlign w:val="center"/>
          </w:tcPr>
          <w:p w14:paraId="41C51A03" w14:textId="77777777"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Beneficiarios de formación, acceso a créditos verdes, promoción de la bioeconomía, restauración productiva y comercio justo.</w:t>
            </w:r>
          </w:p>
        </w:tc>
      </w:tr>
      <w:tr w:rsidR="001409D9" w:rsidRPr="007D4F41" w14:paraId="0F7D43C2" w14:textId="77777777" w:rsidTr="7CD6F03B">
        <w:tc>
          <w:tcPr>
            <w:tcW w:w="0" w:type="auto"/>
            <w:vMerge w:val="restart"/>
            <w:vAlign w:val="center"/>
          </w:tcPr>
          <w:p w14:paraId="7440D926" w14:textId="25C47403"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Finanzas </w:t>
            </w:r>
          </w:p>
        </w:tc>
        <w:tc>
          <w:tcPr>
            <w:tcW w:w="0" w:type="auto"/>
            <w:vAlign w:val="center"/>
          </w:tcPr>
          <w:p w14:paraId="76D78B33"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Instituciones financieras </w:t>
            </w:r>
          </w:p>
        </w:tc>
        <w:tc>
          <w:tcPr>
            <w:tcW w:w="0" w:type="auto"/>
            <w:vAlign w:val="center"/>
          </w:tcPr>
          <w:p w14:paraId="4604223B" w14:textId="31B487E2"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BanEcuador, BDE, BIOFIN, CONAFIPS </w:t>
            </w:r>
          </w:p>
        </w:tc>
        <w:tc>
          <w:tcPr>
            <w:tcW w:w="0" w:type="auto"/>
            <w:vAlign w:val="center"/>
          </w:tcPr>
          <w:p w14:paraId="27A21145" w14:textId="77777777"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Provisión de créditos verdes, asistencia técnica financiera, mecanismos innovadores y fondos rotativos con énfasis en género e inclusión.</w:t>
            </w:r>
          </w:p>
        </w:tc>
      </w:tr>
      <w:tr w:rsidR="001409D9" w:rsidRPr="007D4F41" w14:paraId="4DA90E70" w14:textId="77777777" w:rsidTr="7CD6F03B">
        <w:tc>
          <w:tcPr>
            <w:tcW w:w="0" w:type="auto"/>
            <w:vMerge/>
            <w:vAlign w:val="center"/>
          </w:tcPr>
          <w:p w14:paraId="539D2C16" w14:textId="04F8A6BC" w:rsidR="001409D9" w:rsidRPr="00D830D9" w:rsidRDefault="001409D9" w:rsidP="00A57352">
            <w:pPr>
              <w:rPr>
                <w:rFonts w:asciiTheme="minorHAnsi" w:hAnsiTheme="minorHAnsi" w:cstheme="minorHAnsi"/>
                <w:sz w:val="18"/>
                <w:szCs w:val="18"/>
                <w:lang w:val="es-EC"/>
              </w:rPr>
            </w:pPr>
          </w:p>
        </w:tc>
        <w:tc>
          <w:tcPr>
            <w:tcW w:w="0" w:type="auto"/>
            <w:vAlign w:val="center"/>
          </w:tcPr>
          <w:p w14:paraId="4FB13430" w14:textId="75CDC99B"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Fondos de Agua </w:t>
            </w:r>
          </w:p>
        </w:tc>
        <w:tc>
          <w:tcPr>
            <w:tcW w:w="0" w:type="auto"/>
            <w:vAlign w:val="center"/>
          </w:tcPr>
          <w:p w14:paraId="5C2BFA5D" w14:textId="77777777" w:rsidR="001409D9" w:rsidRPr="00A51E75" w:rsidRDefault="001409D9" w:rsidP="00A57352">
            <w:pPr>
              <w:rPr>
                <w:rFonts w:asciiTheme="minorHAnsi" w:hAnsiTheme="minorHAnsi" w:cstheme="minorHAnsi"/>
                <w:sz w:val="18"/>
                <w:szCs w:val="18"/>
                <w:lang w:val="en-US"/>
              </w:rPr>
            </w:pPr>
            <w:r w:rsidRPr="00A51E75">
              <w:rPr>
                <w:rFonts w:asciiTheme="minorHAnsi" w:hAnsiTheme="minorHAnsi" w:cstheme="minorHAnsi"/>
                <w:sz w:val="18"/>
                <w:szCs w:val="18"/>
              </w:rPr>
              <w:t xml:space="preserve"> FONAG, FODESNA </w:t>
            </w:r>
          </w:p>
        </w:tc>
        <w:tc>
          <w:tcPr>
            <w:tcW w:w="0" w:type="auto"/>
            <w:vAlign w:val="center"/>
          </w:tcPr>
          <w:p w14:paraId="1E30B554" w14:textId="77777777" w:rsidR="001409D9" w:rsidRPr="00D830D9" w:rsidRDefault="001409D9" w:rsidP="00A57352">
            <w:pPr>
              <w:rPr>
                <w:rFonts w:asciiTheme="minorHAnsi" w:hAnsiTheme="minorHAnsi" w:cstheme="minorHAnsi"/>
                <w:sz w:val="18"/>
                <w:szCs w:val="18"/>
                <w:lang w:val="es-EC"/>
              </w:rPr>
            </w:pPr>
            <w:r w:rsidRPr="00A51E75">
              <w:rPr>
                <w:rFonts w:asciiTheme="minorHAnsi" w:hAnsiTheme="minorHAnsi" w:cstheme="minorHAnsi"/>
                <w:sz w:val="18"/>
                <w:szCs w:val="18"/>
              </w:rPr>
              <w:t xml:space="preserve"> Diseño e implementación de esquemas de financiación sostenible, conservación del agua y pagos por servicios ecosistémicos.</w:t>
            </w:r>
          </w:p>
        </w:tc>
      </w:tr>
      <w:bookmarkEnd w:id="15"/>
    </w:tbl>
    <w:p w14:paraId="099DE6ED" w14:textId="43662492" w:rsidR="00625485" w:rsidRPr="00D830D9" w:rsidRDefault="00625485" w:rsidP="005B55CA">
      <w:pPr>
        <w:pStyle w:val="Descripcin"/>
        <w:keepNext/>
        <w:jc w:val="center"/>
        <w:rPr>
          <w:rFonts w:asciiTheme="minorHAnsi" w:hAnsiTheme="minorHAnsi" w:cstheme="minorHAnsi"/>
          <w:lang w:val="es-EC"/>
        </w:rPr>
      </w:pPr>
    </w:p>
    <w:p w14:paraId="5DB70CED" w14:textId="4BCFD38D" w:rsidR="005B55CA" w:rsidRPr="00A51E75" w:rsidRDefault="005B55CA" w:rsidP="005B55CA">
      <w:pPr>
        <w:pStyle w:val="Descripcin"/>
        <w:keepNext/>
        <w:jc w:val="center"/>
        <w:rPr>
          <w:rFonts w:asciiTheme="minorHAnsi" w:hAnsiTheme="minorHAnsi" w:cstheme="minorHAnsi"/>
        </w:rPr>
      </w:pPr>
      <w:bookmarkStart w:id="16" w:name="_Toc201073148"/>
      <w:r w:rsidRPr="00A51E75">
        <w:rPr>
          <w:rFonts w:asciiTheme="minorHAnsi" w:hAnsiTheme="minorHAnsi" w:cstheme="minorHAnsi"/>
        </w:rPr>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3</w:t>
      </w:r>
      <w:r w:rsidRPr="00A51E75">
        <w:rPr>
          <w:rFonts w:asciiTheme="minorHAnsi" w:hAnsiTheme="minorHAnsi" w:cstheme="minorHAnsi"/>
        </w:rPr>
        <w:fldChar w:fldCharType="end"/>
      </w:r>
      <w:r w:rsidRPr="00A51E75">
        <w:rPr>
          <w:rFonts w:asciiTheme="minorHAnsi" w:hAnsiTheme="minorHAnsi" w:cstheme="minorHAnsi"/>
        </w:rPr>
        <w:t>: Cofinancia</w:t>
      </w:r>
      <w:r w:rsidR="00A2684A">
        <w:rPr>
          <w:rFonts w:asciiTheme="minorHAnsi" w:hAnsiTheme="minorHAnsi" w:cstheme="minorHAnsi"/>
        </w:rPr>
        <w:t>miento</w:t>
      </w:r>
      <w:r w:rsidRPr="00A51E75">
        <w:rPr>
          <w:rFonts w:asciiTheme="minorHAnsi" w:hAnsiTheme="minorHAnsi" w:cstheme="minorHAnsi"/>
        </w:rPr>
        <w:t xml:space="preserve"> del proyecto</w:t>
      </w:r>
      <w:bookmarkEnd w:id="16"/>
    </w:p>
    <w:tbl>
      <w:tblPr>
        <w:tblW w:w="5000" w:type="pct"/>
        <w:tblCellMar>
          <w:left w:w="70" w:type="dxa"/>
          <w:right w:w="70" w:type="dxa"/>
        </w:tblCellMar>
        <w:tblLook w:val="04A0" w:firstRow="1" w:lastRow="0" w:firstColumn="1" w:lastColumn="0" w:noHBand="0" w:noVBand="1"/>
      </w:tblPr>
      <w:tblGrid>
        <w:gridCol w:w="1442"/>
        <w:gridCol w:w="1356"/>
        <w:gridCol w:w="1184"/>
        <w:gridCol w:w="1337"/>
        <w:gridCol w:w="2045"/>
        <w:gridCol w:w="1986"/>
      </w:tblGrid>
      <w:tr w:rsidR="00625485" w:rsidRPr="00A2684A" w14:paraId="7B7CDD6E" w14:textId="77777777" w:rsidTr="007763F2">
        <w:trPr>
          <w:trHeight w:val="320"/>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760386FE" w14:textId="77777777" w:rsidR="00625485" w:rsidRPr="00A2684A" w:rsidRDefault="00625485" w:rsidP="00A2684A">
            <w:pPr>
              <w:jc w:val="center"/>
              <w:rPr>
                <w:rFonts w:ascii="Calibri" w:hAnsi="Calibri" w:cs="Calibri"/>
                <w:b/>
                <w:bCs/>
                <w:color w:val="000000"/>
                <w:sz w:val="16"/>
                <w:szCs w:val="16"/>
              </w:rPr>
            </w:pPr>
            <w:r w:rsidRPr="00A2684A">
              <w:rPr>
                <w:rFonts w:ascii="Calibri" w:hAnsi="Calibri" w:cs="Calibri"/>
                <w:b/>
                <w:bCs/>
                <w:color w:val="000000"/>
                <w:sz w:val="16"/>
                <w:szCs w:val="16"/>
              </w:rPr>
              <w:t>Fuente de cofinanciación</w:t>
            </w:r>
          </w:p>
        </w:tc>
        <w:tc>
          <w:tcPr>
            <w:tcW w:w="725" w:type="pct"/>
            <w:tcBorders>
              <w:top w:val="single" w:sz="4" w:space="0" w:color="auto"/>
              <w:left w:val="nil"/>
              <w:bottom w:val="single" w:sz="4" w:space="0" w:color="auto"/>
              <w:right w:val="single" w:sz="4" w:space="0" w:color="auto"/>
            </w:tcBorders>
            <w:noWrap/>
            <w:vAlign w:val="center"/>
            <w:hideMark/>
          </w:tcPr>
          <w:p w14:paraId="005EC5E6" w14:textId="77777777" w:rsidR="00625485" w:rsidRPr="00A2684A" w:rsidRDefault="00625485" w:rsidP="00A2684A">
            <w:pPr>
              <w:jc w:val="center"/>
              <w:rPr>
                <w:rFonts w:ascii="Calibri" w:hAnsi="Calibri" w:cs="Calibri"/>
                <w:b/>
                <w:bCs/>
                <w:color w:val="000000"/>
                <w:sz w:val="16"/>
                <w:szCs w:val="16"/>
              </w:rPr>
            </w:pPr>
            <w:r w:rsidRPr="00A2684A">
              <w:rPr>
                <w:rFonts w:ascii="Calibri" w:hAnsi="Calibri" w:cs="Calibri"/>
                <w:b/>
                <w:bCs/>
                <w:color w:val="000000"/>
                <w:sz w:val="16"/>
                <w:szCs w:val="16"/>
              </w:rPr>
              <w:t xml:space="preserve">Nombre del </w:t>
            </w:r>
            <w:proofErr w:type="spellStart"/>
            <w:r w:rsidRPr="00A2684A">
              <w:rPr>
                <w:rFonts w:ascii="Calibri" w:hAnsi="Calibri" w:cs="Calibri"/>
                <w:b/>
                <w:bCs/>
                <w:color w:val="000000"/>
                <w:sz w:val="16"/>
                <w:szCs w:val="16"/>
              </w:rPr>
              <w:t>cofinanciador</w:t>
            </w:r>
            <w:proofErr w:type="spellEnd"/>
          </w:p>
        </w:tc>
        <w:tc>
          <w:tcPr>
            <w:tcW w:w="633" w:type="pct"/>
            <w:tcBorders>
              <w:top w:val="single" w:sz="4" w:space="0" w:color="auto"/>
              <w:left w:val="nil"/>
              <w:bottom w:val="single" w:sz="4" w:space="0" w:color="auto"/>
              <w:right w:val="single" w:sz="4" w:space="0" w:color="auto"/>
            </w:tcBorders>
            <w:noWrap/>
            <w:vAlign w:val="center"/>
            <w:hideMark/>
          </w:tcPr>
          <w:p w14:paraId="4EDAB357" w14:textId="77777777" w:rsidR="00625485" w:rsidRPr="00A2684A" w:rsidRDefault="00625485" w:rsidP="00A2684A">
            <w:pPr>
              <w:jc w:val="center"/>
              <w:rPr>
                <w:rFonts w:ascii="Calibri" w:hAnsi="Calibri" w:cs="Calibri"/>
                <w:b/>
                <w:bCs/>
                <w:color w:val="000000"/>
                <w:sz w:val="16"/>
                <w:szCs w:val="16"/>
              </w:rPr>
            </w:pPr>
            <w:r w:rsidRPr="00A2684A">
              <w:rPr>
                <w:rFonts w:ascii="Calibri" w:hAnsi="Calibri" w:cs="Calibri"/>
                <w:b/>
                <w:bCs/>
                <w:color w:val="000000"/>
                <w:sz w:val="16"/>
                <w:szCs w:val="16"/>
              </w:rPr>
              <w:t>Tipo de cofinanciación</w:t>
            </w:r>
          </w:p>
        </w:tc>
        <w:tc>
          <w:tcPr>
            <w:tcW w:w="715" w:type="pct"/>
            <w:tcBorders>
              <w:top w:val="single" w:sz="4" w:space="0" w:color="auto"/>
              <w:left w:val="nil"/>
              <w:bottom w:val="single" w:sz="4" w:space="0" w:color="auto"/>
              <w:right w:val="single" w:sz="4" w:space="0" w:color="auto"/>
            </w:tcBorders>
            <w:noWrap/>
            <w:vAlign w:val="center"/>
            <w:hideMark/>
          </w:tcPr>
          <w:p w14:paraId="371EDF95" w14:textId="77777777" w:rsidR="00625485" w:rsidRPr="00A2684A" w:rsidRDefault="00625485" w:rsidP="00A2684A">
            <w:pPr>
              <w:jc w:val="center"/>
              <w:rPr>
                <w:rFonts w:ascii="Calibri" w:hAnsi="Calibri" w:cs="Calibri"/>
                <w:b/>
                <w:bCs/>
                <w:color w:val="000000"/>
                <w:sz w:val="16"/>
                <w:szCs w:val="16"/>
              </w:rPr>
            </w:pPr>
            <w:r w:rsidRPr="00A2684A">
              <w:rPr>
                <w:rFonts w:ascii="Calibri" w:hAnsi="Calibri" w:cs="Calibri"/>
                <w:b/>
                <w:bCs/>
                <w:color w:val="000000"/>
                <w:sz w:val="16"/>
                <w:szCs w:val="16"/>
              </w:rPr>
              <w:t>Cuantía de cofinanciación</w:t>
            </w:r>
          </w:p>
        </w:tc>
        <w:tc>
          <w:tcPr>
            <w:tcW w:w="1094" w:type="pct"/>
            <w:tcBorders>
              <w:top w:val="single" w:sz="4" w:space="0" w:color="auto"/>
              <w:left w:val="nil"/>
              <w:bottom w:val="single" w:sz="4" w:space="0" w:color="auto"/>
              <w:right w:val="single" w:sz="4" w:space="0" w:color="auto"/>
            </w:tcBorders>
            <w:noWrap/>
            <w:vAlign w:val="center"/>
            <w:hideMark/>
          </w:tcPr>
          <w:p w14:paraId="36742A3A" w14:textId="77777777" w:rsidR="00625485" w:rsidRPr="00A2684A" w:rsidRDefault="00625485" w:rsidP="00A2684A">
            <w:pPr>
              <w:jc w:val="center"/>
              <w:rPr>
                <w:rFonts w:ascii="Calibri" w:hAnsi="Calibri" w:cs="Calibri"/>
                <w:b/>
                <w:bCs/>
                <w:color w:val="000000"/>
                <w:sz w:val="16"/>
                <w:szCs w:val="16"/>
              </w:rPr>
            </w:pPr>
            <w:r w:rsidRPr="00A2684A">
              <w:rPr>
                <w:rFonts w:ascii="Calibri" w:hAnsi="Calibri" w:cs="Calibri"/>
                <w:b/>
                <w:bCs/>
                <w:color w:val="000000"/>
                <w:sz w:val="16"/>
                <w:szCs w:val="16"/>
              </w:rPr>
              <w:t>¿Incluido en los resultados del proyecto?</w:t>
            </w:r>
          </w:p>
        </w:tc>
        <w:tc>
          <w:tcPr>
            <w:tcW w:w="1062" w:type="pct"/>
            <w:tcBorders>
              <w:top w:val="single" w:sz="4" w:space="0" w:color="auto"/>
              <w:left w:val="nil"/>
              <w:bottom w:val="single" w:sz="4" w:space="0" w:color="auto"/>
              <w:right w:val="single" w:sz="4" w:space="0" w:color="auto"/>
            </w:tcBorders>
            <w:noWrap/>
            <w:vAlign w:val="center"/>
            <w:hideMark/>
          </w:tcPr>
          <w:p w14:paraId="2184B768" w14:textId="77777777" w:rsidR="00625485" w:rsidRPr="00A2684A" w:rsidRDefault="00625485" w:rsidP="00A2684A">
            <w:pPr>
              <w:jc w:val="center"/>
              <w:rPr>
                <w:rFonts w:ascii="Calibri" w:hAnsi="Calibri" w:cs="Calibri"/>
                <w:b/>
                <w:bCs/>
                <w:color w:val="000000"/>
                <w:sz w:val="16"/>
                <w:szCs w:val="16"/>
                <w:lang w:val="es-EC"/>
              </w:rPr>
            </w:pPr>
            <w:r w:rsidRPr="00A2684A">
              <w:rPr>
                <w:rFonts w:ascii="Calibri" w:hAnsi="Calibri" w:cs="Calibri"/>
                <w:b/>
                <w:bCs/>
                <w:color w:val="000000"/>
                <w:sz w:val="16"/>
                <w:szCs w:val="16"/>
              </w:rPr>
              <w:t>Si es así, enumera las salidas relevantes</w:t>
            </w:r>
          </w:p>
        </w:tc>
      </w:tr>
      <w:tr w:rsidR="007763F2" w:rsidRPr="00A51E75" w14:paraId="3D5847BA"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0047BE33"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Gobierno</w:t>
            </w:r>
          </w:p>
        </w:tc>
        <w:tc>
          <w:tcPr>
            <w:tcW w:w="725" w:type="pct"/>
            <w:tcBorders>
              <w:top w:val="nil"/>
              <w:left w:val="nil"/>
              <w:bottom w:val="single" w:sz="4" w:space="0" w:color="auto"/>
              <w:right w:val="single" w:sz="4" w:space="0" w:color="auto"/>
            </w:tcBorders>
            <w:noWrap/>
            <w:vAlign w:val="center"/>
            <w:hideMark/>
          </w:tcPr>
          <w:p w14:paraId="5B585A1B" w14:textId="252D2DE6" w:rsidR="007763F2" w:rsidRPr="00A51E75" w:rsidRDefault="007763F2" w:rsidP="007763F2">
            <w:pPr>
              <w:rPr>
                <w:rFonts w:ascii="Calibri" w:hAnsi="Calibri" w:cs="Calibri"/>
                <w:color w:val="000000"/>
                <w:sz w:val="18"/>
                <w:szCs w:val="18"/>
              </w:rPr>
            </w:pPr>
            <w:r w:rsidRPr="7CD6F03B">
              <w:rPr>
                <w:rFonts w:ascii="Calibri" w:hAnsi="Calibri" w:cs="Calibri"/>
                <w:color w:val="000000" w:themeColor="text1"/>
                <w:sz w:val="18"/>
                <w:szCs w:val="18"/>
              </w:rPr>
              <w:t>MAE</w:t>
            </w:r>
          </w:p>
        </w:tc>
        <w:tc>
          <w:tcPr>
            <w:tcW w:w="633" w:type="pct"/>
            <w:tcBorders>
              <w:top w:val="nil"/>
              <w:left w:val="nil"/>
              <w:bottom w:val="single" w:sz="4" w:space="0" w:color="auto"/>
              <w:right w:val="single" w:sz="4" w:space="0" w:color="auto"/>
            </w:tcBorders>
            <w:noWrap/>
            <w:vAlign w:val="center"/>
            <w:hideMark/>
          </w:tcPr>
          <w:p w14:paraId="6785A4C2" w14:textId="753B9BE9"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0D0EA4BC" w14:textId="2274FF25"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$57,440,420</w:t>
            </w:r>
          </w:p>
        </w:tc>
        <w:tc>
          <w:tcPr>
            <w:tcW w:w="1094" w:type="pct"/>
            <w:tcBorders>
              <w:top w:val="nil"/>
              <w:left w:val="nil"/>
              <w:bottom w:val="single" w:sz="4" w:space="0" w:color="auto"/>
              <w:right w:val="single" w:sz="4" w:space="0" w:color="auto"/>
            </w:tcBorders>
            <w:noWrap/>
            <w:vAlign w:val="bottom"/>
            <w:hideMark/>
          </w:tcPr>
          <w:p w14:paraId="05D27640"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760F2055"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5DEDCB05"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7EC4854E"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Banco gubernamental</w:t>
            </w:r>
          </w:p>
        </w:tc>
        <w:tc>
          <w:tcPr>
            <w:tcW w:w="725" w:type="pct"/>
            <w:tcBorders>
              <w:top w:val="nil"/>
              <w:left w:val="nil"/>
              <w:bottom w:val="single" w:sz="4" w:space="0" w:color="auto"/>
              <w:right w:val="single" w:sz="4" w:space="0" w:color="auto"/>
            </w:tcBorders>
            <w:noWrap/>
            <w:vAlign w:val="center"/>
            <w:hideMark/>
          </w:tcPr>
          <w:p w14:paraId="543B0043" w14:textId="77777777" w:rsidR="007763F2" w:rsidRPr="00A51E75" w:rsidRDefault="007763F2" w:rsidP="007763F2">
            <w:pPr>
              <w:rPr>
                <w:rFonts w:ascii="Calibri" w:hAnsi="Calibri" w:cs="Calibri"/>
                <w:color w:val="000000"/>
                <w:sz w:val="18"/>
                <w:szCs w:val="18"/>
              </w:rPr>
            </w:pPr>
            <w:proofErr w:type="spellStart"/>
            <w:r w:rsidRPr="00A51E75">
              <w:rPr>
                <w:rFonts w:ascii="Calibri" w:hAnsi="Calibri" w:cs="Calibri"/>
                <w:color w:val="000000"/>
                <w:sz w:val="18"/>
                <w:szCs w:val="18"/>
              </w:rPr>
              <w:t>Banecuador</w:t>
            </w:r>
            <w:proofErr w:type="spellEnd"/>
          </w:p>
        </w:tc>
        <w:tc>
          <w:tcPr>
            <w:tcW w:w="633" w:type="pct"/>
            <w:tcBorders>
              <w:top w:val="nil"/>
              <w:left w:val="nil"/>
              <w:bottom w:val="single" w:sz="4" w:space="0" w:color="auto"/>
              <w:right w:val="single" w:sz="4" w:space="0" w:color="auto"/>
            </w:tcBorders>
            <w:noWrap/>
            <w:vAlign w:val="center"/>
            <w:hideMark/>
          </w:tcPr>
          <w:p w14:paraId="7685FF26" w14:textId="6A014894"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w:t>
            </w:r>
            <w:r>
              <w:rPr>
                <w:rFonts w:ascii="Calibri" w:hAnsi="Calibri" w:cs="Calibri"/>
                <w:color w:val="000000"/>
                <w:sz w:val="18"/>
                <w:szCs w:val="18"/>
              </w:rPr>
              <w:t xml:space="preserve"> </w:t>
            </w:r>
            <w:r w:rsidRPr="00A51E75">
              <w:rPr>
                <w:rFonts w:ascii="Calibri" w:hAnsi="Calibri" w:cs="Calibri"/>
                <w:color w:val="000000"/>
                <w:sz w:val="18"/>
                <w:szCs w:val="18"/>
              </w:rPr>
              <w:t>efectivo</w:t>
            </w:r>
          </w:p>
        </w:tc>
        <w:tc>
          <w:tcPr>
            <w:tcW w:w="715" w:type="pct"/>
            <w:tcBorders>
              <w:top w:val="nil"/>
              <w:left w:val="nil"/>
              <w:bottom w:val="single" w:sz="4" w:space="0" w:color="auto"/>
              <w:right w:val="single" w:sz="4" w:space="0" w:color="auto"/>
            </w:tcBorders>
            <w:noWrap/>
            <w:vAlign w:val="center"/>
            <w:hideMark/>
          </w:tcPr>
          <w:p w14:paraId="0D9A5BD4" w14:textId="54F0085F"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$5,000,000</w:t>
            </w:r>
          </w:p>
        </w:tc>
        <w:tc>
          <w:tcPr>
            <w:tcW w:w="1094" w:type="pct"/>
            <w:tcBorders>
              <w:top w:val="nil"/>
              <w:left w:val="nil"/>
              <w:bottom w:val="single" w:sz="4" w:space="0" w:color="auto"/>
              <w:right w:val="single" w:sz="4" w:space="0" w:color="auto"/>
            </w:tcBorders>
            <w:noWrap/>
            <w:vAlign w:val="bottom"/>
            <w:hideMark/>
          </w:tcPr>
          <w:p w14:paraId="75C193C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1E4F293D"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122F0EE8"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0692720F"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lastRenderedPageBreak/>
              <w:t>Banco gubernamental</w:t>
            </w:r>
          </w:p>
        </w:tc>
        <w:tc>
          <w:tcPr>
            <w:tcW w:w="725" w:type="pct"/>
            <w:tcBorders>
              <w:top w:val="nil"/>
              <w:left w:val="nil"/>
              <w:bottom w:val="single" w:sz="4" w:space="0" w:color="auto"/>
              <w:right w:val="single" w:sz="4" w:space="0" w:color="auto"/>
            </w:tcBorders>
            <w:noWrap/>
            <w:vAlign w:val="center"/>
            <w:hideMark/>
          </w:tcPr>
          <w:p w14:paraId="3B2E6ADD"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BDE</w:t>
            </w:r>
          </w:p>
        </w:tc>
        <w:tc>
          <w:tcPr>
            <w:tcW w:w="633" w:type="pct"/>
            <w:tcBorders>
              <w:top w:val="nil"/>
              <w:left w:val="nil"/>
              <w:bottom w:val="single" w:sz="4" w:space="0" w:color="auto"/>
              <w:right w:val="single" w:sz="4" w:space="0" w:color="auto"/>
            </w:tcBorders>
            <w:noWrap/>
            <w:vAlign w:val="center"/>
            <w:hideMark/>
          </w:tcPr>
          <w:p w14:paraId="7EC669B6"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efectivo</w:t>
            </w:r>
          </w:p>
        </w:tc>
        <w:tc>
          <w:tcPr>
            <w:tcW w:w="715" w:type="pct"/>
            <w:tcBorders>
              <w:top w:val="nil"/>
              <w:left w:val="nil"/>
              <w:bottom w:val="single" w:sz="4" w:space="0" w:color="auto"/>
              <w:right w:val="single" w:sz="4" w:space="0" w:color="auto"/>
            </w:tcBorders>
            <w:noWrap/>
            <w:vAlign w:val="center"/>
            <w:hideMark/>
          </w:tcPr>
          <w:p w14:paraId="1CD26B9F" w14:textId="5720998A"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$2,000,000</w:t>
            </w:r>
          </w:p>
        </w:tc>
        <w:tc>
          <w:tcPr>
            <w:tcW w:w="1094" w:type="pct"/>
            <w:tcBorders>
              <w:top w:val="nil"/>
              <w:left w:val="nil"/>
              <w:bottom w:val="single" w:sz="4" w:space="0" w:color="auto"/>
              <w:right w:val="single" w:sz="4" w:space="0" w:color="auto"/>
            </w:tcBorders>
            <w:noWrap/>
            <w:vAlign w:val="bottom"/>
            <w:hideMark/>
          </w:tcPr>
          <w:p w14:paraId="4F777A05"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3590E1B1"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08C1F662"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325B9853"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ONG</w:t>
            </w:r>
          </w:p>
        </w:tc>
        <w:tc>
          <w:tcPr>
            <w:tcW w:w="725" w:type="pct"/>
            <w:tcBorders>
              <w:top w:val="nil"/>
              <w:left w:val="nil"/>
              <w:bottom w:val="single" w:sz="4" w:space="0" w:color="auto"/>
              <w:right w:val="single" w:sz="4" w:space="0" w:color="auto"/>
            </w:tcBorders>
            <w:noWrap/>
            <w:vAlign w:val="center"/>
            <w:hideMark/>
          </w:tcPr>
          <w:p w14:paraId="7EEF6AE9"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ECOCIENCIA</w:t>
            </w:r>
          </w:p>
        </w:tc>
        <w:tc>
          <w:tcPr>
            <w:tcW w:w="633" w:type="pct"/>
            <w:tcBorders>
              <w:top w:val="nil"/>
              <w:left w:val="nil"/>
              <w:bottom w:val="single" w:sz="4" w:space="0" w:color="auto"/>
              <w:right w:val="single" w:sz="4" w:space="0" w:color="auto"/>
            </w:tcBorders>
            <w:noWrap/>
            <w:vAlign w:val="center"/>
            <w:hideMark/>
          </w:tcPr>
          <w:p w14:paraId="41E566C7" w14:textId="0AD93834"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18A4BD22" w14:textId="129AFB40"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$1,250,773</w:t>
            </w:r>
          </w:p>
        </w:tc>
        <w:tc>
          <w:tcPr>
            <w:tcW w:w="1094" w:type="pct"/>
            <w:tcBorders>
              <w:top w:val="nil"/>
              <w:left w:val="nil"/>
              <w:bottom w:val="single" w:sz="4" w:space="0" w:color="auto"/>
              <w:right w:val="single" w:sz="4" w:space="0" w:color="auto"/>
            </w:tcBorders>
            <w:noWrap/>
            <w:vAlign w:val="bottom"/>
            <w:hideMark/>
          </w:tcPr>
          <w:p w14:paraId="02F876DB"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10F45733"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60FA4085"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1415B039"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Nacionalidades indígenas</w:t>
            </w:r>
          </w:p>
        </w:tc>
        <w:tc>
          <w:tcPr>
            <w:tcW w:w="725" w:type="pct"/>
            <w:tcBorders>
              <w:top w:val="nil"/>
              <w:left w:val="nil"/>
              <w:bottom w:val="single" w:sz="4" w:space="0" w:color="auto"/>
              <w:right w:val="single" w:sz="4" w:space="0" w:color="auto"/>
            </w:tcBorders>
            <w:noWrap/>
            <w:vAlign w:val="center"/>
            <w:hideMark/>
          </w:tcPr>
          <w:p w14:paraId="1F162B0A"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CONFENIAE</w:t>
            </w:r>
          </w:p>
        </w:tc>
        <w:tc>
          <w:tcPr>
            <w:tcW w:w="633" w:type="pct"/>
            <w:tcBorders>
              <w:top w:val="nil"/>
              <w:left w:val="nil"/>
              <w:bottom w:val="single" w:sz="4" w:space="0" w:color="auto"/>
              <w:right w:val="single" w:sz="4" w:space="0" w:color="auto"/>
            </w:tcBorders>
            <w:noWrap/>
            <w:vAlign w:val="center"/>
            <w:hideMark/>
          </w:tcPr>
          <w:p w14:paraId="307DD82E" w14:textId="4A4DCE6C"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66DB235E" w14:textId="0EFC1212"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$1,110,000</w:t>
            </w:r>
          </w:p>
        </w:tc>
        <w:tc>
          <w:tcPr>
            <w:tcW w:w="1094" w:type="pct"/>
            <w:tcBorders>
              <w:top w:val="nil"/>
              <w:left w:val="nil"/>
              <w:bottom w:val="single" w:sz="4" w:space="0" w:color="auto"/>
              <w:right w:val="single" w:sz="4" w:space="0" w:color="auto"/>
            </w:tcBorders>
            <w:noWrap/>
            <w:vAlign w:val="bottom"/>
            <w:hideMark/>
          </w:tcPr>
          <w:p w14:paraId="7FE8B200"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1D019693"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5FF6BEA1"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7B8A143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Agencia de la ONU</w:t>
            </w:r>
          </w:p>
        </w:tc>
        <w:tc>
          <w:tcPr>
            <w:tcW w:w="725" w:type="pct"/>
            <w:tcBorders>
              <w:top w:val="nil"/>
              <w:left w:val="nil"/>
              <w:bottom w:val="single" w:sz="4" w:space="0" w:color="auto"/>
              <w:right w:val="single" w:sz="4" w:space="0" w:color="auto"/>
            </w:tcBorders>
            <w:noWrap/>
            <w:vAlign w:val="center"/>
            <w:hideMark/>
          </w:tcPr>
          <w:p w14:paraId="7B368361"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PNUD</w:t>
            </w:r>
          </w:p>
        </w:tc>
        <w:tc>
          <w:tcPr>
            <w:tcW w:w="633" w:type="pct"/>
            <w:tcBorders>
              <w:top w:val="nil"/>
              <w:left w:val="nil"/>
              <w:bottom w:val="single" w:sz="4" w:space="0" w:color="auto"/>
              <w:right w:val="single" w:sz="4" w:space="0" w:color="auto"/>
            </w:tcBorders>
            <w:noWrap/>
            <w:vAlign w:val="center"/>
            <w:hideMark/>
          </w:tcPr>
          <w:p w14:paraId="755B14C0" w14:textId="25F4F388"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4237F4F9" w14:textId="0550CBDE"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$500,000</w:t>
            </w:r>
          </w:p>
        </w:tc>
        <w:tc>
          <w:tcPr>
            <w:tcW w:w="1094" w:type="pct"/>
            <w:tcBorders>
              <w:top w:val="nil"/>
              <w:left w:val="nil"/>
              <w:bottom w:val="single" w:sz="4" w:space="0" w:color="auto"/>
              <w:right w:val="single" w:sz="4" w:space="0" w:color="auto"/>
            </w:tcBorders>
            <w:noWrap/>
            <w:vAlign w:val="bottom"/>
            <w:hideMark/>
          </w:tcPr>
          <w:p w14:paraId="77BDCB98"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47388FF0"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540A3268"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17FC1B8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Academia</w:t>
            </w:r>
          </w:p>
        </w:tc>
        <w:tc>
          <w:tcPr>
            <w:tcW w:w="725" w:type="pct"/>
            <w:tcBorders>
              <w:top w:val="nil"/>
              <w:left w:val="nil"/>
              <w:bottom w:val="single" w:sz="4" w:space="0" w:color="auto"/>
              <w:right w:val="single" w:sz="4" w:space="0" w:color="auto"/>
            </w:tcBorders>
            <w:noWrap/>
            <w:vAlign w:val="center"/>
            <w:hideMark/>
          </w:tcPr>
          <w:p w14:paraId="3DB8D93E"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IKIAM</w:t>
            </w:r>
          </w:p>
        </w:tc>
        <w:tc>
          <w:tcPr>
            <w:tcW w:w="633" w:type="pct"/>
            <w:tcBorders>
              <w:top w:val="nil"/>
              <w:left w:val="nil"/>
              <w:bottom w:val="single" w:sz="4" w:space="0" w:color="auto"/>
              <w:right w:val="single" w:sz="4" w:space="0" w:color="auto"/>
            </w:tcBorders>
            <w:noWrap/>
            <w:vAlign w:val="center"/>
            <w:hideMark/>
          </w:tcPr>
          <w:p w14:paraId="7772F922" w14:textId="412F6A45"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10CC96D9" w14:textId="16AF039C"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$400,000</w:t>
            </w:r>
          </w:p>
        </w:tc>
        <w:tc>
          <w:tcPr>
            <w:tcW w:w="1094" w:type="pct"/>
            <w:tcBorders>
              <w:top w:val="nil"/>
              <w:left w:val="nil"/>
              <w:bottom w:val="single" w:sz="4" w:space="0" w:color="auto"/>
              <w:right w:val="single" w:sz="4" w:space="0" w:color="auto"/>
            </w:tcBorders>
            <w:noWrap/>
            <w:vAlign w:val="bottom"/>
            <w:hideMark/>
          </w:tcPr>
          <w:p w14:paraId="13C3C24D"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5801B1AE"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208AADB9"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263CA396"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ONG</w:t>
            </w:r>
          </w:p>
        </w:tc>
        <w:tc>
          <w:tcPr>
            <w:tcW w:w="725" w:type="pct"/>
            <w:tcBorders>
              <w:top w:val="nil"/>
              <w:left w:val="nil"/>
              <w:bottom w:val="single" w:sz="4" w:space="0" w:color="auto"/>
              <w:right w:val="single" w:sz="4" w:space="0" w:color="auto"/>
            </w:tcBorders>
            <w:noWrap/>
            <w:vAlign w:val="center"/>
            <w:hideMark/>
          </w:tcPr>
          <w:p w14:paraId="7F5C893B"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BYOS</w:t>
            </w:r>
          </w:p>
        </w:tc>
        <w:tc>
          <w:tcPr>
            <w:tcW w:w="633" w:type="pct"/>
            <w:tcBorders>
              <w:top w:val="nil"/>
              <w:left w:val="nil"/>
              <w:bottom w:val="single" w:sz="4" w:space="0" w:color="auto"/>
              <w:right w:val="single" w:sz="4" w:space="0" w:color="auto"/>
            </w:tcBorders>
            <w:noWrap/>
            <w:vAlign w:val="center"/>
            <w:hideMark/>
          </w:tcPr>
          <w:p w14:paraId="1C09912D" w14:textId="1F8443BF" w:rsidR="007763F2" w:rsidRPr="00A51E75" w:rsidRDefault="007763F2" w:rsidP="007763F2">
            <w:pPr>
              <w:rPr>
                <w:rFonts w:ascii="Calibri" w:hAnsi="Calibri" w:cs="Calibri"/>
                <w:color w:val="000000"/>
                <w:sz w:val="18"/>
                <w:szCs w:val="18"/>
              </w:rPr>
            </w:pPr>
            <w:r w:rsidRPr="00A51E75">
              <w:rPr>
                <w:rFonts w:ascii="Calibri" w:hAnsi="Calibri" w:cs="Calibri"/>
                <w:color w:val="000000" w:themeColor="text1"/>
                <w:sz w:val="18"/>
                <w:szCs w:val="18"/>
              </w:rPr>
              <w:t>En</w:t>
            </w:r>
            <w:r>
              <w:rPr>
                <w:rFonts w:ascii="Calibri" w:hAnsi="Calibri" w:cs="Calibri"/>
                <w:color w:val="000000" w:themeColor="text1"/>
                <w:sz w:val="18"/>
                <w:szCs w:val="18"/>
              </w:rPr>
              <w:t xml:space="preserve"> </w:t>
            </w:r>
            <w:r w:rsidRPr="00A51E75">
              <w:rPr>
                <w:rFonts w:ascii="Calibri" w:hAnsi="Calibri" w:cs="Calibri"/>
                <w:color w:val="000000" w:themeColor="text1"/>
                <w:sz w:val="18"/>
                <w:szCs w:val="18"/>
              </w:rPr>
              <w:t>efectivo</w:t>
            </w:r>
          </w:p>
        </w:tc>
        <w:tc>
          <w:tcPr>
            <w:tcW w:w="715" w:type="pct"/>
            <w:tcBorders>
              <w:top w:val="nil"/>
              <w:left w:val="nil"/>
              <w:bottom w:val="single" w:sz="4" w:space="0" w:color="auto"/>
              <w:right w:val="single" w:sz="4" w:space="0" w:color="auto"/>
            </w:tcBorders>
            <w:noWrap/>
            <w:vAlign w:val="center"/>
            <w:hideMark/>
          </w:tcPr>
          <w:p w14:paraId="36131ED3" w14:textId="12A0EFAC"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$360,725</w:t>
            </w:r>
          </w:p>
        </w:tc>
        <w:tc>
          <w:tcPr>
            <w:tcW w:w="1094" w:type="pct"/>
            <w:tcBorders>
              <w:top w:val="nil"/>
              <w:left w:val="nil"/>
              <w:bottom w:val="single" w:sz="4" w:space="0" w:color="auto"/>
              <w:right w:val="single" w:sz="4" w:space="0" w:color="auto"/>
            </w:tcBorders>
            <w:noWrap/>
            <w:vAlign w:val="bottom"/>
            <w:hideMark/>
          </w:tcPr>
          <w:p w14:paraId="16925654"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0706878C"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478966A1"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03375DF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Academia</w:t>
            </w:r>
          </w:p>
        </w:tc>
        <w:tc>
          <w:tcPr>
            <w:tcW w:w="725" w:type="pct"/>
            <w:tcBorders>
              <w:top w:val="nil"/>
              <w:left w:val="nil"/>
              <w:bottom w:val="single" w:sz="4" w:space="0" w:color="auto"/>
              <w:right w:val="single" w:sz="4" w:space="0" w:color="auto"/>
            </w:tcBorders>
            <w:noWrap/>
            <w:vAlign w:val="center"/>
            <w:hideMark/>
          </w:tcPr>
          <w:p w14:paraId="7E1C725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CATIE</w:t>
            </w:r>
          </w:p>
        </w:tc>
        <w:tc>
          <w:tcPr>
            <w:tcW w:w="633" w:type="pct"/>
            <w:tcBorders>
              <w:top w:val="nil"/>
              <w:left w:val="nil"/>
              <w:bottom w:val="single" w:sz="4" w:space="0" w:color="auto"/>
              <w:right w:val="single" w:sz="4" w:space="0" w:color="auto"/>
            </w:tcBorders>
            <w:noWrap/>
            <w:vAlign w:val="center"/>
            <w:hideMark/>
          </w:tcPr>
          <w:p w14:paraId="245B7ADB" w14:textId="530CA5F1"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6484E8B7" w14:textId="6F9FCEA8"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$300,000</w:t>
            </w:r>
          </w:p>
        </w:tc>
        <w:tc>
          <w:tcPr>
            <w:tcW w:w="1094" w:type="pct"/>
            <w:tcBorders>
              <w:top w:val="nil"/>
              <w:left w:val="nil"/>
              <w:bottom w:val="single" w:sz="4" w:space="0" w:color="auto"/>
              <w:right w:val="single" w:sz="4" w:space="0" w:color="auto"/>
            </w:tcBorders>
            <w:noWrap/>
            <w:vAlign w:val="bottom"/>
            <w:hideMark/>
          </w:tcPr>
          <w:p w14:paraId="59E0A76B"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1A83A624"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7C2CC4B6"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7D330720"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ONG</w:t>
            </w:r>
          </w:p>
        </w:tc>
        <w:tc>
          <w:tcPr>
            <w:tcW w:w="725" w:type="pct"/>
            <w:tcBorders>
              <w:top w:val="nil"/>
              <w:left w:val="nil"/>
              <w:bottom w:val="single" w:sz="4" w:space="0" w:color="auto"/>
              <w:right w:val="single" w:sz="4" w:space="0" w:color="auto"/>
            </w:tcBorders>
            <w:noWrap/>
            <w:vAlign w:val="center"/>
            <w:hideMark/>
          </w:tcPr>
          <w:p w14:paraId="29A55242"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ECOPAR</w:t>
            </w:r>
          </w:p>
        </w:tc>
        <w:tc>
          <w:tcPr>
            <w:tcW w:w="633" w:type="pct"/>
            <w:tcBorders>
              <w:top w:val="nil"/>
              <w:left w:val="nil"/>
              <w:bottom w:val="single" w:sz="4" w:space="0" w:color="auto"/>
              <w:right w:val="single" w:sz="4" w:space="0" w:color="auto"/>
            </w:tcBorders>
            <w:noWrap/>
            <w:vAlign w:val="center"/>
            <w:hideMark/>
          </w:tcPr>
          <w:p w14:paraId="46517CBA" w14:textId="2746F654"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3F2AC1BD" w14:textId="742B26CD"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$250,000</w:t>
            </w:r>
          </w:p>
        </w:tc>
        <w:tc>
          <w:tcPr>
            <w:tcW w:w="1094" w:type="pct"/>
            <w:tcBorders>
              <w:top w:val="nil"/>
              <w:left w:val="nil"/>
              <w:bottom w:val="single" w:sz="4" w:space="0" w:color="auto"/>
              <w:right w:val="single" w:sz="4" w:space="0" w:color="auto"/>
            </w:tcBorders>
            <w:noWrap/>
            <w:vAlign w:val="bottom"/>
            <w:hideMark/>
          </w:tcPr>
          <w:p w14:paraId="6657452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3D04CCAC"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33E16A7E"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5C837F5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ONG</w:t>
            </w:r>
          </w:p>
        </w:tc>
        <w:tc>
          <w:tcPr>
            <w:tcW w:w="725" w:type="pct"/>
            <w:tcBorders>
              <w:top w:val="nil"/>
              <w:left w:val="nil"/>
              <w:bottom w:val="single" w:sz="4" w:space="0" w:color="auto"/>
              <w:right w:val="single" w:sz="4" w:space="0" w:color="auto"/>
            </w:tcBorders>
            <w:noWrap/>
            <w:vAlign w:val="center"/>
            <w:hideMark/>
          </w:tcPr>
          <w:p w14:paraId="3BB904F2"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HIVOS</w:t>
            </w:r>
          </w:p>
        </w:tc>
        <w:tc>
          <w:tcPr>
            <w:tcW w:w="633" w:type="pct"/>
            <w:tcBorders>
              <w:top w:val="nil"/>
              <w:left w:val="nil"/>
              <w:bottom w:val="single" w:sz="4" w:space="0" w:color="auto"/>
              <w:right w:val="single" w:sz="4" w:space="0" w:color="auto"/>
            </w:tcBorders>
            <w:noWrap/>
            <w:vAlign w:val="center"/>
            <w:hideMark/>
          </w:tcPr>
          <w:p w14:paraId="43FF97AC" w14:textId="6864BDF1"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3F6A8092" w14:textId="5EBDF541"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$200,000</w:t>
            </w:r>
          </w:p>
        </w:tc>
        <w:tc>
          <w:tcPr>
            <w:tcW w:w="1094" w:type="pct"/>
            <w:tcBorders>
              <w:top w:val="nil"/>
              <w:left w:val="nil"/>
              <w:bottom w:val="single" w:sz="4" w:space="0" w:color="auto"/>
              <w:right w:val="single" w:sz="4" w:space="0" w:color="auto"/>
            </w:tcBorders>
            <w:noWrap/>
            <w:vAlign w:val="bottom"/>
            <w:hideMark/>
          </w:tcPr>
          <w:p w14:paraId="73D327C5"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06A99C64"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03C76BFA"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69BF2628"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Agencia de la ONU</w:t>
            </w:r>
          </w:p>
        </w:tc>
        <w:tc>
          <w:tcPr>
            <w:tcW w:w="725" w:type="pct"/>
            <w:tcBorders>
              <w:top w:val="nil"/>
              <w:left w:val="nil"/>
              <w:bottom w:val="single" w:sz="4" w:space="0" w:color="auto"/>
              <w:right w:val="single" w:sz="4" w:space="0" w:color="auto"/>
            </w:tcBorders>
            <w:noWrap/>
            <w:vAlign w:val="center"/>
            <w:hideMark/>
          </w:tcPr>
          <w:p w14:paraId="6527CA2F"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UNESCO</w:t>
            </w:r>
          </w:p>
        </w:tc>
        <w:tc>
          <w:tcPr>
            <w:tcW w:w="633" w:type="pct"/>
            <w:tcBorders>
              <w:top w:val="nil"/>
              <w:left w:val="nil"/>
              <w:bottom w:val="single" w:sz="4" w:space="0" w:color="auto"/>
              <w:right w:val="single" w:sz="4" w:space="0" w:color="auto"/>
            </w:tcBorders>
            <w:noWrap/>
            <w:vAlign w:val="center"/>
            <w:hideMark/>
          </w:tcPr>
          <w:p w14:paraId="42845E5E" w14:textId="7BD7C70D"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6B250833" w14:textId="3D83551C"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$120,000</w:t>
            </w:r>
          </w:p>
        </w:tc>
        <w:tc>
          <w:tcPr>
            <w:tcW w:w="1094" w:type="pct"/>
            <w:tcBorders>
              <w:top w:val="nil"/>
              <w:left w:val="nil"/>
              <w:bottom w:val="single" w:sz="4" w:space="0" w:color="auto"/>
              <w:right w:val="single" w:sz="4" w:space="0" w:color="auto"/>
            </w:tcBorders>
            <w:noWrap/>
            <w:vAlign w:val="bottom"/>
            <w:hideMark/>
          </w:tcPr>
          <w:p w14:paraId="06B87462"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6D557DC9"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69381995"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1486154A"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ONG</w:t>
            </w:r>
          </w:p>
        </w:tc>
        <w:tc>
          <w:tcPr>
            <w:tcW w:w="725" w:type="pct"/>
            <w:tcBorders>
              <w:top w:val="nil"/>
              <w:left w:val="nil"/>
              <w:bottom w:val="single" w:sz="4" w:space="0" w:color="auto"/>
              <w:right w:val="single" w:sz="4" w:space="0" w:color="auto"/>
            </w:tcBorders>
            <w:noWrap/>
            <w:vAlign w:val="center"/>
            <w:hideMark/>
          </w:tcPr>
          <w:p w14:paraId="76EB6596"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WWF</w:t>
            </w:r>
          </w:p>
        </w:tc>
        <w:tc>
          <w:tcPr>
            <w:tcW w:w="633" w:type="pct"/>
            <w:tcBorders>
              <w:top w:val="nil"/>
              <w:left w:val="nil"/>
              <w:bottom w:val="single" w:sz="4" w:space="0" w:color="auto"/>
              <w:right w:val="single" w:sz="4" w:space="0" w:color="auto"/>
            </w:tcBorders>
            <w:noWrap/>
            <w:vAlign w:val="center"/>
            <w:hideMark/>
          </w:tcPr>
          <w:p w14:paraId="3FA5240D" w14:textId="1FFC2B45"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3D64EA9A" w14:textId="224D5BA3"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$100,000</w:t>
            </w:r>
          </w:p>
        </w:tc>
        <w:tc>
          <w:tcPr>
            <w:tcW w:w="1094" w:type="pct"/>
            <w:tcBorders>
              <w:top w:val="nil"/>
              <w:left w:val="nil"/>
              <w:bottom w:val="single" w:sz="4" w:space="0" w:color="auto"/>
              <w:right w:val="single" w:sz="4" w:space="0" w:color="auto"/>
            </w:tcBorders>
            <w:noWrap/>
            <w:vAlign w:val="bottom"/>
            <w:hideMark/>
          </w:tcPr>
          <w:p w14:paraId="6388F4A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181E9B4A"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73198080"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283A4FB5"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Gobierno local</w:t>
            </w:r>
          </w:p>
        </w:tc>
        <w:tc>
          <w:tcPr>
            <w:tcW w:w="725" w:type="pct"/>
            <w:tcBorders>
              <w:top w:val="nil"/>
              <w:left w:val="nil"/>
              <w:bottom w:val="single" w:sz="4" w:space="0" w:color="auto"/>
              <w:right w:val="single" w:sz="4" w:space="0" w:color="auto"/>
            </w:tcBorders>
            <w:noWrap/>
            <w:vAlign w:val="center"/>
            <w:hideMark/>
          </w:tcPr>
          <w:p w14:paraId="60109FC7"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GAD Archidona</w:t>
            </w:r>
          </w:p>
        </w:tc>
        <w:tc>
          <w:tcPr>
            <w:tcW w:w="633" w:type="pct"/>
            <w:tcBorders>
              <w:top w:val="nil"/>
              <w:left w:val="nil"/>
              <w:bottom w:val="single" w:sz="4" w:space="0" w:color="auto"/>
              <w:right w:val="single" w:sz="4" w:space="0" w:color="auto"/>
            </w:tcBorders>
            <w:noWrap/>
            <w:vAlign w:val="center"/>
            <w:hideMark/>
          </w:tcPr>
          <w:p w14:paraId="78CE8B01" w14:textId="2814BF20"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26B78CEB" w14:textId="6EEFB5B0"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$50,000</w:t>
            </w:r>
          </w:p>
        </w:tc>
        <w:tc>
          <w:tcPr>
            <w:tcW w:w="1094" w:type="pct"/>
            <w:tcBorders>
              <w:top w:val="nil"/>
              <w:left w:val="nil"/>
              <w:bottom w:val="single" w:sz="4" w:space="0" w:color="auto"/>
              <w:right w:val="single" w:sz="4" w:space="0" w:color="auto"/>
            </w:tcBorders>
            <w:noWrap/>
            <w:vAlign w:val="bottom"/>
            <w:hideMark/>
          </w:tcPr>
          <w:p w14:paraId="6AA5C80B"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74F8426F"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2F6C0F4D"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3463A929"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ONG</w:t>
            </w:r>
          </w:p>
        </w:tc>
        <w:tc>
          <w:tcPr>
            <w:tcW w:w="725" w:type="pct"/>
            <w:tcBorders>
              <w:top w:val="nil"/>
              <w:left w:val="nil"/>
              <w:bottom w:val="single" w:sz="4" w:space="0" w:color="auto"/>
              <w:right w:val="single" w:sz="4" w:space="0" w:color="auto"/>
            </w:tcBorders>
            <w:noWrap/>
            <w:vAlign w:val="center"/>
            <w:hideMark/>
          </w:tcPr>
          <w:p w14:paraId="6E5D4AB4"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PASOS</w:t>
            </w:r>
          </w:p>
        </w:tc>
        <w:tc>
          <w:tcPr>
            <w:tcW w:w="633" w:type="pct"/>
            <w:tcBorders>
              <w:top w:val="nil"/>
              <w:left w:val="nil"/>
              <w:bottom w:val="single" w:sz="4" w:space="0" w:color="auto"/>
              <w:right w:val="single" w:sz="4" w:space="0" w:color="auto"/>
            </w:tcBorders>
            <w:noWrap/>
            <w:vAlign w:val="center"/>
            <w:hideMark/>
          </w:tcPr>
          <w:p w14:paraId="0C07E02B" w14:textId="3EF4E5EC"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En especie</w:t>
            </w:r>
          </w:p>
        </w:tc>
        <w:tc>
          <w:tcPr>
            <w:tcW w:w="715" w:type="pct"/>
            <w:tcBorders>
              <w:top w:val="nil"/>
              <w:left w:val="nil"/>
              <w:bottom w:val="single" w:sz="4" w:space="0" w:color="auto"/>
              <w:right w:val="single" w:sz="4" w:space="0" w:color="auto"/>
            </w:tcBorders>
            <w:noWrap/>
            <w:vAlign w:val="center"/>
            <w:hideMark/>
          </w:tcPr>
          <w:p w14:paraId="252F8001" w14:textId="6CE985AB" w:rsidR="007763F2" w:rsidRPr="007763F2" w:rsidRDefault="007763F2" w:rsidP="007763F2">
            <w:pPr>
              <w:jc w:val="right"/>
              <w:rPr>
                <w:rFonts w:asciiTheme="minorHAnsi" w:hAnsiTheme="minorHAnsi" w:cstheme="minorHAnsi"/>
                <w:color w:val="000000"/>
                <w:sz w:val="18"/>
                <w:szCs w:val="18"/>
              </w:rPr>
            </w:pPr>
            <w:r w:rsidRPr="007763F2">
              <w:rPr>
                <w:rFonts w:asciiTheme="minorHAnsi" w:hAnsiTheme="minorHAnsi" w:cstheme="minorHAnsi"/>
                <w:color w:val="000000"/>
                <w:sz w:val="18"/>
                <w:szCs w:val="18"/>
              </w:rPr>
              <w:t>$30,000</w:t>
            </w:r>
          </w:p>
        </w:tc>
        <w:tc>
          <w:tcPr>
            <w:tcW w:w="1094" w:type="pct"/>
            <w:tcBorders>
              <w:top w:val="nil"/>
              <w:left w:val="nil"/>
              <w:bottom w:val="single" w:sz="4" w:space="0" w:color="auto"/>
              <w:right w:val="single" w:sz="4" w:space="0" w:color="auto"/>
            </w:tcBorders>
            <w:noWrap/>
            <w:vAlign w:val="bottom"/>
            <w:hideMark/>
          </w:tcPr>
          <w:p w14:paraId="2A4E6A8D"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No</w:t>
            </w:r>
          </w:p>
        </w:tc>
        <w:tc>
          <w:tcPr>
            <w:tcW w:w="1062" w:type="pct"/>
            <w:tcBorders>
              <w:top w:val="nil"/>
              <w:left w:val="nil"/>
              <w:bottom w:val="single" w:sz="4" w:space="0" w:color="auto"/>
              <w:right w:val="single" w:sz="4" w:space="0" w:color="auto"/>
            </w:tcBorders>
            <w:noWrap/>
            <w:vAlign w:val="bottom"/>
            <w:hideMark/>
          </w:tcPr>
          <w:p w14:paraId="1D5A61F1"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r>
      <w:tr w:rsidR="007763F2" w:rsidRPr="00A51E75" w14:paraId="34ABF8AC" w14:textId="77777777" w:rsidTr="007763F2">
        <w:trPr>
          <w:trHeight w:val="320"/>
        </w:trPr>
        <w:tc>
          <w:tcPr>
            <w:tcW w:w="771" w:type="pct"/>
            <w:tcBorders>
              <w:top w:val="nil"/>
              <w:left w:val="single" w:sz="4" w:space="0" w:color="auto"/>
              <w:bottom w:val="single" w:sz="4" w:space="0" w:color="auto"/>
              <w:right w:val="single" w:sz="4" w:space="0" w:color="auto"/>
            </w:tcBorders>
            <w:noWrap/>
            <w:vAlign w:val="center"/>
            <w:hideMark/>
          </w:tcPr>
          <w:p w14:paraId="5F93D204" w14:textId="77777777" w:rsidR="007763F2" w:rsidRPr="00A51E75" w:rsidRDefault="007763F2" w:rsidP="007763F2">
            <w:pPr>
              <w:rPr>
                <w:rFonts w:ascii="Aptos Narrow" w:hAnsi="Aptos Narrow"/>
                <w:color w:val="000000"/>
              </w:rPr>
            </w:pPr>
            <w:r w:rsidRPr="00A51E75">
              <w:rPr>
                <w:rFonts w:ascii="Aptos Narrow" w:hAnsi="Aptos Narrow"/>
                <w:color w:val="000000"/>
              </w:rPr>
              <w:t> </w:t>
            </w:r>
          </w:p>
        </w:tc>
        <w:tc>
          <w:tcPr>
            <w:tcW w:w="725" w:type="pct"/>
            <w:tcBorders>
              <w:top w:val="nil"/>
              <w:left w:val="nil"/>
              <w:bottom w:val="single" w:sz="4" w:space="0" w:color="auto"/>
              <w:right w:val="single" w:sz="4" w:space="0" w:color="auto"/>
            </w:tcBorders>
            <w:noWrap/>
            <w:vAlign w:val="center"/>
            <w:hideMark/>
          </w:tcPr>
          <w:p w14:paraId="44ECC383" w14:textId="77777777" w:rsidR="007763F2" w:rsidRPr="00A51E75" w:rsidRDefault="007763F2" w:rsidP="007763F2">
            <w:pPr>
              <w:rPr>
                <w:rFonts w:ascii="Calibri" w:hAnsi="Calibri" w:cs="Calibri"/>
                <w:b/>
                <w:bCs/>
                <w:color w:val="000000"/>
                <w:sz w:val="18"/>
                <w:szCs w:val="18"/>
              </w:rPr>
            </w:pPr>
            <w:r w:rsidRPr="00A51E75">
              <w:rPr>
                <w:rFonts w:ascii="Calibri" w:hAnsi="Calibri" w:cs="Calibri"/>
                <w:b/>
                <w:bCs/>
                <w:color w:val="000000"/>
                <w:sz w:val="18"/>
                <w:szCs w:val="18"/>
              </w:rPr>
              <w:t>Total</w:t>
            </w:r>
          </w:p>
        </w:tc>
        <w:tc>
          <w:tcPr>
            <w:tcW w:w="633" w:type="pct"/>
            <w:tcBorders>
              <w:top w:val="nil"/>
              <w:left w:val="nil"/>
              <w:bottom w:val="single" w:sz="4" w:space="0" w:color="auto"/>
              <w:right w:val="single" w:sz="4" w:space="0" w:color="auto"/>
            </w:tcBorders>
            <w:noWrap/>
            <w:vAlign w:val="center"/>
            <w:hideMark/>
          </w:tcPr>
          <w:p w14:paraId="4A154D2F" w14:textId="77777777" w:rsidR="007763F2" w:rsidRPr="00A51E75" w:rsidRDefault="007763F2" w:rsidP="007763F2">
            <w:pPr>
              <w:rPr>
                <w:rFonts w:ascii="Calibri" w:hAnsi="Calibri" w:cs="Calibri"/>
                <w:color w:val="000000"/>
                <w:sz w:val="18"/>
                <w:szCs w:val="18"/>
              </w:rPr>
            </w:pPr>
            <w:r w:rsidRPr="00A51E75">
              <w:rPr>
                <w:rFonts w:ascii="Calibri" w:hAnsi="Calibri" w:cs="Calibri"/>
                <w:color w:val="000000"/>
                <w:sz w:val="18"/>
                <w:szCs w:val="18"/>
              </w:rPr>
              <w:t> </w:t>
            </w:r>
          </w:p>
        </w:tc>
        <w:tc>
          <w:tcPr>
            <w:tcW w:w="715" w:type="pct"/>
            <w:tcBorders>
              <w:top w:val="nil"/>
              <w:left w:val="nil"/>
              <w:bottom w:val="single" w:sz="4" w:space="0" w:color="auto"/>
              <w:right w:val="single" w:sz="4" w:space="0" w:color="auto"/>
            </w:tcBorders>
            <w:noWrap/>
            <w:vAlign w:val="center"/>
            <w:hideMark/>
          </w:tcPr>
          <w:p w14:paraId="2E3EE0B0" w14:textId="59660F28" w:rsidR="007763F2" w:rsidRPr="007763F2" w:rsidRDefault="007763F2" w:rsidP="007763F2">
            <w:pPr>
              <w:jc w:val="right"/>
              <w:rPr>
                <w:rFonts w:asciiTheme="minorHAnsi" w:hAnsiTheme="minorHAnsi" w:cstheme="minorHAnsi"/>
                <w:b/>
                <w:bCs/>
                <w:color w:val="000000"/>
                <w:sz w:val="18"/>
                <w:szCs w:val="18"/>
              </w:rPr>
            </w:pPr>
            <w:r w:rsidRPr="007763F2">
              <w:rPr>
                <w:rFonts w:asciiTheme="minorHAnsi" w:hAnsiTheme="minorHAnsi" w:cstheme="minorHAnsi"/>
                <w:color w:val="000000"/>
                <w:sz w:val="18"/>
                <w:szCs w:val="18"/>
              </w:rPr>
              <w:t>$69,111,918</w:t>
            </w:r>
          </w:p>
        </w:tc>
        <w:tc>
          <w:tcPr>
            <w:tcW w:w="1094" w:type="pct"/>
            <w:tcBorders>
              <w:top w:val="nil"/>
              <w:left w:val="nil"/>
              <w:bottom w:val="single" w:sz="4" w:space="0" w:color="auto"/>
              <w:right w:val="single" w:sz="4" w:space="0" w:color="auto"/>
            </w:tcBorders>
            <w:noWrap/>
            <w:vAlign w:val="bottom"/>
            <w:hideMark/>
          </w:tcPr>
          <w:p w14:paraId="3D3E86E5" w14:textId="77777777" w:rsidR="007763F2" w:rsidRPr="00A51E75" w:rsidRDefault="007763F2" w:rsidP="007763F2">
            <w:pPr>
              <w:rPr>
                <w:rFonts w:ascii="Aptos Narrow" w:hAnsi="Aptos Narrow"/>
                <w:color w:val="000000"/>
              </w:rPr>
            </w:pPr>
            <w:r w:rsidRPr="00A51E75">
              <w:rPr>
                <w:rFonts w:ascii="Aptos Narrow" w:hAnsi="Aptos Narrow"/>
                <w:color w:val="000000"/>
              </w:rPr>
              <w:t> </w:t>
            </w:r>
          </w:p>
        </w:tc>
        <w:tc>
          <w:tcPr>
            <w:tcW w:w="1062" w:type="pct"/>
            <w:tcBorders>
              <w:top w:val="nil"/>
              <w:left w:val="nil"/>
              <w:bottom w:val="single" w:sz="4" w:space="0" w:color="auto"/>
              <w:right w:val="single" w:sz="4" w:space="0" w:color="auto"/>
            </w:tcBorders>
            <w:noWrap/>
            <w:vAlign w:val="bottom"/>
            <w:hideMark/>
          </w:tcPr>
          <w:p w14:paraId="22C9D98F" w14:textId="77777777" w:rsidR="007763F2" w:rsidRPr="00A51E75" w:rsidRDefault="007763F2" w:rsidP="007763F2">
            <w:pPr>
              <w:rPr>
                <w:rFonts w:ascii="Aptos Narrow" w:hAnsi="Aptos Narrow"/>
                <w:color w:val="000000"/>
              </w:rPr>
            </w:pPr>
            <w:r w:rsidRPr="00A51E75">
              <w:rPr>
                <w:rFonts w:ascii="Aptos Narrow" w:hAnsi="Aptos Narrow"/>
                <w:color w:val="000000"/>
              </w:rPr>
              <w:t> </w:t>
            </w:r>
          </w:p>
        </w:tc>
      </w:tr>
    </w:tbl>
    <w:p w14:paraId="211192B5" w14:textId="77777777" w:rsidR="00625485" w:rsidRPr="00A51E75" w:rsidRDefault="00625485" w:rsidP="00625485"/>
    <w:p w14:paraId="476368B6" w14:textId="77777777" w:rsidR="005B55CA" w:rsidRPr="00A51E75" w:rsidRDefault="005B55CA" w:rsidP="00C811AD">
      <w:pPr>
        <w:jc w:val="both"/>
        <w:rPr>
          <w:rFonts w:asciiTheme="minorHAnsi" w:eastAsia="SimSun" w:hAnsiTheme="minorHAnsi" w:cstheme="minorHAnsi"/>
          <w:b/>
          <w:bCs/>
          <w:iCs/>
          <w:sz w:val="20"/>
          <w:szCs w:val="20"/>
        </w:rPr>
      </w:pPr>
    </w:p>
    <w:p w14:paraId="20A856D0" w14:textId="77777777" w:rsidR="00AB3154" w:rsidRPr="00D830D9" w:rsidRDefault="00AB3154" w:rsidP="00AB3154">
      <w:pPr>
        <w:jc w:val="both"/>
        <w:rPr>
          <w:rFonts w:asciiTheme="minorHAnsi" w:eastAsia="SimSun" w:hAnsiTheme="minorHAnsi" w:cstheme="minorHAnsi"/>
          <w:b/>
          <w:bCs/>
          <w:iCs/>
          <w:lang w:val="es-EC"/>
        </w:rPr>
      </w:pPr>
      <w:r w:rsidRPr="00A51E75">
        <w:rPr>
          <w:rFonts w:asciiTheme="minorHAnsi" w:eastAsia="SimSun" w:hAnsiTheme="minorHAnsi" w:cstheme="minorHAnsi"/>
          <w:b/>
          <w:bCs/>
          <w:iCs/>
        </w:rPr>
        <w:t>Estrategia de Participación Continua de los Grupos de Interés</w:t>
      </w:r>
    </w:p>
    <w:p w14:paraId="23F2B515" w14:textId="77777777" w:rsidR="001409D9" w:rsidRPr="00D830D9" w:rsidRDefault="001409D9" w:rsidP="00AB3154">
      <w:pPr>
        <w:jc w:val="both"/>
        <w:rPr>
          <w:rFonts w:asciiTheme="minorHAnsi" w:eastAsia="SimSun" w:hAnsiTheme="minorHAnsi" w:cstheme="minorHAnsi"/>
          <w:bCs/>
          <w:iCs/>
          <w:lang w:val="es-EC"/>
        </w:rPr>
      </w:pPr>
    </w:p>
    <w:p w14:paraId="63EC3AB8" w14:textId="3ECB7BFE"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hAnsiTheme="minorHAnsi" w:cstheme="minorHAnsi"/>
          <w:sz w:val="20"/>
          <w:szCs w:val="20"/>
        </w:rPr>
        <w:t xml:space="preserve">El proyecto implementará una estrategia continua e inclusiva de participación de las partes interesadas, alineada con los principios del </w:t>
      </w:r>
      <w:r w:rsidR="008648C5">
        <w:rPr>
          <w:rFonts w:asciiTheme="minorHAnsi" w:hAnsiTheme="minorHAnsi" w:cstheme="minorHAnsi"/>
          <w:sz w:val="20"/>
          <w:szCs w:val="20"/>
        </w:rPr>
        <w:t>FMAM</w:t>
      </w:r>
      <w:r w:rsidRPr="00A51E75">
        <w:rPr>
          <w:rFonts w:asciiTheme="minorHAnsi" w:hAnsiTheme="minorHAnsi" w:cstheme="minorHAnsi"/>
          <w:sz w:val="20"/>
          <w:szCs w:val="20"/>
        </w:rPr>
        <w:t xml:space="preserve"> y las salvaguardas del PNUD. Esta estrategia garantiza información oportuna y accesible en formatos apropiados (traducciones, infografías, audiovisuales) y promueve la participación efectiva de los pueblos indígenas, mujeres, jóvenes y actores locales en todas las fases del proyecto. Los espacios existentes como los consejos de cuencas, comités de cogestión, la Mesa REDD+, redes juveniles y colectivos de mujeres se fortalecerán e integrarán sistemáticamente en los procesos de planificación, la formulación de proyectos y la supervisión participativa. Estas plataformas apoyarán la validación de instrumentos como </w:t>
      </w:r>
      <w:proofErr w:type="spellStart"/>
      <w:r w:rsidRPr="00A51E75">
        <w:rPr>
          <w:rFonts w:asciiTheme="minorHAnsi" w:hAnsiTheme="minorHAnsi" w:cstheme="minorHAnsi"/>
          <w:sz w:val="20"/>
          <w:szCs w:val="20"/>
        </w:rPr>
        <w:t>PDOTs</w:t>
      </w:r>
      <w:proofErr w:type="spellEnd"/>
      <w:r w:rsidRPr="00A51E75">
        <w:rPr>
          <w:rFonts w:asciiTheme="minorHAnsi" w:hAnsiTheme="minorHAnsi" w:cstheme="minorHAnsi"/>
          <w:sz w:val="20"/>
          <w:szCs w:val="20"/>
        </w:rPr>
        <w:t>, PUGS y Planes de Vida, asegurando que los procesos de gobernanza territorial sean multinivel, intergeneracionales y culturalmente apropiados. Además, se creará un registro de participación para documentar el progreso, los acuerdos y los procesos de retroalimentación, que se integrarán en el sistema de Monitorización, Evaluación y Aprendizaje (MEL) del proyecto. Esta estrategia se detalla en el Plan de Participación de Partes Interesadas (Anexo 8), que incluye plazos, partes responsables, canales de comunicación y metodología, y se actualizará en función de la dinámica territorial y las lecciones aprendidas durante la implementación.</w:t>
      </w:r>
      <w:r w:rsidR="00077AFD">
        <w:rPr>
          <w:rFonts w:asciiTheme="minorHAnsi" w:hAnsiTheme="minorHAnsi" w:cstheme="minorHAnsi"/>
          <w:sz w:val="20"/>
          <w:szCs w:val="20"/>
        </w:rPr>
        <w:t xml:space="preserve"> </w:t>
      </w:r>
    </w:p>
    <w:p w14:paraId="49879612" w14:textId="21A13178"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
          <w:bCs/>
          <w:iCs/>
          <w:sz w:val="20"/>
          <w:szCs w:val="20"/>
        </w:rPr>
        <w:t>Participación de</w:t>
      </w:r>
      <w:r w:rsidR="00AC6938" w:rsidRPr="00A51E75">
        <w:rPr>
          <w:rFonts w:asciiTheme="minorHAnsi" w:eastAsia="SimSun" w:hAnsiTheme="minorHAnsi" w:cstheme="minorHAnsi"/>
          <w:b/>
          <w:bCs/>
          <w:iCs/>
          <w:sz w:val="20"/>
          <w:szCs w:val="20"/>
        </w:rPr>
        <w:t xml:space="preserve"> </w:t>
      </w:r>
      <w:r w:rsidR="00AC6938">
        <w:rPr>
          <w:rFonts w:asciiTheme="minorHAnsi" w:eastAsia="SimSun" w:hAnsiTheme="minorHAnsi" w:cstheme="minorHAnsi"/>
          <w:b/>
          <w:bCs/>
          <w:iCs/>
          <w:sz w:val="20"/>
          <w:szCs w:val="20"/>
        </w:rPr>
        <w:t>partes interesadas</w:t>
      </w:r>
      <w:r w:rsidRPr="00A51E75">
        <w:rPr>
          <w:rFonts w:asciiTheme="minorHAnsi" w:eastAsia="SimSun" w:hAnsiTheme="minorHAnsi" w:cstheme="minorHAnsi"/>
          <w:b/>
          <w:bCs/>
          <w:iCs/>
          <w:sz w:val="20"/>
          <w:szCs w:val="20"/>
        </w:rPr>
        <w:t>.</w:t>
      </w:r>
      <w:r w:rsidRPr="00A51E75">
        <w:rPr>
          <w:rFonts w:asciiTheme="minorHAnsi" w:eastAsia="SimSun" w:hAnsiTheme="minorHAnsi" w:cstheme="minorHAnsi"/>
          <w:bCs/>
          <w:iCs/>
          <w:sz w:val="20"/>
          <w:szCs w:val="20"/>
        </w:rPr>
        <w:t xml:space="preserve"> El proyecto ha desarrollado un Plan de Participación de Partes Interesadas (</w:t>
      </w:r>
      <w:r w:rsidR="00AC6938">
        <w:rPr>
          <w:rFonts w:asciiTheme="minorHAnsi" w:eastAsia="SimSun" w:hAnsiTheme="minorHAnsi" w:cstheme="minorHAnsi"/>
          <w:bCs/>
          <w:iCs/>
          <w:sz w:val="20"/>
          <w:szCs w:val="20"/>
        </w:rPr>
        <w:t>PPPI</w:t>
      </w:r>
      <w:r w:rsidRPr="00A51E75">
        <w:rPr>
          <w:rFonts w:asciiTheme="minorHAnsi" w:eastAsia="SimSun" w:hAnsiTheme="minorHAnsi" w:cstheme="minorHAnsi"/>
          <w:bCs/>
          <w:iCs/>
          <w:sz w:val="20"/>
          <w:szCs w:val="20"/>
        </w:rPr>
        <w:t xml:space="preserve">) integral, de acuerdo con los Estándares Sociales y </w:t>
      </w:r>
      <w:r w:rsidR="00AC6938">
        <w:rPr>
          <w:rFonts w:asciiTheme="minorHAnsi" w:eastAsia="SimSun" w:hAnsiTheme="minorHAnsi" w:cstheme="minorHAnsi"/>
          <w:bCs/>
          <w:iCs/>
          <w:sz w:val="20"/>
          <w:szCs w:val="20"/>
        </w:rPr>
        <w:t>A</w:t>
      </w:r>
      <w:r w:rsidRPr="00A51E75">
        <w:rPr>
          <w:rFonts w:asciiTheme="minorHAnsi" w:eastAsia="SimSun" w:hAnsiTheme="minorHAnsi" w:cstheme="minorHAnsi"/>
          <w:bCs/>
          <w:iCs/>
          <w:sz w:val="20"/>
          <w:szCs w:val="20"/>
        </w:rPr>
        <w:t>mbientales (</w:t>
      </w:r>
      <w:proofErr w:type="spellStart"/>
      <w:r w:rsidR="00AC6938">
        <w:rPr>
          <w:rFonts w:asciiTheme="minorHAnsi" w:eastAsia="SimSun" w:hAnsiTheme="minorHAnsi" w:cstheme="minorHAnsi"/>
          <w:bCs/>
          <w:iCs/>
          <w:sz w:val="20"/>
          <w:szCs w:val="20"/>
        </w:rPr>
        <w:t>ESyA</w:t>
      </w:r>
      <w:proofErr w:type="spellEnd"/>
      <w:r w:rsidRPr="00A51E75">
        <w:rPr>
          <w:rFonts w:asciiTheme="minorHAnsi" w:eastAsia="SimSun" w:hAnsiTheme="minorHAnsi" w:cstheme="minorHAnsi"/>
          <w:bCs/>
          <w:iCs/>
          <w:sz w:val="20"/>
          <w:szCs w:val="20"/>
        </w:rPr>
        <w:t>) del PNUD, debido a su clasificación como un proyecto de riesgo sustancial. Este plan garantiza una participación efectiva, transparente e inclusiva de los principales interesados en todas las fases del proyecto.</w:t>
      </w:r>
    </w:p>
    <w:p w14:paraId="56476AC1" w14:textId="77777777"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
          <w:bCs/>
          <w:iCs/>
          <w:sz w:val="20"/>
          <w:szCs w:val="20"/>
        </w:rPr>
        <w:t>Grupos objetivo.</w:t>
      </w:r>
      <w:r w:rsidRPr="00A51E75">
        <w:rPr>
          <w:rFonts w:asciiTheme="minorHAnsi" w:eastAsia="SimSun" w:hAnsiTheme="minorHAnsi" w:cstheme="minorHAnsi"/>
          <w:bCs/>
          <w:iCs/>
          <w:sz w:val="20"/>
          <w:szCs w:val="20"/>
        </w:rPr>
        <w:t xml:space="preserve"> Los principales beneficiarios directos incluyen a pueblos indígenas y nacionalidad, comunidades locales, mujeres, jóvenes, organizaciones comunitarias y productores rurales en la cuenca del río Napo. La estrategia de identificación y participación se basa en la coordinación con organizaciones representativas como CONFENIAE, FOIN, PKR y redes territoriales de mujeres y jóvenes, así como con GAD locales, comités de cogestión y asociaciones de productores. La participación será priorizada mediante procesos de consulta informados, desarrollo de capacidades, mecanismos de cogestión y acceso equitativo a los beneficios del proyecto.</w:t>
      </w:r>
    </w:p>
    <w:p w14:paraId="704873F5" w14:textId="77777777"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
          <w:bCs/>
          <w:iCs/>
          <w:sz w:val="20"/>
          <w:szCs w:val="20"/>
        </w:rPr>
        <w:t>Otros grupos potencialmente afectados.</w:t>
      </w:r>
      <w:r w:rsidRPr="00A51E75">
        <w:rPr>
          <w:rFonts w:asciiTheme="minorHAnsi" w:eastAsia="SimSun" w:hAnsiTheme="minorHAnsi" w:cstheme="minorHAnsi"/>
          <w:bCs/>
          <w:iCs/>
          <w:sz w:val="20"/>
          <w:szCs w:val="20"/>
        </w:rPr>
        <w:t xml:space="preserve"> El proyecto identificará e implicará a las personas potencialmente afectadas mediante un enfoque territorial diferenciado. Se implementarán mecanismos culturalmente apropiados y accesibles para presentar quejas o preocupaciones, incluyendo el uso del Mecanismo de Respuesta de Partes Interesadas del PNUD y el Mecanismo de Revisión de Cumplimiento Social y Medioambiental. También se </w:t>
      </w:r>
      <w:r w:rsidRPr="00A51E75">
        <w:rPr>
          <w:rFonts w:asciiTheme="minorHAnsi" w:eastAsia="SimSun" w:hAnsiTheme="minorHAnsi" w:cstheme="minorHAnsi"/>
          <w:bCs/>
          <w:iCs/>
          <w:sz w:val="20"/>
          <w:szCs w:val="20"/>
        </w:rPr>
        <w:lastRenderedPageBreak/>
        <w:t>establecerán espacios de retroalimentación comunitaria y monitorización participativa, con un enfoque de género e interseccional.</w:t>
      </w:r>
    </w:p>
    <w:p w14:paraId="257F665C" w14:textId="7504CCD3"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
          <w:bCs/>
          <w:iCs/>
          <w:sz w:val="20"/>
          <w:szCs w:val="20"/>
        </w:rPr>
        <w:t>Consentimiento Libre, Previo e Informado (</w:t>
      </w:r>
      <w:r w:rsidR="00AC6938">
        <w:rPr>
          <w:rFonts w:asciiTheme="minorHAnsi" w:eastAsia="SimSun" w:hAnsiTheme="minorHAnsi" w:cstheme="minorHAnsi"/>
          <w:b/>
          <w:bCs/>
          <w:iCs/>
          <w:sz w:val="20"/>
          <w:szCs w:val="20"/>
        </w:rPr>
        <w:t>CLPI</w:t>
      </w:r>
      <w:r w:rsidRPr="00A51E75">
        <w:rPr>
          <w:rFonts w:asciiTheme="minorHAnsi" w:eastAsia="SimSun" w:hAnsiTheme="minorHAnsi" w:cstheme="minorHAnsi"/>
          <w:b/>
          <w:bCs/>
          <w:iCs/>
          <w:sz w:val="20"/>
          <w:szCs w:val="20"/>
        </w:rPr>
        <w:t>).</w:t>
      </w:r>
      <w:r w:rsidRPr="00A51E75">
        <w:rPr>
          <w:rFonts w:asciiTheme="minorHAnsi" w:eastAsia="SimSun" w:hAnsiTheme="minorHAnsi" w:cstheme="minorHAnsi"/>
          <w:bCs/>
          <w:iCs/>
          <w:sz w:val="20"/>
          <w:szCs w:val="20"/>
        </w:rPr>
        <w:t xml:space="preserve"> El </w:t>
      </w:r>
      <w:r w:rsidR="00AC6938">
        <w:rPr>
          <w:rFonts w:asciiTheme="minorHAnsi" w:eastAsia="SimSun" w:hAnsiTheme="minorHAnsi" w:cstheme="minorHAnsi"/>
          <w:bCs/>
          <w:iCs/>
          <w:sz w:val="20"/>
          <w:szCs w:val="20"/>
        </w:rPr>
        <w:t>CLPI</w:t>
      </w:r>
      <w:r w:rsidRPr="00A51E75">
        <w:rPr>
          <w:rFonts w:asciiTheme="minorHAnsi" w:eastAsia="SimSun" w:hAnsiTheme="minorHAnsi" w:cstheme="minorHAnsi"/>
          <w:bCs/>
          <w:iCs/>
          <w:sz w:val="20"/>
          <w:szCs w:val="20"/>
        </w:rPr>
        <w:t xml:space="preserve"> será necesario para actividades que impliquen intervención directa en territorios indígenas o que puedan afectar sus derechos colectivos. Estas actividades se detallan en el Marco de Planificación de los Pueblos Indígenas (</w:t>
      </w:r>
      <w:r w:rsidR="00AC6938">
        <w:rPr>
          <w:rFonts w:asciiTheme="minorHAnsi" w:eastAsia="SimSun" w:hAnsiTheme="minorHAnsi" w:cstheme="minorHAnsi"/>
          <w:bCs/>
          <w:iCs/>
          <w:sz w:val="20"/>
          <w:szCs w:val="20"/>
        </w:rPr>
        <w:t>MPPI</w:t>
      </w:r>
      <w:r w:rsidRPr="00A51E75">
        <w:rPr>
          <w:rFonts w:asciiTheme="minorHAnsi" w:eastAsia="SimSun" w:hAnsiTheme="minorHAnsi" w:cstheme="minorHAnsi"/>
          <w:bCs/>
          <w:iCs/>
          <w:sz w:val="20"/>
          <w:szCs w:val="20"/>
        </w:rPr>
        <w:t>) del ProDoc y se desarrollarán en coordinación con organizaciones representativas, garantizando procesos culturalmente apropiados, transparentes y con documentación verificable de consentimiento.</w:t>
      </w:r>
    </w:p>
    <w:p w14:paraId="3C4FAB7D" w14:textId="503A7C4F"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
          <w:bCs/>
          <w:iCs/>
          <w:sz w:val="20"/>
          <w:szCs w:val="20"/>
        </w:rPr>
        <w:t>Igualdad de género y empoderamiento de la mujer.</w:t>
      </w:r>
      <w:r w:rsidRPr="00A51E75">
        <w:rPr>
          <w:rFonts w:asciiTheme="minorHAnsi" w:eastAsia="SimSun" w:hAnsiTheme="minorHAnsi" w:cstheme="minorHAnsi"/>
          <w:bCs/>
          <w:iCs/>
          <w:sz w:val="20"/>
          <w:szCs w:val="20"/>
        </w:rPr>
        <w:t xml:space="preserve"> El proyecto integra la igualdad de género y el empoderamiento de la mujer de forma transversal, en línea con las directrices del </w:t>
      </w:r>
      <w:r w:rsidR="00AC6938">
        <w:rPr>
          <w:rFonts w:asciiTheme="minorHAnsi" w:eastAsia="SimSun" w:hAnsiTheme="minorHAnsi" w:cstheme="minorHAnsi"/>
          <w:bCs/>
          <w:iCs/>
          <w:sz w:val="20"/>
          <w:szCs w:val="20"/>
        </w:rPr>
        <w:t>FMAM</w:t>
      </w:r>
      <w:r w:rsidRPr="00A51E75">
        <w:rPr>
          <w:rFonts w:asciiTheme="minorHAnsi" w:eastAsia="SimSun" w:hAnsiTheme="minorHAnsi" w:cstheme="minorHAnsi"/>
          <w:bCs/>
          <w:iCs/>
          <w:sz w:val="20"/>
          <w:szCs w:val="20"/>
        </w:rPr>
        <w:t xml:space="preserve"> y el PNUD. Basándose en el análisis de género y en el </w:t>
      </w:r>
      <w:r w:rsidR="00AC6938">
        <w:rPr>
          <w:rFonts w:asciiTheme="minorHAnsi" w:eastAsia="SimSun" w:hAnsiTheme="minorHAnsi" w:cstheme="minorHAnsi"/>
          <w:bCs/>
          <w:iCs/>
          <w:sz w:val="20"/>
          <w:szCs w:val="20"/>
        </w:rPr>
        <w:t>PAG</w:t>
      </w:r>
      <w:r w:rsidRPr="00A51E75">
        <w:rPr>
          <w:rFonts w:asciiTheme="minorHAnsi" w:eastAsia="SimSun" w:hAnsiTheme="minorHAnsi" w:cstheme="minorHAnsi"/>
          <w:bCs/>
          <w:iCs/>
          <w:sz w:val="20"/>
          <w:szCs w:val="20"/>
        </w:rPr>
        <w:t xml:space="preserve"> desarrollado (Anexo 10), se definió un conjunto de medidas estratégicas para abordar las barreras estructurales que enfrentan mujeres, jóvenes y pueblos indígenas en el territorio. Estas medidas se reflejan en acciones afirmativas integradas en los cinco componentes del proyecto y respaldadas por indicadores sensibles al género en el marco de resultados.</w:t>
      </w:r>
    </w:p>
    <w:p w14:paraId="2BD3FDCC" w14:textId="040E1029"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Cs/>
          <w:iCs/>
          <w:sz w:val="20"/>
          <w:szCs w:val="20"/>
        </w:rPr>
        <w:t xml:space="preserve">El análisis de género identificó seis brechas principales: (i) baja participación de mujeres y jóvenes en la gobernanza territorial; (ii) acceso limitado a la educación, la formación y el desarrollo de capacidades técnicas; (iii) desigualdades en el acceso a la financiación y a los recursos de producción sostenibles; (iv) carga de trabajo doméstica y comunitaria no remunerada; (v) mayor vulnerabilidad al cambio climático; y (vi) normas sociales discriminatorias persistentes y violencia de género. En respuesta, el </w:t>
      </w:r>
      <w:r w:rsidR="00AC6938">
        <w:rPr>
          <w:rFonts w:asciiTheme="minorHAnsi" w:eastAsia="SimSun" w:hAnsiTheme="minorHAnsi" w:cstheme="minorHAnsi"/>
          <w:bCs/>
          <w:iCs/>
          <w:sz w:val="20"/>
          <w:szCs w:val="20"/>
        </w:rPr>
        <w:t>PAG</w:t>
      </w:r>
      <w:r w:rsidRPr="00A51E75">
        <w:rPr>
          <w:rFonts w:asciiTheme="minorHAnsi" w:eastAsia="SimSun" w:hAnsiTheme="minorHAnsi" w:cstheme="minorHAnsi"/>
          <w:bCs/>
          <w:iCs/>
          <w:sz w:val="20"/>
          <w:szCs w:val="20"/>
        </w:rPr>
        <w:t xml:space="preserve"> detalla acciones específicas para cerrar estas brechas y fomentar la equidad.</w:t>
      </w:r>
    </w:p>
    <w:p w14:paraId="24430A72" w14:textId="77777777"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Cs/>
          <w:iCs/>
          <w:sz w:val="20"/>
          <w:szCs w:val="20"/>
        </w:rPr>
        <w:t>En el componente de gobernanza, se promoverá la participación efectiva de las mujeres en los espacios de planificación y toma de decisiones, con alianzas institucionales que garanticen su representación. En la restauración de paisajes, se prevé una participación del 40% de mujeres en viveros comunitarios, procesos de seguimiento y sesiones de formación, con módulos específicos sobre liderazgo femenino. En producción sostenible, el proyecto apoyará a bioempresas y empresas lideradas por mujeres, implementará mecanismos de trazabilidad sensibles al género y establecerá acuerdos comerciales diferenciados por género.</w:t>
      </w:r>
    </w:p>
    <w:p w14:paraId="2B0A5B50" w14:textId="77777777"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Cs/>
          <w:iCs/>
          <w:sz w:val="20"/>
          <w:szCs w:val="20"/>
        </w:rPr>
        <w:t>El componente financiero incluirá líneas de acceso específicas para mujeres, pueblos indígenas y jóvenes mediante fondos rotatorios, garantías de solidaridad y formación financiera sensible al género. En gestión del conocimiento, el proyecto desplegará campañas de concienciación comunitaria, una plataforma digital inclusiva y un sistema de monitorización de impacto que integre variables de género e interseccionalidad.</w:t>
      </w:r>
    </w:p>
    <w:p w14:paraId="672DEB6C" w14:textId="77777777" w:rsidR="00C456D6"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Cs/>
          <w:iCs/>
          <w:sz w:val="20"/>
          <w:szCs w:val="20"/>
        </w:rPr>
        <w:t>El proyecto incluye explícitamente medidas sensibles al género, contribuyendo a la equidad en tres áreas clave: cerrar las brechas de acceso y control sobre los recursos naturales; el aumento de la participación y liderazgo de las mujeres en la toma de decisiones; y generar beneficios socioeconómicos concretos para mujeres y jóvenes. El enfoque de género estará presente en todo el proyecto, desde el diseño hasta la supervisión, asegurando impactos transformadores y sostenibles más allá del ciclo de vida del proyecto.</w:t>
      </w:r>
    </w:p>
    <w:p w14:paraId="2912A7B3" w14:textId="265A0992" w:rsidR="00AB3154" w:rsidRPr="00D830D9" w:rsidRDefault="00AB3154" w:rsidP="00EC2CBE">
      <w:pPr>
        <w:pStyle w:val="Prrafodelista"/>
        <w:numPr>
          <w:ilvl w:val="0"/>
          <w:numId w:val="3"/>
        </w:numPr>
        <w:tabs>
          <w:tab w:val="clear" w:pos="360"/>
          <w:tab w:val="num" w:pos="0"/>
        </w:tabs>
        <w:ind w:left="0" w:hanging="502"/>
        <w:jc w:val="both"/>
        <w:rPr>
          <w:rFonts w:asciiTheme="minorHAnsi" w:hAnsiTheme="minorHAnsi" w:cstheme="minorHAnsi"/>
          <w:sz w:val="20"/>
          <w:szCs w:val="20"/>
          <w:lang w:val="es-EC"/>
        </w:rPr>
      </w:pPr>
      <w:r w:rsidRPr="00A51E75">
        <w:rPr>
          <w:rFonts w:asciiTheme="minorHAnsi" w:eastAsia="SimSun" w:hAnsiTheme="minorHAnsi" w:cstheme="minorHAnsi"/>
          <w:bCs/>
          <w:iCs/>
          <w:sz w:val="20"/>
          <w:szCs w:val="20"/>
        </w:rPr>
        <w:t>Así, el proyecto responde afirmativamente a los requisitos de sensibilidad de género e incluye indicadores específicos para evaluar los avances en la reducción de las brechas de género y el empoderamiento de las mujeres. Esta estrategia contribuye eficazmente a los compromisos de Ecuador con los derechos humanos, el desarrollo sostenible y la equidad de género.</w:t>
      </w:r>
    </w:p>
    <w:p w14:paraId="4BB85445" w14:textId="6791F5A5" w:rsidR="00AB3154" w:rsidRPr="00D830D9" w:rsidRDefault="00AB3154" w:rsidP="00AB3154">
      <w:pPr>
        <w:jc w:val="both"/>
        <w:rPr>
          <w:rFonts w:asciiTheme="minorHAnsi" w:eastAsia="SimSun" w:hAnsiTheme="minorHAnsi" w:cstheme="minorHAnsi"/>
          <w:bCs/>
          <w:iCs/>
          <w:sz w:val="20"/>
          <w:szCs w:val="20"/>
          <w:lang w:val="es-EC"/>
        </w:rPr>
      </w:pPr>
    </w:p>
    <w:p w14:paraId="7985B786" w14:textId="18CAFC41" w:rsidR="00AB3154" w:rsidRPr="00D830D9" w:rsidRDefault="00AB3154" w:rsidP="00AB3154">
      <w:pPr>
        <w:jc w:val="both"/>
        <w:rPr>
          <w:rFonts w:asciiTheme="minorHAnsi" w:eastAsia="SimSun" w:hAnsiTheme="minorHAnsi" w:cstheme="minorHAnsi"/>
          <w:bCs/>
          <w:iCs/>
          <w:sz w:val="20"/>
          <w:szCs w:val="20"/>
          <w:lang w:val="es-EC"/>
        </w:rPr>
      </w:pPr>
      <w:r w:rsidRPr="00A51E75">
        <w:rPr>
          <w:rFonts w:asciiTheme="minorHAnsi" w:eastAsia="SimSun" w:hAnsiTheme="minorHAnsi" w:cstheme="minorHAnsi"/>
          <w:b/>
          <w:bCs/>
          <w:iCs/>
          <w:sz w:val="20"/>
          <w:szCs w:val="20"/>
        </w:rPr>
        <w:t>Cooperación Sur-Sur y Triangular (</w:t>
      </w:r>
      <w:r w:rsidR="00AC6938">
        <w:rPr>
          <w:rFonts w:asciiTheme="minorHAnsi" w:eastAsia="SimSun" w:hAnsiTheme="minorHAnsi" w:cstheme="minorHAnsi"/>
          <w:b/>
          <w:bCs/>
          <w:iCs/>
          <w:sz w:val="20"/>
          <w:szCs w:val="20"/>
        </w:rPr>
        <w:t>CSS</w:t>
      </w:r>
      <w:r w:rsidRPr="00A51E75">
        <w:rPr>
          <w:rFonts w:asciiTheme="minorHAnsi" w:eastAsia="SimSun" w:hAnsiTheme="minorHAnsi" w:cstheme="minorHAnsi"/>
          <w:b/>
          <w:bCs/>
          <w:iCs/>
          <w:sz w:val="20"/>
          <w:szCs w:val="20"/>
        </w:rPr>
        <w:t>/</w:t>
      </w:r>
      <w:proofErr w:type="spellStart"/>
      <w:r w:rsidR="00AC6938">
        <w:rPr>
          <w:rFonts w:asciiTheme="minorHAnsi" w:eastAsia="SimSun" w:hAnsiTheme="minorHAnsi" w:cstheme="minorHAnsi"/>
          <w:b/>
          <w:bCs/>
          <w:iCs/>
          <w:sz w:val="20"/>
          <w:szCs w:val="20"/>
        </w:rPr>
        <w:t>C</w:t>
      </w:r>
      <w:r w:rsidRPr="00A51E75">
        <w:rPr>
          <w:rFonts w:asciiTheme="minorHAnsi" w:eastAsia="SimSun" w:hAnsiTheme="minorHAnsi" w:cstheme="minorHAnsi"/>
          <w:b/>
          <w:bCs/>
          <w:iCs/>
          <w:sz w:val="20"/>
          <w:szCs w:val="20"/>
        </w:rPr>
        <w:t>Tr</w:t>
      </w:r>
      <w:proofErr w:type="spellEnd"/>
      <w:r w:rsidRPr="00A51E75">
        <w:rPr>
          <w:rFonts w:asciiTheme="minorHAnsi" w:eastAsia="SimSun" w:hAnsiTheme="minorHAnsi" w:cstheme="minorHAnsi"/>
          <w:b/>
          <w:bCs/>
          <w:iCs/>
          <w:sz w:val="20"/>
          <w:szCs w:val="20"/>
        </w:rPr>
        <w:t>)</w:t>
      </w:r>
    </w:p>
    <w:p w14:paraId="1499B4E2" w14:textId="49E31A62" w:rsidR="00C456D6" w:rsidRPr="00D830D9" w:rsidRDefault="00AB315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lang w:val="es-EC"/>
        </w:rPr>
      </w:pPr>
      <w:r w:rsidRPr="00A51E75">
        <w:rPr>
          <w:rFonts w:asciiTheme="minorHAnsi" w:eastAsia="SimSun" w:hAnsiTheme="minorHAnsi" w:cstheme="minorHAnsi"/>
          <w:bCs/>
          <w:iCs/>
          <w:sz w:val="20"/>
          <w:szCs w:val="20"/>
        </w:rPr>
        <w:t>Además, para posicionar la voz de Ecuador en foros globales y regionales, el proyecto explorará oportunidades de participación significativa en espacios como la Cumbre de la Organización del Tratado de Cooperación de la Amazonia (</w:t>
      </w:r>
      <w:r w:rsidR="00AC6938">
        <w:rPr>
          <w:rFonts w:asciiTheme="minorHAnsi" w:eastAsia="SimSun" w:hAnsiTheme="minorHAnsi" w:cstheme="minorHAnsi"/>
          <w:bCs/>
          <w:iCs/>
          <w:sz w:val="20"/>
          <w:szCs w:val="20"/>
        </w:rPr>
        <w:t>OTCA</w:t>
      </w:r>
      <w:r w:rsidRPr="00A51E75">
        <w:rPr>
          <w:rFonts w:asciiTheme="minorHAnsi" w:eastAsia="SimSun" w:hAnsiTheme="minorHAnsi" w:cstheme="minorHAnsi"/>
          <w:bCs/>
          <w:iCs/>
          <w:sz w:val="20"/>
          <w:szCs w:val="20"/>
        </w:rPr>
        <w:t>), el proceso de implementación del Acuerdo de Escazú y la Conferencia Regional sobre Cooperación Sur-Sur organizada por la CEPAL. A través de estos foros, el PNUD facilitará la participación del país en el diálogo global sobre la gestión sostenible del paisaje, la conservación de la biodiversidad, la participación indígena y mecanismos inclusivos de financiación verde.</w:t>
      </w:r>
    </w:p>
    <w:p w14:paraId="0B175948" w14:textId="7C1033A1" w:rsidR="00AB3154" w:rsidRPr="00D830D9" w:rsidRDefault="00AB315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lang w:val="es-EC"/>
        </w:rPr>
      </w:pPr>
      <w:r w:rsidRPr="00A51E75">
        <w:rPr>
          <w:rFonts w:asciiTheme="minorHAnsi" w:eastAsia="SimSun" w:hAnsiTheme="minorHAnsi" w:cstheme="minorHAnsi"/>
          <w:bCs/>
          <w:iCs/>
          <w:sz w:val="20"/>
          <w:szCs w:val="20"/>
        </w:rPr>
        <w:t>El proyecto también promoverá oportunidades de cooperación regional con países que implementan iniciativas relacionadas con la restauración de tierras, la adaptación al cambio climático y la producción sostenible en contextos amazónicos y rurales. Para ello, fomentará la vinculación con plataformas de conocimiento como PANORAMA</w:t>
      </w:r>
      <w:r w:rsidR="001409D9" w:rsidRPr="00A51E75">
        <w:rPr>
          <w:rStyle w:val="Refdenotaalpie"/>
          <w:rFonts w:asciiTheme="minorHAnsi" w:eastAsia="SimSun" w:hAnsiTheme="minorHAnsi" w:cstheme="minorHAnsi"/>
          <w:bCs/>
          <w:iCs/>
          <w:sz w:val="20"/>
          <w:szCs w:val="20"/>
        </w:rPr>
        <w:footnoteReference w:id="9"/>
      </w:r>
      <w:r w:rsidRPr="00A51E75">
        <w:rPr>
          <w:rFonts w:asciiTheme="minorHAnsi" w:eastAsia="SimSun" w:hAnsiTheme="minorHAnsi" w:cstheme="minorHAnsi"/>
          <w:bCs/>
          <w:iCs/>
          <w:sz w:val="20"/>
          <w:szCs w:val="20"/>
        </w:rPr>
        <w:t xml:space="preserve"> y la Galaxia Sur-Sur de la ONU, la </w:t>
      </w:r>
      <w:proofErr w:type="gramStart"/>
      <w:r w:rsidRPr="00A51E75">
        <w:rPr>
          <w:rFonts w:asciiTheme="minorHAnsi" w:eastAsia="SimSun" w:hAnsiTheme="minorHAnsi" w:cstheme="minorHAnsi"/>
          <w:bCs/>
          <w:iCs/>
          <w:sz w:val="20"/>
          <w:szCs w:val="20"/>
        </w:rPr>
        <w:t>participación activa</w:t>
      </w:r>
      <w:proofErr w:type="gramEnd"/>
      <w:r w:rsidRPr="00A51E75">
        <w:rPr>
          <w:rFonts w:asciiTheme="minorHAnsi" w:eastAsia="SimSun" w:hAnsiTheme="minorHAnsi" w:cstheme="minorHAnsi"/>
          <w:bCs/>
          <w:iCs/>
          <w:sz w:val="20"/>
          <w:szCs w:val="20"/>
        </w:rPr>
        <w:t xml:space="preserve"> en redes regionales como REDLAFICA, y la exploración de esquemas de cooperación triangular con países que enfrentan desafíos similares y la aplicación de enfoques comparables. Estos </w:t>
      </w:r>
      <w:r w:rsidRPr="00A51E75">
        <w:rPr>
          <w:rFonts w:asciiTheme="minorHAnsi" w:eastAsia="SimSun" w:hAnsiTheme="minorHAnsi" w:cstheme="minorHAnsi"/>
          <w:bCs/>
          <w:iCs/>
          <w:sz w:val="20"/>
          <w:szCs w:val="20"/>
        </w:rPr>
        <w:lastRenderedPageBreak/>
        <w:t>esfuerzos permitirán replicar, compartir y adaptar las lecciones y experiencias del proyecto a otros contextos geopolíticos, sociales y ambientales relevantes, posicionando así a Ecuador como líder regional en gestión integrada del paisaje y gobernanza ambiental.</w:t>
      </w:r>
    </w:p>
    <w:p w14:paraId="47132084" w14:textId="77777777" w:rsidR="00AB3154" w:rsidRPr="00D830D9" w:rsidRDefault="00AB3154" w:rsidP="007A0007">
      <w:pPr>
        <w:jc w:val="both"/>
        <w:rPr>
          <w:rFonts w:asciiTheme="minorHAnsi" w:eastAsia="SimSun" w:hAnsiTheme="minorHAnsi" w:cstheme="minorHAnsi"/>
          <w:bCs/>
          <w:iCs/>
          <w:sz w:val="20"/>
          <w:szCs w:val="20"/>
          <w:lang w:val="es-EC"/>
        </w:rPr>
      </w:pPr>
    </w:p>
    <w:p w14:paraId="1BB7ED1A" w14:textId="77777777" w:rsidR="00AB3154" w:rsidRPr="00D830D9" w:rsidRDefault="00AB3154" w:rsidP="007A0007">
      <w:pPr>
        <w:jc w:val="both"/>
        <w:rPr>
          <w:rFonts w:asciiTheme="minorHAnsi" w:eastAsia="SimSun" w:hAnsiTheme="minorHAnsi" w:cstheme="minorHAnsi"/>
          <w:bCs/>
          <w:iCs/>
          <w:sz w:val="20"/>
          <w:szCs w:val="20"/>
          <w:lang w:val="es-EC"/>
        </w:rPr>
      </w:pPr>
    </w:p>
    <w:p w14:paraId="720F919D" w14:textId="59CC5C11" w:rsidR="00AB3154" w:rsidRPr="00A51E75" w:rsidRDefault="00AB3154" w:rsidP="00AB3154">
      <w:pPr>
        <w:jc w:val="both"/>
        <w:rPr>
          <w:rFonts w:asciiTheme="minorHAnsi" w:eastAsia="SimSun" w:hAnsiTheme="minorHAnsi" w:cstheme="minorHAnsi"/>
          <w:b/>
          <w:bCs/>
          <w:iCs/>
        </w:rPr>
      </w:pPr>
      <w:r w:rsidRPr="00A51E75">
        <w:rPr>
          <w:rFonts w:asciiTheme="minorHAnsi" w:eastAsia="SimSun" w:hAnsiTheme="minorHAnsi" w:cstheme="minorHAnsi"/>
          <w:b/>
          <w:bCs/>
          <w:iCs/>
        </w:rPr>
        <w:t>Soluciones Digitales</w:t>
      </w:r>
      <w:r w:rsidR="001409D9" w:rsidRPr="00A51E75">
        <w:rPr>
          <w:rStyle w:val="Refdenotaalpie"/>
          <w:rFonts w:asciiTheme="minorHAnsi" w:eastAsia="SimSun" w:hAnsiTheme="minorHAnsi" w:cstheme="minorHAnsi"/>
          <w:b/>
          <w:bCs/>
          <w:iCs/>
        </w:rPr>
        <w:footnoteReference w:id="10"/>
      </w:r>
    </w:p>
    <w:p w14:paraId="1ECFAA13" w14:textId="77777777" w:rsidR="001409D9" w:rsidRPr="00A51E75" w:rsidRDefault="001409D9" w:rsidP="00AB3154">
      <w:pPr>
        <w:jc w:val="both"/>
        <w:rPr>
          <w:rFonts w:asciiTheme="minorHAnsi" w:eastAsia="SimSun" w:hAnsiTheme="minorHAnsi" w:cstheme="minorHAnsi"/>
          <w:bCs/>
          <w:iCs/>
        </w:rPr>
      </w:pPr>
    </w:p>
    <w:p w14:paraId="71D9F9BC" w14:textId="284C4FB1" w:rsidR="008A1EF0" w:rsidRPr="00735BAC" w:rsidRDefault="00AB315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lang w:val="es-EC"/>
        </w:rPr>
      </w:pPr>
      <w:r w:rsidRPr="00735BAC">
        <w:rPr>
          <w:rFonts w:asciiTheme="minorHAnsi" w:eastAsia="SimSun" w:hAnsiTheme="minorHAnsi" w:cstheme="minorHAnsi"/>
          <w:bCs/>
          <w:iCs/>
          <w:sz w:val="20"/>
          <w:szCs w:val="20"/>
        </w:rPr>
        <w:t>El proyecto incorporará soluciones digitales innovadoras como catalizadores para mejorar la experiencia de los beneficiarios, fortalecer las capacidades locales y abordar eficazmente los desafíos medioambientales y socioeconómicos en la cuenca del río Napo. Estas herramientas se integrarán en todos los componentes del proyecto, con énfasis en la planificación del uso del suelo, la supervisión participativa, la formación técnica y el acceso a mercados y financiación.</w:t>
      </w:r>
    </w:p>
    <w:p w14:paraId="7E4D87E9" w14:textId="1C834960" w:rsidR="00735BAC" w:rsidRPr="00735BAC" w:rsidRDefault="00735BAC" w:rsidP="00EC2CBE">
      <w:pPr>
        <w:numPr>
          <w:ilvl w:val="0"/>
          <w:numId w:val="7"/>
        </w:numPr>
        <w:jc w:val="both"/>
        <w:rPr>
          <w:rFonts w:asciiTheme="minorHAnsi" w:eastAsia="SimSun" w:hAnsiTheme="minorHAnsi" w:cstheme="minorHAnsi"/>
          <w:iCs/>
          <w:sz w:val="20"/>
          <w:szCs w:val="20"/>
        </w:rPr>
      </w:pPr>
      <w:r w:rsidRPr="00735BAC">
        <w:rPr>
          <w:rFonts w:asciiTheme="minorHAnsi" w:eastAsia="SimSun" w:hAnsiTheme="minorHAnsi" w:cstheme="minorHAnsi"/>
          <w:b/>
          <w:bCs/>
          <w:iCs/>
          <w:sz w:val="20"/>
          <w:szCs w:val="20"/>
        </w:rPr>
        <w:t>Plataforma virtual de aprendizaje (e-learning):</w:t>
      </w:r>
      <w:r w:rsidRPr="00735BAC">
        <w:rPr>
          <w:rFonts w:asciiTheme="minorHAnsi" w:eastAsia="SimSun" w:hAnsiTheme="minorHAnsi" w:cstheme="minorHAnsi"/>
          <w:iCs/>
          <w:sz w:val="20"/>
          <w:szCs w:val="20"/>
        </w:rPr>
        <w:t> Se desarrollará una plataforma de capacitación multilingüe accesible desde zonas rurales. Incluirá módulos de formación sobre Manejo Sostenible de Tierras (MST), cambio climático, restauración ecológica, gobernanza del agua, equidad de género y bioeconomía. Esta herramienta contribuirá a democratizar el conocimiento, adaptarse a distintos niveles de alfabetización digital y cultural, y garantizar la inclusión de mujeres, jóvenes y pueblos indígenas.</w:t>
      </w:r>
    </w:p>
    <w:p w14:paraId="7F63E61C" w14:textId="4DE97C93" w:rsidR="00735BAC" w:rsidRPr="00735BAC" w:rsidRDefault="00735BAC" w:rsidP="00EC2CBE">
      <w:pPr>
        <w:numPr>
          <w:ilvl w:val="0"/>
          <w:numId w:val="7"/>
        </w:numPr>
        <w:jc w:val="both"/>
        <w:rPr>
          <w:rFonts w:asciiTheme="minorHAnsi" w:eastAsia="SimSun" w:hAnsiTheme="minorHAnsi" w:cstheme="minorHAnsi"/>
          <w:iCs/>
          <w:sz w:val="20"/>
          <w:szCs w:val="20"/>
        </w:rPr>
      </w:pPr>
      <w:r w:rsidRPr="00735BAC">
        <w:rPr>
          <w:rFonts w:asciiTheme="minorHAnsi" w:eastAsia="SimSun" w:hAnsiTheme="minorHAnsi" w:cstheme="minorHAnsi"/>
          <w:b/>
          <w:bCs/>
          <w:iCs/>
          <w:sz w:val="20"/>
          <w:szCs w:val="20"/>
        </w:rPr>
        <w:t>Sistema de Alerta Temprana (SAT) y monitoreo participativo:</w:t>
      </w:r>
      <w:r w:rsidRPr="00735BAC">
        <w:rPr>
          <w:rFonts w:asciiTheme="minorHAnsi" w:eastAsia="SimSun" w:hAnsiTheme="minorHAnsi" w:cstheme="minorHAnsi"/>
          <w:iCs/>
          <w:sz w:val="20"/>
          <w:szCs w:val="20"/>
        </w:rPr>
        <w:t> El SAT combinará tecnología moderna (sensores, estaciones meteorológicas, análisis hidrometeorológico) con conocimientos locales para anticipar y responder a eventos climáticos extremos como inundaciones o sequías. Será una herramienta clave para la gestión adaptativa de la cuenca y se alimentará de una red de equipos comunitarios de monitoreo capacitados en la recolección y análisis de datos ambientales y climáticos.</w:t>
      </w:r>
    </w:p>
    <w:p w14:paraId="367FB2BD" w14:textId="29F89EA3" w:rsidR="00735BAC" w:rsidRPr="00735BAC" w:rsidRDefault="00735BAC" w:rsidP="00EC2CBE">
      <w:pPr>
        <w:numPr>
          <w:ilvl w:val="0"/>
          <w:numId w:val="7"/>
        </w:numPr>
        <w:jc w:val="both"/>
        <w:rPr>
          <w:rFonts w:asciiTheme="minorHAnsi" w:eastAsia="SimSun" w:hAnsiTheme="minorHAnsi" w:cstheme="minorHAnsi"/>
          <w:iCs/>
          <w:sz w:val="20"/>
          <w:szCs w:val="20"/>
        </w:rPr>
      </w:pPr>
      <w:r w:rsidRPr="00735BAC">
        <w:rPr>
          <w:rFonts w:asciiTheme="minorHAnsi" w:eastAsia="SimSun" w:hAnsiTheme="minorHAnsi" w:cstheme="minorHAnsi"/>
          <w:b/>
          <w:bCs/>
          <w:iCs/>
          <w:sz w:val="20"/>
          <w:szCs w:val="20"/>
        </w:rPr>
        <w:t>Sistemas digitales de trazabilidad y gobernanza de la información:</w:t>
      </w:r>
      <w:r w:rsidRPr="00735BAC">
        <w:rPr>
          <w:rFonts w:asciiTheme="minorHAnsi" w:eastAsia="SimSun" w:hAnsiTheme="minorHAnsi" w:cstheme="minorHAnsi"/>
          <w:iCs/>
          <w:sz w:val="20"/>
          <w:szCs w:val="20"/>
        </w:rPr>
        <w:t> Se implementarán herramientas digitales para recopilar y procesar datos sobre producción sostenible, acceso a recursos, participación de las mujeres y desempeño ambiental. Esta información alimentará los mecanismos de trazabilidad en los centros de acopio y será esencial para la certificación de productos sostenibles, la equidad en las cadenas de valor y el monitoreo de los indicadores del proyecto. Estos sistemas serán compatibles con plataformas nacionales (SIGMA, PRAIS, Registro Único de Autorizaciones de Aprovechamiento del Agua - RUAA), garantizando interoperabilidad, transparencia y uso estratégico de la información.</w:t>
      </w:r>
    </w:p>
    <w:p w14:paraId="5BF8CC28" w14:textId="23F66FE5" w:rsidR="00735BAC" w:rsidRPr="00735BAC" w:rsidRDefault="00735BAC" w:rsidP="00EC2CBE">
      <w:pPr>
        <w:numPr>
          <w:ilvl w:val="0"/>
          <w:numId w:val="7"/>
        </w:numPr>
        <w:jc w:val="both"/>
        <w:rPr>
          <w:rFonts w:asciiTheme="minorHAnsi" w:eastAsia="SimSun" w:hAnsiTheme="minorHAnsi" w:cstheme="minorHAnsi"/>
          <w:iCs/>
          <w:sz w:val="20"/>
          <w:szCs w:val="20"/>
        </w:rPr>
      </w:pPr>
      <w:r w:rsidRPr="00735BAC">
        <w:rPr>
          <w:rFonts w:asciiTheme="minorHAnsi" w:eastAsia="SimSun" w:hAnsiTheme="minorHAnsi" w:cstheme="minorHAnsi"/>
          <w:b/>
          <w:bCs/>
          <w:iCs/>
          <w:sz w:val="20"/>
          <w:szCs w:val="20"/>
        </w:rPr>
        <w:t>Plataformas digitales de comercialización y acceso a mercados:</w:t>
      </w:r>
      <w:r w:rsidRPr="00735BAC">
        <w:rPr>
          <w:rFonts w:asciiTheme="minorHAnsi" w:eastAsia="SimSun" w:hAnsiTheme="minorHAnsi" w:cstheme="minorHAnsi"/>
          <w:iCs/>
          <w:sz w:val="20"/>
          <w:szCs w:val="20"/>
        </w:rPr>
        <w:t> El proyecto fortalecerá plataformas en línea que visibilicen productos sostenibles amazónicos liderados por mujeres y pueblos indígenas, facilitando el comercio justo y el acceso a mercados diferenciados. Estas soluciones digitales conectarán bioemprendimientos locales con redes de compradores responsables, promoviendo el valor agregado, la identidad cultural y la sostenibilidad ambiental.</w:t>
      </w:r>
    </w:p>
    <w:p w14:paraId="72BD1004" w14:textId="56D1338C" w:rsidR="00735BAC" w:rsidRPr="00735BAC" w:rsidRDefault="00735BAC" w:rsidP="00EC2CBE">
      <w:pPr>
        <w:numPr>
          <w:ilvl w:val="0"/>
          <w:numId w:val="7"/>
        </w:numPr>
        <w:jc w:val="both"/>
        <w:rPr>
          <w:rFonts w:asciiTheme="minorHAnsi" w:eastAsia="SimSun" w:hAnsiTheme="minorHAnsi" w:cstheme="minorHAnsi"/>
          <w:iCs/>
          <w:sz w:val="20"/>
          <w:szCs w:val="20"/>
        </w:rPr>
      </w:pPr>
      <w:r w:rsidRPr="00735BAC">
        <w:rPr>
          <w:rFonts w:asciiTheme="minorHAnsi" w:eastAsia="SimSun" w:hAnsiTheme="minorHAnsi" w:cstheme="minorHAnsi"/>
          <w:b/>
          <w:bCs/>
          <w:iCs/>
          <w:sz w:val="20"/>
          <w:szCs w:val="20"/>
        </w:rPr>
        <w:t>Herramientas digitales de planificación territorial:</w:t>
      </w:r>
      <w:r w:rsidRPr="00735BAC">
        <w:rPr>
          <w:rFonts w:asciiTheme="minorHAnsi" w:eastAsia="SimSun" w:hAnsiTheme="minorHAnsi" w:cstheme="minorHAnsi"/>
          <w:iCs/>
          <w:sz w:val="20"/>
          <w:szCs w:val="20"/>
        </w:rPr>
        <w:t> Se integrarán herramientas georreferenciadas y de visualización de datos para apoyar procesos de planificación participativa (PDOT, Planes de Vida, Planes de Manejo de Áreas de Protección Hídrica, entre otros). Estas herramientas respaldarán la toma de decisiones basada en evidencia, el mapeo de riesgos y oportunidades, y la coordinación multiactor para la gestión del paisaje.</w:t>
      </w:r>
    </w:p>
    <w:p w14:paraId="5A1C6276" w14:textId="4E8B38A2" w:rsidR="00735BAC" w:rsidRPr="00735BAC" w:rsidRDefault="00735BAC" w:rsidP="00EC2CBE">
      <w:pPr>
        <w:numPr>
          <w:ilvl w:val="0"/>
          <w:numId w:val="7"/>
        </w:numPr>
        <w:jc w:val="both"/>
        <w:rPr>
          <w:rFonts w:asciiTheme="minorHAnsi" w:eastAsia="SimSun" w:hAnsiTheme="minorHAnsi" w:cstheme="minorHAnsi"/>
          <w:iCs/>
          <w:sz w:val="20"/>
          <w:szCs w:val="20"/>
        </w:rPr>
      </w:pPr>
      <w:r w:rsidRPr="00735BAC">
        <w:rPr>
          <w:rFonts w:asciiTheme="minorHAnsi" w:eastAsia="SimSun" w:hAnsiTheme="minorHAnsi" w:cstheme="minorHAnsi"/>
          <w:b/>
          <w:bCs/>
          <w:iCs/>
          <w:sz w:val="20"/>
          <w:szCs w:val="20"/>
        </w:rPr>
        <w:t>Inclusión digital con enfoque de género e interculturalidad:</w:t>
      </w:r>
      <w:r w:rsidRPr="00735BAC">
        <w:rPr>
          <w:rFonts w:asciiTheme="minorHAnsi" w:eastAsia="SimSun" w:hAnsiTheme="minorHAnsi" w:cstheme="minorHAnsi"/>
          <w:iCs/>
          <w:sz w:val="20"/>
          <w:szCs w:val="20"/>
        </w:rPr>
        <w:t> Todas las soluciones digitales serán adaptadas lingüística y culturalmente, con horarios, contenidos y dispositivos adecuados para garantizar la participación plena de mujeres, jóvenes y pueblos indígenas. La estrategia digital estará guiada por el Plan de Acción de Género (PAG), asegurando que la tecnología promueva la equidad y no profundice brechas existentes.</w:t>
      </w:r>
    </w:p>
    <w:p w14:paraId="713E6F4E" w14:textId="77777777" w:rsidR="00735BAC" w:rsidRDefault="00735BAC" w:rsidP="008A1EF0">
      <w:pPr>
        <w:tabs>
          <w:tab w:val="num" w:pos="0"/>
        </w:tabs>
        <w:jc w:val="both"/>
        <w:rPr>
          <w:rFonts w:asciiTheme="minorHAnsi" w:eastAsia="SimSun" w:hAnsiTheme="minorHAnsi" w:cstheme="minorHAnsi"/>
          <w:bCs/>
          <w:iCs/>
          <w:sz w:val="20"/>
          <w:szCs w:val="20"/>
          <w:lang w:val="es-EC"/>
        </w:rPr>
      </w:pPr>
    </w:p>
    <w:p w14:paraId="2B87CECE" w14:textId="77777777" w:rsidR="008A1EF0" w:rsidRPr="008A1EF0" w:rsidRDefault="008A1EF0" w:rsidP="008A1EF0">
      <w:pPr>
        <w:tabs>
          <w:tab w:val="num" w:pos="0"/>
        </w:tabs>
        <w:jc w:val="both"/>
        <w:rPr>
          <w:rFonts w:asciiTheme="minorHAnsi" w:eastAsia="SimSun" w:hAnsiTheme="minorHAnsi" w:cstheme="minorHAnsi"/>
          <w:bCs/>
          <w:iCs/>
          <w:sz w:val="20"/>
          <w:szCs w:val="20"/>
          <w:lang w:val="es-EC"/>
        </w:rPr>
      </w:pPr>
    </w:p>
    <w:p w14:paraId="1A3D7E7E" w14:textId="77777777" w:rsidR="00AB3154" w:rsidRPr="00D830D9" w:rsidRDefault="00AB3154"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lang w:val="es-EC"/>
        </w:rPr>
      </w:pPr>
      <w:r w:rsidRPr="00A51E75">
        <w:rPr>
          <w:rFonts w:asciiTheme="minorHAnsi" w:eastAsia="SimSun" w:hAnsiTheme="minorHAnsi" w:cstheme="minorHAnsi"/>
          <w:bCs/>
          <w:iCs/>
          <w:sz w:val="20"/>
          <w:szCs w:val="20"/>
        </w:rPr>
        <w:t>En conjunto, estas soluciones digitales ayudarán a ampliar el impacto del proyecto, mejorar la resiliencia territorial, facilitar la rendición de cuentas y empoderar a los actores locales como protagonistas del desarrollo sostenible en la Amazonia ecuatoriana.</w:t>
      </w:r>
    </w:p>
    <w:p w14:paraId="19BEE767" w14:textId="77777777" w:rsidR="00AB3154" w:rsidRPr="00D830D9" w:rsidRDefault="00AB3154" w:rsidP="00055A97">
      <w:pPr>
        <w:tabs>
          <w:tab w:val="num" w:pos="851"/>
        </w:tabs>
        <w:ind w:left="284" w:firstLine="76"/>
        <w:jc w:val="both"/>
        <w:rPr>
          <w:rFonts w:asciiTheme="minorHAnsi" w:eastAsia="SimSun" w:hAnsiTheme="minorHAnsi" w:cstheme="minorHAnsi"/>
          <w:bCs/>
          <w:iCs/>
          <w:sz w:val="20"/>
          <w:szCs w:val="20"/>
          <w:lang w:val="es-EC"/>
        </w:rPr>
      </w:pPr>
    </w:p>
    <w:p w14:paraId="4D902CE4" w14:textId="6A2B21FB" w:rsidR="00AB3154" w:rsidRPr="00A51E75" w:rsidRDefault="00AB3154" w:rsidP="00735BAC">
      <w:pPr>
        <w:tabs>
          <w:tab w:val="num" w:pos="851"/>
        </w:tabs>
        <w:jc w:val="both"/>
        <w:rPr>
          <w:rFonts w:asciiTheme="minorHAnsi" w:eastAsia="SimSun" w:hAnsiTheme="minorHAnsi" w:cstheme="minorHAnsi"/>
          <w:bCs/>
          <w:iCs/>
        </w:rPr>
      </w:pPr>
      <w:r w:rsidRPr="00A51E75">
        <w:rPr>
          <w:rFonts w:asciiTheme="minorHAnsi" w:eastAsia="SimSun" w:hAnsiTheme="minorHAnsi" w:cstheme="minorHAnsi"/>
          <w:b/>
          <w:bCs/>
          <w:iCs/>
        </w:rPr>
        <w:lastRenderedPageBreak/>
        <w:t xml:space="preserve">Riesgos y </w:t>
      </w:r>
      <w:r w:rsidR="00735BAC">
        <w:rPr>
          <w:rFonts w:asciiTheme="minorHAnsi" w:eastAsia="SimSun" w:hAnsiTheme="minorHAnsi" w:cstheme="minorHAnsi"/>
          <w:b/>
          <w:bCs/>
          <w:iCs/>
        </w:rPr>
        <w:t>supuestos</w:t>
      </w:r>
    </w:p>
    <w:p w14:paraId="1534AECE" w14:textId="77777777" w:rsidR="002B164D" w:rsidRDefault="002B164D" w:rsidP="002B164D">
      <w:pPr>
        <w:jc w:val="both"/>
        <w:rPr>
          <w:rFonts w:asciiTheme="minorHAnsi" w:eastAsia="SimSun" w:hAnsiTheme="minorHAnsi" w:cstheme="minorHAnsi"/>
          <w:bCs/>
          <w:iCs/>
          <w:sz w:val="20"/>
          <w:szCs w:val="20"/>
          <w:lang w:val="en-US"/>
        </w:rPr>
      </w:pPr>
    </w:p>
    <w:p w14:paraId="2046C7F3" w14:textId="0FE46BF2"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El proyecto ha sido clasificado con un nivel de riesgo “Sustancial” según el Procedimiento de Evaluación Social y Ambiental (SESP, por sus siglas en inglés) del PNUD, debido a la complejidad territorial, la alta diversidad sociocultural y la multiplicidad de actores involucrados, incluidos los Pueblos y Nacionalidades Indígenas. Esta clasificación responde a varios factores críticos que podrían afectar la implementación efectiva y el logro de resultados ambientales y sociales sostenibles.</w:t>
      </w:r>
    </w:p>
    <w:p w14:paraId="567184A0" w14:textId="5E9DDA2B"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Entre los principales riesgos identificados se encuentran las debilidades institucionales y la limitada coordinación interinstitucional y multinivel, lo cual podría dificultar la ejecución integrada de acciones. Esta situación se agrava por la posible falta de voluntad política a nivel local para integrar criterios de conservación, equidad de género y sostenibilidad en los instrumentos de planificación y procesos de toma de decisiones. También se han identificado conflictos socioambientales latentes, especialmente en zonas donde convergen intereses productivos, esfuerzos de conservación y derechos colectivos, lo que podría generar resistencia al cambio o a la adopción de prácticas sostenibles.</w:t>
      </w:r>
    </w:p>
    <w:p w14:paraId="5BF9D5AD" w14:textId="1EDD0E5B"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La baja participación efectiva de mujeres, jóvenes y pueblos indígenas, debido a barreras estructurales, culturales y tecnológicas, representa un riesgo importante que podría comprometer la equidad, pertinencia y sostenibilidad de los resultados esperados. Además, la resistencia de ciertos productores a liberar tierras degradadas para su restauración, junto con la limitada escalabilidad y viabilidad económica de los bioemprendimientos rurales, podría restringir la efectividad de las intervenciones de restauración y producción sostenible.</w:t>
      </w:r>
    </w:p>
    <w:p w14:paraId="1A8728BD" w14:textId="41EB78F6"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 xml:space="preserve">A nivel climático, el proyecto reconoce un riesgo significativo asociado a la intensificación de eventos meteorológicos extremos, particularmente lluvias intensas e inundaciones, como resultado del cambio climático. Se proyecta que el 65% de la superficie de la cuenca del río Napo podría verse afectada por lluvias </w:t>
      </w:r>
      <w:r w:rsidRPr="008E3FCC">
        <w:rPr>
          <w:rFonts w:asciiTheme="minorHAnsi" w:eastAsia="SimSun" w:hAnsiTheme="minorHAnsi" w:cstheme="minorHAnsi"/>
          <w:bCs/>
          <w:iCs/>
          <w:sz w:val="20"/>
          <w:szCs w:val="20"/>
        </w:rPr>
        <w:t xml:space="preserve">intensificadas </w:t>
      </w:r>
      <w:r w:rsidR="008E3FCC" w:rsidRPr="008E3FCC">
        <w:rPr>
          <w:rFonts w:asciiTheme="minorHAnsi" w:eastAsia="SimSun" w:hAnsiTheme="minorHAnsi" w:cstheme="minorHAnsi"/>
          <w:bCs/>
          <w:iCs/>
          <w:sz w:val="20"/>
          <w:szCs w:val="20"/>
        </w:rPr>
        <w:t xml:space="preserve">bajo el escenario RCP 8.5 del IPCC, asociado a trayectorias de altas emisiones </w:t>
      </w:r>
      <w:r w:rsidR="007A3962">
        <w:rPr>
          <w:rFonts w:asciiTheme="minorHAnsi" w:eastAsia="SimSun" w:hAnsiTheme="minorHAnsi" w:cstheme="minorHAnsi"/>
          <w:bCs/>
          <w:iCs/>
          <w:sz w:val="20"/>
          <w:szCs w:val="20"/>
        </w:rPr>
        <w:t>e</w:t>
      </w:r>
      <w:r w:rsidR="008E3FCC" w:rsidRPr="008E3FCC">
        <w:rPr>
          <w:rFonts w:asciiTheme="minorHAnsi" w:eastAsia="SimSun" w:hAnsiTheme="minorHAnsi" w:cstheme="minorHAnsi"/>
          <w:bCs/>
          <w:iCs/>
          <w:sz w:val="20"/>
          <w:szCs w:val="20"/>
        </w:rPr>
        <w:t xml:space="preserve"> incremento de temperatura global</w:t>
      </w:r>
      <w:r w:rsidRPr="008E3FCC">
        <w:rPr>
          <w:rFonts w:asciiTheme="minorHAnsi" w:eastAsia="SimSun" w:hAnsiTheme="minorHAnsi" w:cstheme="minorHAnsi"/>
          <w:bCs/>
          <w:iCs/>
          <w:sz w:val="20"/>
          <w:szCs w:val="20"/>
        </w:rPr>
        <w:t>, lo que elevaría el nivel de amenaza histórica de moderado a alto. Esto afectaría principalmente a los sistemas a</w:t>
      </w:r>
      <w:r w:rsidRPr="002F1737">
        <w:rPr>
          <w:rFonts w:asciiTheme="minorHAnsi" w:eastAsia="SimSun" w:hAnsiTheme="minorHAnsi" w:cstheme="minorHAnsi"/>
          <w:bCs/>
          <w:iCs/>
          <w:sz w:val="20"/>
          <w:szCs w:val="20"/>
        </w:rPr>
        <w:t>grícolas que ocupan el 58% del área afectada, con baja resiliencia tecnológica, impactando potencialmente a unas 212.944 familias. Estos eventos podrían interrumpir las actividades de restauración y producción resiliente al clima, aumentar la erosión del suelo, comprometer los servicios de regulación hídrica y agravar la vulnerabilidad comunitaria.</w:t>
      </w:r>
    </w:p>
    <w:p w14:paraId="4E329ACC" w14:textId="678616B7"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Además, la disponibilidad limitada de plantas nativas, fuentes de semillas y asistencia técnica posterior a la restauración representa riesgos operativos para las actividades de recuperación ecológica. En el ámbito económico, los riesgos incluyen el bajo interés de las instituciones financieras en operar mecanismos de financiamiento inclusivo, junto con barreras técnicas y legales que limitan el acceso de mujeres, jóvenes y pueblos indígenas al crédito y financiamiento.</w:t>
      </w:r>
    </w:p>
    <w:p w14:paraId="06697089" w14:textId="19A8524F"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En relación con la gestión del conocimiento y el monitoreo, la falta de colaboración efectiva entre autoridades, academia, gobiernos locales y sociedad civil podría dificultar la recopilación, el análisis y el uso estratégico de la información. Asimismo, la baja adopción o el acceso limitado a herramientas digitales, como resultado de brechas tecnológicas y culturales, podría restringir el uso de plataformas de monitoreo participativo y herramientas de comunicación adaptativa. Además, el riesgo de reprogramaciones no documentadas, reasignaciones presupuestarias injustificadas o la no adopción de recomendaciones de evaluación podría amenazar la transparencia y efectividad del proyecto.</w:t>
      </w:r>
    </w:p>
    <w:p w14:paraId="160EE4E1" w14:textId="6CE8C6EC"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En respuesta a estos desafíos, el proyecto se basa en varios supuestos habilitantes que sustentan su viabilidad. Se asume la existencia y continuidad de marcos normativos y políticas públicas activas relacionadas con el cambio climático, la restauración, la bioeconomía y la conservación (como las Contribuciones Determinadas a Nivel Nacional –</w:t>
      </w:r>
      <w:proofErr w:type="spellStart"/>
      <w:r w:rsidRPr="002F1737">
        <w:rPr>
          <w:rFonts w:asciiTheme="minorHAnsi" w:eastAsia="SimSun" w:hAnsiTheme="minorHAnsi" w:cstheme="minorHAnsi"/>
          <w:bCs/>
          <w:iCs/>
          <w:sz w:val="20"/>
          <w:szCs w:val="20"/>
        </w:rPr>
        <w:t>NDCs</w:t>
      </w:r>
      <w:proofErr w:type="spellEnd"/>
      <w:r w:rsidRPr="002F1737">
        <w:rPr>
          <w:rFonts w:asciiTheme="minorHAnsi" w:eastAsia="SimSun" w:hAnsiTheme="minorHAnsi" w:cstheme="minorHAnsi"/>
          <w:bCs/>
          <w:iCs/>
          <w:sz w:val="20"/>
          <w:szCs w:val="20"/>
        </w:rPr>
        <w:t>–, el Plan Nacional de Adaptación, el Plan Nacional de Restauración del Paisaje, REDD+ y la Estrategia Nacional de Biodiversidad). También se espera un compromiso activo de los Gobiernos Autónomos Descentralizados (</w:t>
      </w:r>
      <w:proofErr w:type="spellStart"/>
      <w:r w:rsidRPr="002F1737">
        <w:rPr>
          <w:rFonts w:asciiTheme="minorHAnsi" w:eastAsia="SimSun" w:hAnsiTheme="minorHAnsi" w:cstheme="minorHAnsi"/>
          <w:bCs/>
          <w:iCs/>
          <w:sz w:val="20"/>
          <w:szCs w:val="20"/>
        </w:rPr>
        <w:t>GADs</w:t>
      </w:r>
      <w:proofErr w:type="spellEnd"/>
      <w:r w:rsidRPr="002F1737">
        <w:rPr>
          <w:rFonts w:asciiTheme="minorHAnsi" w:eastAsia="SimSun" w:hAnsiTheme="minorHAnsi" w:cstheme="minorHAnsi"/>
          <w:bCs/>
          <w:iCs/>
          <w:sz w:val="20"/>
          <w:szCs w:val="20"/>
        </w:rPr>
        <w:t xml:space="preserve">), el </w:t>
      </w:r>
      <w:r>
        <w:rPr>
          <w:rFonts w:asciiTheme="minorHAnsi" w:eastAsia="SimSun" w:hAnsiTheme="minorHAnsi" w:cstheme="minorHAnsi"/>
          <w:bCs/>
          <w:iCs/>
          <w:sz w:val="20"/>
          <w:szCs w:val="20"/>
        </w:rPr>
        <w:t>MAE</w:t>
      </w:r>
      <w:r w:rsidRPr="002F1737">
        <w:rPr>
          <w:rFonts w:asciiTheme="minorHAnsi" w:eastAsia="SimSun" w:hAnsiTheme="minorHAnsi" w:cstheme="minorHAnsi"/>
          <w:bCs/>
          <w:iCs/>
          <w:sz w:val="20"/>
          <w:szCs w:val="20"/>
        </w:rPr>
        <w:t>, el MAG</w:t>
      </w:r>
      <w:r>
        <w:rPr>
          <w:rFonts w:asciiTheme="minorHAnsi" w:eastAsia="SimSun" w:hAnsiTheme="minorHAnsi" w:cstheme="minorHAnsi"/>
          <w:bCs/>
          <w:iCs/>
          <w:sz w:val="20"/>
          <w:szCs w:val="20"/>
        </w:rPr>
        <w:t>P</w:t>
      </w:r>
      <w:r w:rsidRPr="002F1737">
        <w:rPr>
          <w:rFonts w:asciiTheme="minorHAnsi" w:eastAsia="SimSun" w:hAnsiTheme="minorHAnsi" w:cstheme="minorHAnsi"/>
          <w:bCs/>
          <w:iCs/>
          <w:sz w:val="20"/>
          <w:szCs w:val="20"/>
        </w:rPr>
        <w:t>, las comunidades locales, las organizaciones indígenas y otros actores clave en la planificación, ejecución y monitoreo de las actividades del proyecto.</w:t>
      </w:r>
    </w:p>
    <w:p w14:paraId="546F4C8D" w14:textId="603888EC"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 xml:space="preserve">El diseño del proyecto parte del supuesto de que se dispondrá de información técnica suficiente, actualizada y metodológicamente consistente para el monitoreo multitemporal de emisiones evitadas y otros indicadores clave. También se espera que las personas beneficiarias —especialmente mujeres, jóvenes y pueblos indígenas— estén motivadas para adoptar prácticas sostenibles y restaurativas mediante capacitación culturalmente pertinente, asistencia técnica adecuada y la existencia de mecanismos de financiamiento inclusivos y adaptados. Finalmente, se asume que las plataformas digitales para monitoreo, comunicación y trazabilidad serán accesibles, culturalmente </w:t>
      </w:r>
      <w:r w:rsidRPr="002F1737">
        <w:rPr>
          <w:rFonts w:asciiTheme="minorHAnsi" w:eastAsia="SimSun" w:hAnsiTheme="minorHAnsi" w:cstheme="minorHAnsi"/>
          <w:bCs/>
          <w:iCs/>
          <w:sz w:val="20"/>
          <w:szCs w:val="20"/>
        </w:rPr>
        <w:lastRenderedPageBreak/>
        <w:t xml:space="preserve">apropiadas y estarán respaldadas por instituciones técnicas como el INAMHI, la Universidad Regional Amazónica IKIAM, ARCA y el </w:t>
      </w:r>
      <w:r>
        <w:rPr>
          <w:rFonts w:asciiTheme="minorHAnsi" w:eastAsia="SimSun" w:hAnsiTheme="minorHAnsi" w:cstheme="minorHAnsi"/>
          <w:bCs/>
          <w:iCs/>
          <w:sz w:val="20"/>
          <w:szCs w:val="20"/>
        </w:rPr>
        <w:t>MAE</w:t>
      </w:r>
      <w:r w:rsidRPr="002F1737">
        <w:rPr>
          <w:rFonts w:asciiTheme="minorHAnsi" w:eastAsia="SimSun" w:hAnsiTheme="minorHAnsi" w:cstheme="minorHAnsi"/>
          <w:bCs/>
          <w:iCs/>
          <w:sz w:val="20"/>
          <w:szCs w:val="20"/>
        </w:rPr>
        <w:t>, garantizando su sostenibilidad y uso efectivo.</w:t>
      </w:r>
    </w:p>
    <w:p w14:paraId="5F2133C4" w14:textId="757A59E9"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 xml:space="preserve">El proyecto ha identificado 11 riesgos en su Registro de Riesgos (Anexo 6), cada uno con medidas de mitigación específicas. Las estrategias clave incluyen el fortalecimiento de capacidades institucionales y comunitarias, la provisión de apoyo técnico y legal para los procesos de gobernanza, la implementación del PAG y del </w:t>
      </w:r>
      <w:r>
        <w:rPr>
          <w:rFonts w:asciiTheme="minorHAnsi" w:eastAsia="SimSun" w:hAnsiTheme="minorHAnsi" w:cstheme="minorHAnsi"/>
          <w:bCs/>
          <w:iCs/>
          <w:sz w:val="20"/>
          <w:szCs w:val="20"/>
        </w:rPr>
        <w:t>PPPI</w:t>
      </w:r>
      <w:r w:rsidRPr="002F1737">
        <w:rPr>
          <w:rFonts w:asciiTheme="minorHAnsi" w:eastAsia="SimSun" w:hAnsiTheme="minorHAnsi" w:cstheme="minorHAnsi"/>
          <w:bCs/>
          <w:iCs/>
          <w:sz w:val="20"/>
          <w:szCs w:val="20"/>
        </w:rPr>
        <w:t>, así como el despliegue de mecanismos de monitoreo comunitario.</w:t>
      </w:r>
    </w:p>
    <w:p w14:paraId="17CBCB49" w14:textId="597BD5EE"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Adicionalmente, el proyecto incorpora un Mecanismo de Quejas y Respuesta de Actores para asegurar que las comunidades dispongan de canales accesibles para plantear inquietudes relacionadas con impactos sociales y ambientales, en línea con el Mecanismo de Cumplimiento del PNUD. Este mecanismo será ampliamente difundido y estará disponible en lenguas indígenas cuando corresponda.</w:t>
      </w:r>
    </w:p>
    <w:p w14:paraId="00426446" w14:textId="2173D8F6"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Hallazgos del SESP: El SESP (Anexo 5) identificó riesgos sociales y ambientales relacionados con impactos sobre derechos colectivos, posible desplazamiento económico, barreras estructurales de género, alteraciones de medios de vida y desafíos de gobernanza territorial. Las medidas de mitigación propuestas incluyen la aplicación de procesos de Consentimiento Libre, Previo e Informado (CLPI), el fortalecimiento de capacidades locales, evaluaciones de impacto con enfoque de género y la implementación del Marco de Planificación para los Pueblos Indígenas (MPPI).</w:t>
      </w:r>
    </w:p>
    <w:p w14:paraId="08D2C445" w14:textId="20EA4C14" w:rsidR="002F1737" w:rsidRPr="002F1737" w:rsidRDefault="002F1737" w:rsidP="00EC2CBE">
      <w:pPr>
        <w:pStyle w:val="Prrafodelista"/>
        <w:numPr>
          <w:ilvl w:val="0"/>
          <w:numId w:val="3"/>
        </w:numPr>
        <w:tabs>
          <w:tab w:val="clear" w:pos="360"/>
          <w:tab w:val="num" w:pos="0"/>
        </w:tabs>
        <w:ind w:left="0" w:hanging="502"/>
        <w:jc w:val="both"/>
        <w:rPr>
          <w:rFonts w:asciiTheme="minorHAnsi" w:eastAsia="SimSun" w:hAnsiTheme="minorHAnsi" w:cstheme="minorHAnsi"/>
          <w:bCs/>
          <w:iCs/>
          <w:sz w:val="20"/>
          <w:szCs w:val="20"/>
        </w:rPr>
      </w:pPr>
      <w:r w:rsidRPr="002F1737">
        <w:rPr>
          <w:rFonts w:asciiTheme="minorHAnsi" w:eastAsia="SimSun" w:hAnsiTheme="minorHAnsi" w:cstheme="minorHAnsi"/>
          <w:bCs/>
          <w:iCs/>
          <w:sz w:val="20"/>
          <w:szCs w:val="20"/>
        </w:rPr>
        <w:t>No se han producido cambios sustanciales en la evaluación de riesgos desde la etapa de concepto, aunque se prevé la realización de estudios adicionales y la actualización de planes de gestión durante la implementación. No se ejecutará ninguna actividad dentro de territorios indígenas sin la aplicación previa de procesos de CLPI y las validaciones requeridas.</w:t>
      </w:r>
    </w:p>
    <w:p w14:paraId="2FFD3CE0" w14:textId="77777777" w:rsidR="007A4A09" w:rsidRDefault="007A4A09" w:rsidP="008B6F84">
      <w:pPr>
        <w:jc w:val="both"/>
        <w:rPr>
          <w:rFonts w:asciiTheme="minorHAnsi" w:eastAsia="SimSun" w:hAnsiTheme="minorHAnsi" w:cstheme="minorHAnsi"/>
          <w:i/>
          <w:sz w:val="20"/>
          <w:lang w:val="es-EC"/>
        </w:rPr>
      </w:pPr>
    </w:p>
    <w:p w14:paraId="4330DA3A" w14:textId="77777777" w:rsidR="00A23A6E" w:rsidRPr="00D830D9" w:rsidRDefault="00A23A6E" w:rsidP="008B6F84">
      <w:pPr>
        <w:jc w:val="both"/>
        <w:rPr>
          <w:rFonts w:asciiTheme="minorHAnsi" w:eastAsia="SimSun" w:hAnsiTheme="minorHAnsi" w:cstheme="minorHAnsi"/>
          <w:i/>
          <w:sz w:val="20"/>
          <w:lang w:val="es-EC"/>
        </w:rPr>
      </w:pPr>
    </w:p>
    <w:p w14:paraId="5E6E6F13" w14:textId="77B93D3C" w:rsidR="008B6F84" w:rsidRPr="00D830D9" w:rsidRDefault="00211737" w:rsidP="008B6F84">
      <w:pPr>
        <w:keepNext/>
        <w:pBdr>
          <w:top w:val="single" w:sz="4" w:space="1" w:color="auto"/>
        </w:pBdr>
        <w:tabs>
          <w:tab w:val="num" w:pos="720"/>
        </w:tabs>
        <w:suppressAutoHyphens/>
        <w:spacing w:before="104"/>
        <w:ind w:left="720" w:hanging="720"/>
        <w:jc w:val="both"/>
        <w:outlineLvl w:val="0"/>
        <w:rPr>
          <w:rFonts w:asciiTheme="minorHAnsi" w:eastAsia="SimSun" w:hAnsiTheme="minorHAnsi" w:cstheme="minorHAnsi"/>
          <w:b/>
          <w:smallCaps/>
          <w:spacing w:val="-2"/>
          <w:sz w:val="28"/>
          <w:szCs w:val="20"/>
          <w:lang w:val="es-EC"/>
        </w:rPr>
      </w:pPr>
      <w:bookmarkStart w:id="17" w:name="_Toc221696296"/>
      <w:r w:rsidRPr="00A51E75">
        <w:rPr>
          <w:rFonts w:asciiTheme="minorHAnsi" w:eastAsia="SimSun" w:hAnsiTheme="minorHAnsi" w:cstheme="minorHAnsi"/>
          <w:b/>
          <w:smallCaps/>
          <w:spacing w:val="-2"/>
          <w:sz w:val="28"/>
          <w:szCs w:val="20"/>
        </w:rPr>
        <w:t>Gestión de</w:t>
      </w:r>
      <w:r w:rsidR="00A14163">
        <w:rPr>
          <w:rFonts w:asciiTheme="minorHAnsi" w:eastAsia="SimSun" w:hAnsiTheme="minorHAnsi" w:cstheme="minorHAnsi"/>
          <w:b/>
          <w:smallCaps/>
          <w:spacing w:val="-2"/>
          <w:sz w:val="28"/>
          <w:szCs w:val="20"/>
        </w:rPr>
        <w:t>l</w:t>
      </w:r>
      <w:r w:rsidRPr="00A51E75">
        <w:rPr>
          <w:rFonts w:asciiTheme="minorHAnsi" w:eastAsia="SimSun" w:hAnsiTheme="minorHAnsi" w:cstheme="minorHAnsi"/>
          <w:b/>
          <w:smallCaps/>
          <w:spacing w:val="-2"/>
          <w:sz w:val="28"/>
          <w:szCs w:val="20"/>
        </w:rPr>
        <w:t xml:space="preserve"> proyecto</w:t>
      </w:r>
      <w:bookmarkEnd w:id="17"/>
      <w:r w:rsidRPr="00A51E75">
        <w:rPr>
          <w:rFonts w:asciiTheme="minorHAnsi" w:eastAsia="SimSun" w:hAnsiTheme="minorHAnsi" w:cstheme="minorHAnsi"/>
          <w:b/>
          <w:smallCaps/>
          <w:spacing w:val="-2"/>
          <w:sz w:val="28"/>
          <w:szCs w:val="20"/>
        </w:rPr>
        <w:t xml:space="preserve"> </w:t>
      </w:r>
    </w:p>
    <w:p w14:paraId="461E6B96" w14:textId="77777777" w:rsidR="008B6F84" w:rsidRPr="00D830D9" w:rsidRDefault="008B6F84" w:rsidP="008B6F84">
      <w:pPr>
        <w:jc w:val="both"/>
        <w:rPr>
          <w:rFonts w:asciiTheme="minorHAnsi" w:eastAsia="SimSun" w:hAnsiTheme="minorHAnsi" w:cstheme="minorHAnsi"/>
          <w:b/>
          <w:i/>
          <w:sz w:val="20"/>
          <w:szCs w:val="20"/>
          <w:lang w:val="es-EC"/>
        </w:rPr>
      </w:pPr>
    </w:p>
    <w:p w14:paraId="3F4EB251" w14:textId="516DBAFF" w:rsidR="007A3962" w:rsidRPr="00943F44" w:rsidRDefault="007A3962" w:rsidP="007A3962">
      <w:pPr>
        <w:jc w:val="both"/>
        <w:rPr>
          <w:rFonts w:asciiTheme="minorHAnsi" w:hAnsiTheme="minorHAnsi" w:cstheme="minorHAnsi"/>
          <w:b/>
          <w:bCs/>
        </w:rPr>
      </w:pPr>
      <w:r w:rsidRPr="00943F44">
        <w:rPr>
          <w:rFonts w:asciiTheme="minorHAnsi" w:hAnsiTheme="minorHAnsi" w:cstheme="minorHAnsi"/>
          <w:b/>
          <w:bCs/>
        </w:rPr>
        <w:t>Eficiencia y Eficacia de</w:t>
      </w:r>
      <w:r w:rsidR="00967C05" w:rsidRPr="00943F44">
        <w:rPr>
          <w:rFonts w:asciiTheme="minorHAnsi" w:hAnsiTheme="minorHAnsi" w:cstheme="minorHAnsi"/>
          <w:b/>
          <w:bCs/>
        </w:rPr>
        <w:t xml:space="preserve"> costos</w:t>
      </w:r>
    </w:p>
    <w:p w14:paraId="491BA551" w14:textId="06DEB077"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El diseño del proyecto maximiza la eficiencia en el uso de los recursos y la eficacia en la generación de beneficios ambientales globales (BAG), mediante un enfoque de Gestión Integrada del Paisaje (GIP), completamente alineado con los objetivos del FMAM-8 en biodiversidad (BD-1), degradación de tierras (DT-1) y cambio climático (CCM-1), y con las recomendaciones del Panel Asesor Científico y Técnico (STAP, por sus siglas en inglés). Esta estrategia se basa en un sólido análisis de Teoría del Cambio (TdC), que permitió identificar rutas costo-efectivas y priorizar áreas de intervención con mayor potencial de transformación sistémica.</w:t>
      </w:r>
    </w:p>
    <w:p w14:paraId="44A1F0BD" w14:textId="38BD5217"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El proyecto se fundamenta en experiencias exitosas implementadas en el país, como PROAmazonía y el Proyecto de Pagos por Resultados (PPR), que demostraron eficiencia técnica y financiera en restauración ecológica (USD 900–1.000/ha) y manejo sostenible del paisaje. La priorización territorial se basó en criterios como presión ecosistémica, vulnerabilidad hídrica, capacidad instalada y presencia de actores clave, lo cual reduce los costos de transacción y acelera la implementación.</w:t>
      </w:r>
    </w:p>
    <w:p w14:paraId="139D541C" w14:textId="1FE9F19E"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Desde su fase de preparación, el proyecto aplicó un enfoque participativo integral que involucró a más de 50 actores institucionales, comunitarios, de pueblos y nacionalidades indígenas, mujeres y jóvenes. Este proceso se consolidó en el Plan de Participación de Actores Clave (PPAC), el cual establece mecanismos de gobernanza inclusiva, intersectorial y multinivel. En paralelo, el Plan de Acción de Género (PAG) incorpora medidas que fortalecen la eficiencia social y promueven la sostenibilidad de los impactos, tales como incentivos diferenciados, acceso preferencial a financiamiento y desarrollo del liderazgo femenino y juvenil.</w:t>
      </w:r>
    </w:p>
    <w:p w14:paraId="15B07AA9" w14:textId="762AC074"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La estrategia de costo-efectividad se potencia mediante:</w:t>
      </w:r>
    </w:p>
    <w:p w14:paraId="2E5E599F" w14:textId="77777777" w:rsidR="007A3962" w:rsidRPr="00943F44" w:rsidRDefault="007A3962" w:rsidP="00EC2CBE">
      <w:pPr>
        <w:pStyle w:val="Prrafodelista"/>
        <w:numPr>
          <w:ilvl w:val="0"/>
          <w:numId w:val="8"/>
        </w:numPr>
        <w:jc w:val="both"/>
        <w:rPr>
          <w:rFonts w:asciiTheme="minorHAnsi" w:hAnsiTheme="minorHAnsi" w:cstheme="minorBidi"/>
          <w:sz w:val="20"/>
          <w:szCs w:val="20"/>
        </w:rPr>
      </w:pPr>
      <w:r w:rsidRPr="00943F44">
        <w:rPr>
          <w:rFonts w:asciiTheme="minorHAnsi" w:hAnsiTheme="minorHAnsi" w:cstheme="minorBidi"/>
          <w:b/>
          <w:bCs/>
          <w:sz w:val="20"/>
          <w:szCs w:val="20"/>
        </w:rPr>
        <w:t>Alineación con políticas públicas y marcos legales</w:t>
      </w:r>
      <w:r w:rsidRPr="00943F44">
        <w:rPr>
          <w:rFonts w:asciiTheme="minorHAnsi" w:hAnsiTheme="minorHAnsi" w:cstheme="minorBidi"/>
          <w:sz w:val="20"/>
          <w:szCs w:val="20"/>
        </w:rPr>
        <w:t>: Las actividades del proyecto se alinean con instrumentos nacionales como el Plan Nacional de Restauración del Paisaje, el PAN-DT, las Contribuciones Determinadas a Nivel Nacional (NDC), el Plan Nacional de Adaptación (PNA), el Plan Nacional de Mitigación y Adaptación al Cambio Climático (PLANMICC), la Estrategia de Economía Circular y la Estrategia y Plan de Acción Nacional de Biodiversidad (EPANB). Esta alineación fortalece la coherencia institucional, facilita la movilización de recursos complementarios y asegura la sostenibilidad del proyecto, al tiempo que contribuye al cumplimiento de los compromisos internacionales del país en biodiversidad y cambio climático.</w:t>
      </w:r>
    </w:p>
    <w:p w14:paraId="74A0F363" w14:textId="77777777" w:rsidR="007A3962" w:rsidRPr="00943F44" w:rsidRDefault="007A3962" w:rsidP="00EC2CBE">
      <w:pPr>
        <w:pStyle w:val="Prrafodelista"/>
        <w:numPr>
          <w:ilvl w:val="0"/>
          <w:numId w:val="8"/>
        </w:numPr>
        <w:jc w:val="both"/>
        <w:rPr>
          <w:rFonts w:asciiTheme="minorHAnsi" w:hAnsiTheme="minorHAnsi" w:cstheme="minorBidi"/>
          <w:sz w:val="20"/>
          <w:szCs w:val="20"/>
        </w:rPr>
      </w:pPr>
      <w:r w:rsidRPr="00943F44">
        <w:rPr>
          <w:rFonts w:asciiTheme="minorHAnsi" w:hAnsiTheme="minorHAnsi" w:cstheme="minorBidi"/>
          <w:b/>
          <w:bCs/>
          <w:sz w:val="20"/>
          <w:szCs w:val="20"/>
        </w:rPr>
        <w:lastRenderedPageBreak/>
        <w:t>Arquitectura financiera innovadora</w:t>
      </w:r>
      <w:r w:rsidRPr="00943F44">
        <w:rPr>
          <w:rFonts w:asciiTheme="minorHAnsi" w:hAnsiTheme="minorHAnsi" w:cstheme="minorBidi"/>
          <w:sz w:val="20"/>
          <w:szCs w:val="20"/>
        </w:rPr>
        <w:t>: El proyecto incorpora un Fondo Verde Rotatorio, líneas de crédito inclusivas y esquemas de cofinanciamiento público-privado para escalar modelos de bioeconomía y producción sostenible, optimizando el uso de los recursos y ampliando su alcance.</w:t>
      </w:r>
    </w:p>
    <w:p w14:paraId="5DA619DE" w14:textId="77777777" w:rsidR="007A3962" w:rsidRPr="00943F44" w:rsidRDefault="007A3962" w:rsidP="00EC2CBE">
      <w:pPr>
        <w:pStyle w:val="Prrafodelista"/>
        <w:numPr>
          <w:ilvl w:val="0"/>
          <w:numId w:val="8"/>
        </w:numPr>
        <w:jc w:val="both"/>
        <w:rPr>
          <w:rFonts w:asciiTheme="minorHAnsi" w:hAnsiTheme="minorHAnsi" w:cstheme="minorBidi"/>
          <w:sz w:val="20"/>
          <w:szCs w:val="20"/>
        </w:rPr>
      </w:pPr>
      <w:r w:rsidRPr="00943F44">
        <w:rPr>
          <w:rFonts w:asciiTheme="minorHAnsi" w:hAnsiTheme="minorHAnsi" w:cstheme="minorBidi"/>
          <w:b/>
          <w:bCs/>
          <w:sz w:val="20"/>
          <w:szCs w:val="20"/>
        </w:rPr>
        <w:t>Digitalización del monitoreo</w:t>
      </w:r>
      <w:r w:rsidRPr="00943F44">
        <w:rPr>
          <w:rFonts w:asciiTheme="minorHAnsi" w:hAnsiTheme="minorHAnsi" w:cstheme="minorBidi"/>
          <w:sz w:val="20"/>
          <w:szCs w:val="20"/>
        </w:rPr>
        <w:t>: Se implementarán plataformas de trazabilidad y sistemas de monitoreo participativo para reducir costos operativos, mejorar la toma de decisiones y fortalecer la supervisión comunitaria.</w:t>
      </w:r>
    </w:p>
    <w:p w14:paraId="483B520F" w14:textId="6AED6BB7"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El proyecto adopta una estrategia de gestión de portafolio que promueve sinergias y operaciones conjuntas (adquisiciones, monitoreo, capacitación) con iniciativas complementarias del MAE y el PNUD en la región amazónica, como UK-PAQ, Socio Bosque II y otros programas REDD+. Esta coordinación permite generar economías de escala, aprendizaje adaptativo y replicación de modelos exitosos.</w:t>
      </w:r>
    </w:p>
    <w:p w14:paraId="26C7DF52" w14:textId="6094438E"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Adicionalmente, la cooperación técnica con proyectos previos (como PROAmazonía y PPR) y el uso de sus equipos capacitados y estructuras logísticas podrían reducir los costos de personal y operación hasta en un 5%. Esto se complementa con alianzas con actores clave como la CTEA, la CONFENIAE, los Gobiernos Autónomos Descentralizados (GAD), FODESNA, los Fondos de Agua y el sector privado, lo cual permite compartir riesgos, generar valor compartido e incrementar el impacto de las inversiones.</w:t>
      </w:r>
    </w:p>
    <w:p w14:paraId="5CCF0668" w14:textId="32B53EC1" w:rsidR="007A3962" w:rsidRPr="00943F44" w:rsidRDefault="007A3962"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943F44">
        <w:rPr>
          <w:rFonts w:asciiTheme="minorHAnsi" w:hAnsiTheme="minorHAnsi" w:cstheme="minorHAnsi"/>
          <w:sz w:val="20"/>
          <w:szCs w:val="20"/>
        </w:rPr>
        <w:t>El proyecto se implementará bajo la Modalidad de Ejecución Nacional (NIM, por sus siglas en inglés), con el MAE como entidad ejecutora y el PNUD como agencia implementadora, garantizando liderazgo técnico nacional, apoyo operativo internacional y cumplimiento de los estándares fiduciarios. Este modelo promueve eficiencia, transparencia y rendición de cuentas durante toda la ejecución del proyecto.</w:t>
      </w:r>
    </w:p>
    <w:p w14:paraId="38EF6C5A" w14:textId="77777777" w:rsidR="007A3962" w:rsidRDefault="007A3962" w:rsidP="00CD38E9">
      <w:pPr>
        <w:jc w:val="both"/>
        <w:rPr>
          <w:rFonts w:asciiTheme="minorHAnsi" w:hAnsiTheme="minorHAnsi" w:cstheme="minorHAnsi"/>
          <w:sz w:val="20"/>
          <w:szCs w:val="20"/>
          <w:lang w:val="es-EC"/>
        </w:rPr>
      </w:pPr>
    </w:p>
    <w:p w14:paraId="67D7FBCF" w14:textId="77777777" w:rsidR="007A3962" w:rsidRDefault="007A3962" w:rsidP="00CD38E9">
      <w:pPr>
        <w:jc w:val="both"/>
        <w:rPr>
          <w:rFonts w:asciiTheme="minorHAnsi" w:hAnsiTheme="minorHAnsi" w:cstheme="minorHAnsi"/>
          <w:sz w:val="20"/>
          <w:szCs w:val="20"/>
          <w:lang w:val="es-EC"/>
        </w:rPr>
      </w:pPr>
    </w:p>
    <w:p w14:paraId="42B89C3D" w14:textId="77777777" w:rsidR="007A3962" w:rsidRPr="00D830D9" w:rsidRDefault="007A3962" w:rsidP="00CD38E9">
      <w:pPr>
        <w:jc w:val="both"/>
        <w:rPr>
          <w:rFonts w:asciiTheme="minorHAnsi" w:hAnsiTheme="minorHAnsi" w:cstheme="minorHAnsi"/>
          <w:sz w:val="20"/>
          <w:szCs w:val="20"/>
          <w:lang w:val="es-EC"/>
        </w:rPr>
      </w:pPr>
    </w:p>
    <w:p w14:paraId="413A5CD8" w14:textId="6E5CD50D" w:rsidR="00CD38E9" w:rsidRPr="00A51E75" w:rsidRDefault="00CD38E9" w:rsidP="00CD38E9">
      <w:pPr>
        <w:jc w:val="both"/>
        <w:rPr>
          <w:rFonts w:asciiTheme="minorHAnsi" w:hAnsiTheme="minorHAnsi" w:cstheme="minorHAnsi"/>
          <w:b/>
          <w:bCs/>
          <w:lang w:val="en-US"/>
        </w:rPr>
      </w:pPr>
      <w:r w:rsidRPr="00A51E75">
        <w:rPr>
          <w:rFonts w:asciiTheme="minorHAnsi" w:hAnsiTheme="minorHAnsi" w:cstheme="minorHAnsi"/>
          <w:b/>
          <w:bCs/>
        </w:rPr>
        <w:t>Gestión de</w:t>
      </w:r>
      <w:r w:rsidR="00BA4C69">
        <w:rPr>
          <w:rFonts w:asciiTheme="minorHAnsi" w:hAnsiTheme="minorHAnsi" w:cstheme="minorHAnsi"/>
          <w:b/>
          <w:bCs/>
        </w:rPr>
        <w:t>l</w:t>
      </w:r>
      <w:r w:rsidRPr="00A51E75">
        <w:rPr>
          <w:rFonts w:asciiTheme="minorHAnsi" w:hAnsiTheme="minorHAnsi" w:cstheme="minorHAnsi"/>
          <w:b/>
          <w:bCs/>
        </w:rPr>
        <w:t xml:space="preserve"> proyecto</w:t>
      </w:r>
    </w:p>
    <w:p w14:paraId="39CCF53A" w14:textId="77777777" w:rsidR="008F23B2" w:rsidRPr="00A51E75" w:rsidRDefault="008F23B2" w:rsidP="00CD38E9">
      <w:pPr>
        <w:jc w:val="both"/>
        <w:rPr>
          <w:rFonts w:asciiTheme="minorHAnsi" w:hAnsiTheme="minorHAnsi" w:cstheme="minorHAnsi"/>
          <w:b/>
          <w:bCs/>
          <w:lang w:val="en-US"/>
        </w:rPr>
      </w:pPr>
    </w:p>
    <w:p w14:paraId="43017660" w14:textId="62EFD395"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El proyecto se implementará en tres unidades hidrológicas clave de la cuenca del río Napo: la subcuenca del Aguarico, la subcuenca del río Coca y la unidad hidrológica CH 49789. Dentro de estas unidades se han priorizado seis zonas de intervención debido a su relevancia ecológica, su contribución a la regulación hídrica, la presencia de áreas de conservación (</w:t>
      </w:r>
      <w:r>
        <w:rPr>
          <w:rFonts w:asciiTheme="minorHAnsi" w:hAnsiTheme="minorHAnsi" w:cstheme="minorHAnsi"/>
          <w:sz w:val="20"/>
          <w:szCs w:val="20"/>
        </w:rPr>
        <w:t>BVP</w:t>
      </w:r>
      <w:r w:rsidRPr="00BA4C69">
        <w:rPr>
          <w:rFonts w:asciiTheme="minorHAnsi" w:hAnsiTheme="minorHAnsi" w:cstheme="minorHAnsi"/>
          <w:sz w:val="20"/>
          <w:szCs w:val="20"/>
        </w:rPr>
        <w:t xml:space="preserve">, ACUS, </w:t>
      </w:r>
      <w:r>
        <w:rPr>
          <w:rFonts w:asciiTheme="minorHAnsi" w:hAnsiTheme="minorHAnsi" w:cstheme="minorHAnsi"/>
          <w:sz w:val="20"/>
          <w:szCs w:val="20"/>
        </w:rPr>
        <w:t>APH</w:t>
      </w:r>
      <w:r w:rsidRPr="00BA4C69">
        <w:rPr>
          <w:rFonts w:asciiTheme="minorHAnsi" w:hAnsiTheme="minorHAnsi" w:cstheme="minorHAnsi"/>
          <w:sz w:val="20"/>
          <w:szCs w:val="20"/>
        </w:rPr>
        <w:t>) y comunidades indígenas y rurales altamente vulnerables a riesgos climáticos y ambientales.</w:t>
      </w:r>
    </w:p>
    <w:p w14:paraId="2A27297A" w14:textId="451D8380"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Para garantizar una implementación técnica descentralizada, se establecerán dos oficinas de coordinación territorial: una con sede en Tena (provincia de Napo) y otra en Nueva Loja (provincia de Sucumbíos). Estas oficinas facilitarán la coordinación con los gobiernos autónomos descentralizados (GAD), organizaciones comunitarias, actores productivos y otros programas en ejecución, asegurando un acompañamiento técnico sostenido y adaptado a las realidades locales.</w:t>
      </w:r>
    </w:p>
    <w:p w14:paraId="3B6EF6AD" w14:textId="152490A7"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Con el fin de asegurar una ejecución eficiente, coherente y debidamente articulada del proyecto, se propone la creación de una Unidad de Gestión del Proyecto (UGP) dedicada. Esta estructura contará con personal técnico y operativo, permitiendo la continuidad técnica, la acumulación de conocimientos y una respuesta ágil ante necesidades emergentes o cambios contextuales. A diferencia de un modelo basado en consultorías por productos —que tiende a fragmentar la implementación y a incrementar los costos de transacción y supervisión— el enfoque de UGP centraliza funciones clave, favoreciendo la coherencia metodológica, la trazabilidad de los procesos y una mayor eficiencia en la ejecución. Asimismo, fortalece la coordinación interinstitucional y la apropiación local mediante un relacionamiento continuo con contrapartes estratégicas como el MAE, los gobiernos subnacionales y los actores comunitarios. Esta coordinación resulta particularmente crítica para el presente proyecto, que debe articular acciones entre tres subsecretarías (Cambio Climático, Patrimonio Natural y Recursos Hídricos) bajo dos viceministerios distintos (Ambiente y Agua), además de generar sinergias con el MAG</w:t>
      </w:r>
      <w:r w:rsidR="00B9385B">
        <w:rPr>
          <w:rFonts w:asciiTheme="minorHAnsi" w:hAnsiTheme="minorHAnsi" w:cstheme="minorHAnsi"/>
          <w:sz w:val="20"/>
          <w:szCs w:val="20"/>
        </w:rPr>
        <w:t>P</w:t>
      </w:r>
      <w:r w:rsidRPr="00BA4C69">
        <w:rPr>
          <w:rFonts w:asciiTheme="minorHAnsi" w:hAnsiTheme="minorHAnsi" w:cstheme="minorHAnsi"/>
          <w:sz w:val="20"/>
          <w:szCs w:val="20"/>
        </w:rPr>
        <w:t xml:space="preserve"> y otros actores sectoriales y territoriales. La estructura de la UGP también contribuye a una rendición de cuentas más clara y efectiva ante el PNUD, los socios nacionales y los donantes.</w:t>
      </w:r>
    </w:p>
    <w:p w14:paraId="2AFA1E05" w14:textId="462FDC29"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 xml:space="preserve">El PNUD brindará supervisión y aseguramiento de calidad conforme a su rol como agencia implementadora del FMAM, incluyendo la supervisión fiduciaria y el cumplimiento de salvaguardas sociales y ambientales. Las responsabilidades operativas, tales como adquisiciones, gestión de recursos humanos y administración financiera, serán asumidas plenamente por la Unidad de Gestión del Proyecto (UGP) </w:t>
      </w:r>
      <w:r w:rsidR="00920970" w:rsidRPr="00920970">
        <w:rPr>
          <w:rFonts w:asciiTheme="minorHAnsi" w:hAnsiTheme="minorHAnsi" w:cstheme="minorHAnsi"/>
          <w:sz w:val="20"/>
          <w:szCs w:val="20"/>
        </w:rPr>
        <w:t xml:space="preserve">en el marco del apoyo a la ejecución nacional (COS NIM – Country Office Support to </w:t>
      </w:r>
      <w:proofErr w:type="spellStart"/>
      <w:r w:rsidR="00920970" w:rsidRPr="00920970">
        <w:rPr>
          <w:rFonts w:asciiTheme="minorHAnsi" w:hAnsiTheme="minorHAnsi" w:cstheme="minorHAnsi"/>
          <w:sz w:val="20"/>
          <w:szCs w:val="20"/>
        </w:rPr>
        <w:t>National</w:t>
      </w:r>
      <w:proofErr w:type="spellEnd"/>
      <w:r w:rsidR="00920970" w:rsidRPr="00920970">
        <w:rPr>
          <w:rFonts w:asciiTheme="minorHAnsi" w:hAnsiTheme="minorHAnsi" w:cstheme="minorHAnsi"/>
          <w:sz w:val="20"/>
          <w:szCs w:val="20"/>
        </w:rPr>
        <w:t xml:space="preserve"> Implementation </w:t>
      </w:r>
      <w:proofErr w:type="spellStart"/>
      <w:r w:rsidR="00920970" w:rsidRPr="00920970">
        <w:rPr>
          <w:rFonts w:asciiTheme="minorHAnsi" w:hAnsiTheme="minorHAnsi" w:cstheme="minorHAnsi"/>
          <w:sz w:val="20"/>
          <w:szCs w:val="20"/>
        </w:rPr>
        <w:t>Modality</w:t>
      </w:r>
      <w:proofErr w:type="spellEnd"/>
      <w:r w:rsidR="00920970" w:rsidRPr="00920970">
        <w:rPr>
          <w:rFonts w:asciiTheme="minorHAnsi" w:hAnsiTheme="minorHAnsi" w:cstheme="minorHAnsi"/>
          <w:sz w:val="20"/>
          <w:szCs w:val="20"/>
        </w:rPr>
        <w:t>)</w:t>
      </w:r>
    </w:p>
    <w:p w14:paraId="585E711E" w14:textId="22BD0202"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lastRenderedPageBreak/>
        <w:t>La arquitectura financiera incorpora un Fondo Verde Rotatorio, esquemas de cofinanciamiento público</w:t>
      </w:r>
      <w:r w:rsidRPr="00BA4C69">
        <w:rPr>
          <w:rFonts w:asciiTheme="minorHAnsi" w:hAnsiTheme="minorHAnsi" w:cstheme="minorHAnsi"/>
          <w:sz w:val="20"/>
          <w:szCs w:val="20"/>
        </w:rPr>
        <w:noBreakHyphen/>
        <w:t>privado y plataformas digitales para el monitoreo y la trazabilidad. Estas herramientas optimizan la toma de decisiones basada en evidencia y reducen los costos operativos, fortaleciendo la eficiencia institucional y la transparencia del proyecto.</w:t>
      </w:r>
    </w:p>
    <w:p w14:paraId="3A267ACB" w14:textId="5FF2F3DA"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El proyecto establece sinergias operativas y estratégicas con otras iniciativas ejecutadas por el MAE y el PNUD, tales como el Programa de Incentivos Socio Bosque II, el Programa Nacional REDD+ (PAREDD+) y el Plan Nacional de Restauración del Paisaje (PNRF). Asimismo, contribuirá al cumplimiento de los compromisos establecidos en las NDC, el Plan Nacional de Adaptación (PNA) y la Estrategia y Plan de Acción Nacional de Biodiversidad (EPANB). Estas colaboraciones permitirán el uso compartido de herramientas técnicas, recursos financieros y plataformas de gobernanza.</w:t>
      </w:r>
    </w:p>
    <w:p w14:paraId="714190FD" w14:textId="77777777" w:rsidR="00BA4C69" w:rsidRPr="00BA4C69" w:rsidRDefault="00BA4C69" w:rsidP="00BA4C69">
      <w:pPr>
        <w:pStyle w:val="Prrafodelista"/>
        <w:ind w:left="0"/>
        <w:jc w:val="both"/>
        <w:rPr>
          <w:rFonts w:asciiTheme="minorHAnsi" w:hAnsiTheme="minorHAnsi" w:cstheme="minorHAnsi"/>
          <w:sz w:val="20"/>
          <w:szCs w:val="20"/>
        </w:rPr>
      </w:pPr>
      <w:r w:rsidRPr="00BA4C69">
        <w:rPr>
          <w:rFonts w:asciiTheme="minorHAnsi" w:hAnsiTheme="minorHAnsi" w:cstheme="minorHAnsi"/>
          <w:sz w:val="20"/>
          <w:szCs w:val="20"/>
        </w:rPr>
        <w:t>De forma paralela, el proyecto coordinará acciones específicas con otras iniciativas del FMAM actualmente en ejecución en Ecuador, tales como:</w:t>
      </w:r>
    </w:p>
    <w:p w14:paraId="7B64328B" w14:textId="77777777" w:rsidR="00BA4C69" w:rsidRPr="00BA4C69" w:rsidRDefault="00BA4C69" w:rsidP="00EC2CBE">
      <w:pPr>
        <w:numPr>
          <w:ilvl w:val="0"/>
          <w:numId w:val="9"/>
        </w:numPr>
        <w:jc w:val="both"/>
        <w:rPr>
          <w:rFonts w:asciiTheme="minorHAnsi" w:hAnsiTheme="minorHAnsi" w:cstheme="minorHAnsi"/>
          <w:sz w:val="20"/>
          <w:szCs w:val="20"/>
        </w:rPr>
      </w:pPr>
      <w:r w:rsidRPr="004D0CEB">
        <w:rPr>
          <w:rFonts w:asciiTheme="minorHAnsi" w:hAnsiTheme="minorHAnsi" w:cstheme="minorHAnsi"/>
          <w:b/>
          <w:bCs/>
          <w:sz w:val="20"/>
          <w:szCs w:val="20"/>
        </w:rPr>
        <w:t>FARM (FMAM ID 10872):</w:t>
      </w:r>
      <w:r w:rsidRPr="00BA4C69">
        <w:rPr>
          <w:rFonts w:asciiTheme="minorHAnsi" w:hAnsiTheme="minorHAnsi" w:cstheme="minorHAnsi"/>
          <w:sz w:val="20"/>
          <w:szCs w:val="20"/>
        </w:rPr>
        <w:t> para la promoción de prácticas agrícolas sostenibles y la gestión de agroquímicos.</w:t>
      </w:r>
    </w:p>
    <w:p w14:paraId="4DF3E96B" w14:textId="77777777" w:rsidR="00BA4C69" w:rsidRPr="00BA4C69" w:rsidRDefault="00BA4C69" w:rsidP="00EC2CBE">
      <w:pPr>
        <w:numPr>
          <w:ilvl w:val="0"/>
          <w:numId w:val="9"/>
        </w:numPr>
        <w:jc w:val="both"/>
        <w:rPr>
          <w:rFonts w:asciiTheme="minorHAnsi" w:hAnsiTheme="minorHAnsi" w:cstheme="minorHAnsi"/>
          <w:sz w:val="20"/>
          <w:szCs w:val="20"/>
        </w:rPr>
      </w:pPr>
      <w:r w:rsidRPr="004D0CEB">
        <w:rPr>
          <w:rFonts w:asciiTheme="minorHAnsi" w:hAnsiTheme="minorHAnsi" w:cstheme="minorHAnsi"/>
          <w:b/>
          <w:bCs/>
          <w:sz w:val="20"/>
          <w:szCs w:val="20"/>
        </w:rPr>
        <w:t>CWR y SAT (FMAM ID 10855):</w:t>
      </w:r>
      <w:r w:rsidRPr="00BA4C69">
        <w:rPr>
          <w:rFonts w:asciiTheme="minorHAnsi" w:hAnsiTheme="minorHAnsi" w:cstheme="minorHAnsi"/>
          <w:sz w:val="20"/>
          <w:szCs w:val="20"/>
        </w:rPr>
        <w:t> para el intercambio de lecciones aprendidas sobre conservación de especies de vida silvestre y gestión del conocimiento.</w:t>
      </w:r>
    </w:p>
    <w:p w14:paraId="214E8F81" w14:textId="77777777" w:rsidR="00BA4C69" w:rsidRPr="00BA4C69" w:rsidRDefault="00BA4C69" w:rsidP="00EC2CBE">
      <w:pPr>
        <w:numPr>
          <w:ilvl w:val="0"/>
          <w:numId w:val="9"/>
        </w:numPr>
        <w:jc w:val="both"/>
        <w:rPr>
          <w:rFonts w:asciiTheme="minorHAnsi" w:hAnsiTheme="minorHAnsi" w:cstheme="minorHAnsi"/>
          <w:sz w:val="20"/>
          <w:szCs w:val="20"/>
        </w:rPr>
      </w:pPr>
      <w:r w:rsidRPr="004D0CEB">
        <w:rPr>
          <w:rFonts w:asciiTheme="minorHAnsi" w:hAnsiTheme="minorHAnsi" w:cstheme="minorHAnsi"/>
          <w:b/>
          <w:bCs/>
          <w:sz w:val="20"/>
          <w:szCs w:val="20"/>
        </w:rPr>
        <w:t>Conectividad Amazónica (FMAM ID 11202):</w:t>
      </w:r>
      <w:r w:rsidRPr="00BA4C69">
        <w:rPr>
          <w:rFonts w:asciiTheme="minorHAnsi" w:hAnsiTheme="minorHAnsi" w:cstheme="minorHAnsi"/>
          <w:sz w:val="20"/>
          <w:szCs w:val="20"/>
        </w:rPr>
        <w:t> para la alineación de estrategias sobre conectividad ecológica, gobernanza territorial y monitoreo.</w:t>
      </w:r>
    </w:p>
    <w:p w14:paraId="5DE41556" w14:textId="68601B97"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Estas colaboraciones se formalizarán mediante comités técnicos, acuerdos de cooperación y productos conjuntos, en consonancia con las prioridades del FMAM y del Gobierno del Ecuador.</w:t>
      </w:r>
    </w:p>
    <w:p w14:paraId="12137D68" w14:textId="7BF8753B"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Las auditorías financieras se realizarán anualmente conforme a los estándares del PNUD y del FMAM, a cargo de auditores externos acreditados. Los resultados serán compartidos con las partes interesadas para garantizar la rendición de cuentas y la transparencia. Adicionalmente, se efectuarán auditorías internas de acuerdo con el Reglamento Financiero del PNUD, cuya planificación será abordada durante el taller de inicio del proyecto. Los costos de auditoría están incluidos en el presupuesto de gestión en cumplimiento de las directrices del FMAM.</w:t>
      </w:r>
    </w:p>
    <w:p w14:paraId="10BEA73F" w14:textId="097E788D"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En materia de monitoreo, el proyecto integrará herramientas digitales a lo largo de todo su ciclo de vida, en consonancia con la Estrategia Digital 2022–2025 del PNUD. Se promoverá el uso de plataformas para análisis geoespacial, trazabilidad de resultados y comunicación pública. Se adoptarán principios de inclusión digital, interoperabilidad y protección de datos, fomentando capacidades locales en innovación tecnológica. También se considerará la creación de micrositios o plataformas tipo PANORAMA como espacios de aprendizaje y rendición de cuentas.</w:t>
      </w:r>
    </w:p>
    <w:p w14:paraId="7D22D2A8" w14:textId="3B18B45C" w:rsidR="00BA4C69" w:rsidRPr="00BA4C69" w:rsidRDefault="00BA4C69"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BA4C69">
        <w:rPr>
          <w:rFonts w:asciiTheme="minorHAnsi" w:hAnsiTheme="minorHAnsi" w:cstheme="minorHAnsi"/>
          <w:sz w:val="20"/>
          <w:szCs w:val="20"/>
        </w:rPr>
        <w:t>Finalmente, el Comité Directivo del Proyecto —presidido por el MAE con la participación del PNUD y actores clave— garantizará la alineación estratégica del proyecto, la toma de decisiones interinstitucional y la coordinación técnica entre componentes y socios.</w:t>
      </w:r>
    </w:p>
    <w:p w14:paraId="1B0B29E1" w14:textId="77777777" w:rsidR="00BA4C69" w:rsidRPr="00BA4C69" w:rsidRDefault="00BA4C69" w:rsidP="00BA4C69">
      <w:pPr>
        <w:pStyle w:val="Prrafodelista"/>
        <w:ind w:left="0"/>
        <w:jc w:val="both"/>
        <w:rPr>
          <w:rFonts w:asciiTheme="minorHAnsi" w:hAnsiTheme="minorHAnsi" w:cstheme="minorHAnsi"/>
          <w:b/>
          <w:bCs/>
          <w:sz w:val="20"/>
          <w:szCs w:val="20"/>
        </w:rPr>
      </w:pPr>
    </w:p>
    <w:p w14:paraId="029FF862" w14:textId="77777777" w:rsidR="00BA4C69" w:rsidRPr="00D830D9" w:rsidRDefault="00BA4C69" w:rsidP="00BA4C69">
      <w:pPr>
        <w:rPr>
          <w:rFonts w:asciiTheme="minorHAnsi" w:eastAsia="SimSun" w:hAnsiTheme="minorHAnsi" w:cstheme="minorHAnsi"/>
          <w:sz w:val="20"/>
          <w:szCs w:val="20"/>
          <w:lang w:val="es-EC"/>
        </w:rPr>
      </w:pPr>
    </w:p>
    <w:p w14:paraId="40D15250" w14:textId="77777777" w:rsidR="008B6F84" w:rsidRDefault="008B6F84" w:rsidP="008B6F84">
      <w:pPr>
        <w:keepNext/>
        <w:pBdr>
          <w:top w:val="single" w:sz="4" w:space="1" w:color="auto"/>
        </w:pBdr>
        <w:suppressAutoHyphens/>
        <w:jc w:val="both"/>
        <w:outlineLvl w:val="0"/>
        <w:rPr>
          <w:rFonts w:asciiTheme="minorHAnsi" w:eastAsia="SimSun" w:hAnsiTheme="minorHAnsi" w:cstheme="minorHAnsi"/>
          <w:b/>
          <w:smallCaps/>
          <w:color w:val="000000"/>
          <w:spacing w:val="-2"/>
          <w:sz w:val="28"/>
          <w:szCs w:val="20"/>
          <w:lang w:val="es-EC"/>
        </w:rPr>
      </w:pPr>
      <w:bookmarkStart w:id="18" w:name="_Toc207800912"/>
    </w:p>
    <w:p w14:paraId="3EE24F55" w14:textId="77777777" w:rsidR="00BA4C69" w:rsidRDefault="00BA4C69" w:rsidP="008B6F84">
      <w:pPr>
        <w:keepNext/>
        <w:pBdr>
          <w:top w:val="single" w:sz="4" w:space="1" w:color="auto"/>
        </w:pBdr>
        <w:suppressAutoHyphens/>
        <w:jc w:val="both"/>
        <w:outlineLvl w:val="0"/>
        <w:rPr>
          <w:rFonts w:asciiTheme="minorHAnsi" w:eastAsia="SimSun" w:hAnsiTheme="minorHAnsi" w:cstheme="minorHAnsi"/>
          <w:b/>
          <w:smallCaps/>
          <w:color w:val="000000"/>
          <w:spacing w:val="-2"/>
          <w:sz w:val="28"/>
          <w:szCs w:val="20"/>
          <w:lang w:val="es-EC"/>
        </w:rPr>
      </w:pPr>
    </w:p>
    <w:p w14:paraId="524F406F" w14:textId="77777777" w:rsidR="00BA4C69" w:rsidRPr="00D830D9" w:rsidRDefault="00BA4C69" w:rsidP="008B6F84">
      <w:pPr>
        <w:keepNext/>
        <w:pBdr>
          <w:top w:val="single" w:sz="4" w:space="1" w:color="auto"/>
        </w:pBdr>
        <w:suppressAutoHyphens/>
        <w:jc w:val="both"/>
        <w:outlineLvl w:val="0"/>
        <w:rPr>
          <w:rFonts w:asciiTheme="minorHAnsi" w:eastAsia="SimSun" w:hAnsiTheme="minorHAnsi" w:cstheme="minorHAnsi"/>
          <w:b/>
          <w:smallCaps/>
          <w:color w:val="000000"/>
          <w:spacing w:val="-2"/>
          <w:sz w:val="28"/>
          <w:szCs w:val="20"/>
          <w:lang w:val="es-EC"/>
        </w:rPr>
        <w:sectPr w:rsidR="00BA4C69" w:rsidRPr="00D830D9" w:rsidSect="008B6F84">
          <w:pgSz w:w="12240" w:h="15840" w:code="1"/>
          <w:pgMar w:top="1440" w:right="1440" w:bottom="1440" w:left="1440" w:header="720" w:footer="432" w:gutter="0"/>
          <w:cols w:space="708"/>
          <w:titlePg/>
          <w:docGrid w:linePitch="360"/>
        </w:sectPr>
      </w:pPr>
    </w:p>
    <w:p w14:paraId="4567C827" w14:textId="77777777" w:rsidR="008B6F84" w:rsidRPr="00D830D9" w:rsidRDefault="00211737" w:rsidP="008B6F84">
      <w:pPr>
        <w:keepNext/>
        <w:pBdr>
          <w:top w:val="single" w:sz="4" w:space="1" w:color="auto"/>
        </w:pBdr>
        <w:tabs>
          <w:tab w:val="num" w:pos="720"/>
        </w:tabs>
        <w:suppressAutoHyphens/>
        <w:spacing w:after="60"/>
        <w:ind w:left="720" w:hanging="720"/>
        <w:jc w:val="both"/>
        <w:outlineLvl w:val="0"/>
        <w:rPr>
          <w:rFonts w:asciiTheme="minorHAnsi" w:eastAsia="SimSun" w:hAnsiTheme="minorHAnsi" w:cstheme="minorHAnsi"/>
          <w:b/>
          <w:smallCaps/>
          <w:spacing w:val="-2"/>
          <w:sz w:val="28"/>
          <w:szCs w:val="28"/>
          <w:lang w:val="es-EC"/>
        </w:rPr>
      </w:pPr>
      <w:bookmarkStart w:id="19" w:name="_Toc221696297"/>
      <w:r w:rsidRPr="00A51E75">
        <w:rPr>
          <w:rFonts w:asciiTheme="minorHAnsi" w:eastAsia="SimSun" w:hAnsiTheme="minorHAnsi" w:cstheme="minorHAnsi"/>
          <w:b/>
          <w:smallCaps/>
          <w:spacing w:val="-2"/>
          <w:sz w:val="28"/>
          <w:szCs w:val="28"/>
        </w:rPr>
        <w:lastRenderedPageBreak/>
        <w:t>Marco de Resultados del Proyecto</w:t>
      </w:r>
      <w:bookmarkEnd w:id="19"/>
    </w:p>
    <w:p w14:paraId="67E3722A" w14:textId="77777777" w:rsidR="008E11D1" w:rsidRPr="00D830D9" w:rsidRDefault="008E11D1" w:rsidP="008B6F84">
      <w:pPr>
        <w:spacing w:after="240"/>
        <w:jc w:val="both"/>
        <w:rPr>
          <w:rFonts w:asciiTheme="minorHAnsi" w:eastAsia="SimSun" w:hAnsiTheme="minorHAnsi" w:cstheme="minorHAnsi"/>
          <w:b/>
          <w:bCs/>
          <w:i/>
          <w:iCs/>
          <w:sz w:val="20"/>
          <w:lang w:val="es-EC"/>
        </w:rPr>
      </w:pPr>
    </w:p>
    <w:p w14:paraId="6129E485" w14:textId="7E993CD7" w:rsidR="00975937" w:rsidRPr="00D830D9" w:rsidRDefault="00975937" w:rsidP="00975937">
      <w:pPr>
        <w:pStyle w:val="Descripcin"/>
        <w:keepNext/>
        <w:jc w:val="center"/>
        <w:rPr>
          <w:lang w:val="es-EC"/>
        </w:rPr>
      </w:pPr>
      <w:bookmarkStart w:id="20" w:name="_Toc201073149"/>
      <w:r w:rsidRPr="00A51E75">
        <w:t xml:space="preserve">Tabla </w:t>
      </w:r>
      <w:r w:rsidRPr="00A51E75">
        <w:fldChar w:fldCharType="begin"/>
      </w:r>
      <w:r w:rsidRPr="00A51E75">
        <w:instrText xml:space="preserve"> SEQ Tabla \* ARABIC </w:instrText>
      </w:r>
      <w:r w:rsidRPr="00A51E75">
        <w:fldChar w:fldCharType="separate"/>
      </w:r>
      <w:r w:rsidR="00554466" w:rsidRPr="00A51E75">
        <w:rPr>
          <w:noProof/>
        </w:rPr>
        <w:t>4</w:t>
      </w:r>
      <w:r w:rsidRPr="00A51E75">
        <w:fldChar w:fldCharType="end"/>
      </w:r>
      <w:r w:rsidRPr="00A51E75">
        <w:t>: Marco de Resultados del Proyecto</w:t>
      </w:r>
      <w:bookmarkEnd w:id="20"/>
    </w:p>
    <w:tbl>
      <w:tblPr>
        <w:tblW w:w="1438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624"/>
        <w:gridCol w:w="1851"/>
        <w:gridCol w:w="123"/>
        <w:gridCol w:w="1696"/>
        <w:gridCol w:w="381"/>
        <w:gridCol w:w="1082"/>
        <w:gridCol w:w="168"/>
        <w:gridCol w:w="1549"/>
        <w:gridCol w:w="125"/>
        <w:gridCol w:w="1740"/>
        <w:gridCol w:w="1888"/>
        <w:gridCol w:w="2162"/>
      </w:tblGrid>
      <w:tr w:rsidR="008A34CA" w:rsidRPr="007D4F41" w14:paraId="3C13A52D" w14:textId="77777777" w:rsidTr="7CD6F03B">
        <w:trPr>
          <w:trHeight w:val="300"/>
        </w:trPr>
        <w:tc>
          <w:tcPr>
            <w:tcW w:w="14389" w:type="dxa"/>
            <w:gridSpan w:val="12"/>
          </w:tcPr>
          <w:p w14:paraId="3BBF7C63" w14:textId="4D02465B" w:rsidR="008A34CA" w:rsidRPr="00D830D9" w:rsidRDefault="008A34CA" w:rsidP="00A42B51">
            <w:pPr>
              <w:spacing w:after="60"/>
              <w:jc w:val="both"/>
              <w:rPr>
                <w:rFonts w:asciiTheme="minorHAnsi" w:hAnsiTheme="minorHAnsi" w:cstheme="minorHAnsi"/>
                <w:b/>
                <w:sz w:val="18"/>
                <w:szCs w:val="18"/>
                <w:lang w:val="es-EC"/>
              </w:rPr>
            </w:pPr>
            <w:bookmarkStart w:id="21" w:name="_Hlk193955578"/>
            <w:r w:rsidRPr="00A51E75">
              <w:rPr>
                <w:rFonts w:asciiTheme="minorHAnsi" w:hAnsiTheme="minorHAnsi" w:cstheme="minorHAnsi"/>
                <w:b/>
                <w:sz w:val="18"/>
                <w:szCs w:val="18"/>
              </w:rPr>
              <w:t>Contribución al Objetivo(s) de Desarrollo Sostenible(s): ODS1, ODS2, ODS5, ODS6, ODS13, ODS15, ODS16 y ODS17.</w:t>
            </w:r>
          </w:p>
        </w:tc>
      </w:tr>
      <w:tr w:rsidR="008A34CA" w:rsidRPr="007D4F41" w14:paraId="209B2CA3" w14:textId="77777777" w:rsidTr="7CD6F03B">
        <w:trPr>
          <w:trHeight w:val="300"/>
        </w:trPr>
        <w:tc>
          <w:tcPr>
            <w:tcW w:w="14389" w:type="dxa"/>
            <w:gridSpan w:val="12"/>
          </w:tcPr>
          <w:p w14:paraId="58B48690" w14:textId="51091E89" w:rsidR="008A34CA" w:rsidRPr="00D830D9" w:rsidRDefault="008A34CA" w:rsidP="00A42B51">
            <w:pPr>
              <w:spacing w:after="6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Resultado previsto según se establece en el Marco de Resultados y Recursos del Programa de la </w:t>
            </w:r>
            <w:r w:rsidR="004D0CEB">
              <w:rPr>
                <w:rFonts w:asciiTheme="minorHAnsi" w:hAnsiTheme="minorHAnsi" w:cstheme="minorHAnsi"/>
                <w:b/>
                <w:sz w:val="18"/>
                <w:szCs w:val="18"/>
              </w:rPr>
              <w:t>MCEODS</w:t>
            </w:r>
            <w:r w:rsidRPr="00A51E75">
              <w:rPr>
                <w:rFonts w:asciiTheme="minorHAnsi" w:hAnsiTheme="minorHAnsi" w:cstheme="minorHAnsi"/>
                <w:b/>
                <w:sz w:val="18"/>
                <w:szCs w:val="18"/>
              </w:rPr>
              <w:t xml:space="preserve">/país: </w:t>
            </w:r>
            <w:r w:rsidRPr="00A51E75">
              <w:rPr>
                <w:rFonts w:asciiTheme="minorHAnsi" w:hAnsiTheme="minorHAnsi" w:cstheme="minorHAnsi"/>
                <w:sz w:val="18"/>
                <w:szCs w:val="18"/>
              </w:rPr>
              <w:t xml:space="preserve">2.3 </w:t>
            </w:r>
            <w:r w:rsidR="004D0CEB">
              <w:rPr>
                <w:rFonts w:asciiTheme="minorHAnsi" w:hAnsiTheme="minorHAnsi" w:cstheme="minorHAnsi"/>
                <w:sz w:val="18"/>
                <w:szCs w:val="18"/>
              </w:rPr>
              <w:t>MCEODS</w:t>
            </w:r>
            <w:r w:rsidRPr="00A51E75">
              <w:rPr>
                <w:rFonts w:asciiTheme="minorHAnsi" w:hAnsiTheme="minorHAnsi" w:cstheme="minorHAnsi"/>
                <w:sz w:val="18"/>
                <w:szCs w:val="18"/>
              </w:rPr>
              <w:t>: Las agencias estatales, organizaciones sociales, en particular naciones y pueblos indígenas rurales y comunidades afrodescendientes, gestionan el territorio, los recursos naturales, el medio ambiente, los riesgos de desastres y la transición energética mediante mecanismos de gobernanza inclusivos, multinivel y multisectorial</w:t>
            </w:r>
          </w:p>
        </w:tc>
      </w:tr>
      <w:tr w:rsidR="008A34CA" w:rsidRPr="007D4F41" w14:paraId="7C027270" w14:textId="77777777" w:rsidTr="7CD6F03B">
        <w:trPr>
          <w:trHeight w:val="300"/>
        </w:trPr>
        <w:tc>
          <w:tcPr>
            <w:tcW w:w="14389" w:type="dxa"/>
            <w:gridSpan w:val="12"/>
          </w:tcPr>
          <w:p w14:paraId="7C0C3963" w14:textId="77777777" w:rsidR="008A34CA" w:rsidRPr="00D830D9" w:rsidRDefault="008A34CA" w:rsidP="00A42B51">
            <w:pPr>
              <w:spacing w:after="60"/>
              <w:jc w:val="both"/>
              <w:rPr>
                <w:rFonts w:asciiTheme="minorHAnsi" w:hAnsiTheme="minorHAnsi" w:cstheme="minorHAnsi"/>
                <w:b/>
                <w:sz w:val="18"/>
                <w:szCs w:val="18"/>
                <w:lang w:val="es-EC"/>
              </w:rPr>
            </w:pPr>
            <w:r w:rsidRPr="00A51E75">
              <w:rPr>
                <w:rFonts w:asciiTheme="minorHAnsi" w:hAnsiTheme="minorHAnsi" w:cstheme="minorHAnsi"/>
                <w:b/>
                <w:sz w:val="18"/>
                <w:szCs w:val="18"/>
              </w:rPr>
              <w:t>Resultados(es) aplicable(s) del Plan Estratégico del PNUD.</w:t>
            </w:r>
            <w:r w:rsidRPr="00A51E75">
              <w:rPr>
                <w:rFonts w:asciiTheme="minorHAnsi" w:hAnsiTheme="minorHAnsi" w:cstheme="minorHAnsi"/>
                <w:sz w:val="18"/>
                <w:szCs w:val="18"/>
              </w:rPr>
              <w:t xml:space="preserve"> 3.1. Las autoridades gubernamentales estatales plurinacionales y los actores sociales fortalecen sus capacidades para implementar contribuciones determinadas a nivel nacional y Vivir Bien, en armonía con la Madre Tierra.</w:t>
            </w:r>
          </w:p>
        </w:tc>
      </w:tr>
      <w:tr w:rsidR="008A34CA" w:rsidRPr="007D4F41" w14:paraId="19E5F0AA" w14:textId="77777777" w:rsidTr="7CD6F03B">
        <w:trPr>
          <w:trHeight w:val="300"/>
        </w:trPr>
        <w:tc>
          <w:tcPr>
            <w:tcW w:w="14389" w:type="dxa"/>
            <w:gridSpan w:val="12"/>
          </w:tcPr>
          <w:p w14:paraId="04ED2D0D" w14:textId="47BC4692" w:rsidR="008A34CA" w:rsidRPr="00D830D9" w:rsidRDefault="008A34CA" w:rsidP="00A42B51">
            <w:pPr>
              <w:spacing w:after="60"/>
              <w:jc w:val="both"/>
              <w:rPr>
                <w:rFonts w:asciiTheme="minorHAnsi" w:hAnsiTheme="minorHAnsi" w:cstheme="minorHAnsi"/>
                <w:bCs/>
                <w:sz w:val="18"/>
                <w:szCs w:val="18"/>
                <w:lang w:val="es-EC"/>
              </w:rPr>
            </w:pPr>
            <w:r w:rsidRPr="00A51E75">
              <w:rPr>
                <w:rFonts w:asciiTheme="minorHAnsi" w:hAnsiTheme="minorHAnsi" w:cstheme="minorHAnsi"/>
                <w:b/>
                <w:sz w:val="18"/>
                <w:szCs w:val="18"/>
              </w:rPr>
              <w:t>Título del proyecto y número cuántico del proyecto:</w:t>
            </w:r>
            <w:r w:rsidR="00864D46" w:rsidRPr="00A51E75">
              <w:rPr>
                <w:rFonts w:asciiTheme="minorHAnsi" w:hAnsiTheme="minorHAnsi" w:cstheme="minorHAnsi"/>
                <w:bCs/>
                <w:sz w:val="18"/>
                <w:szCs w:val="18"/>
              </w:rPr>
              <w:t xml:space="preserve"> Gestión integrada del paisaje en la cuenca del río Napo para la </w:t>
            </w:r>
            <w:r w:rsidR="000A54C4">
              <w:rPr>
                <w:rFonts w:asciiTheme="minorHAnsi" w:hAnsiTheme="minorHAnsi" w:cstheme="minorHAnsi"/>
                <w:bCs/>
                <w:sz w:val="18"/>
                <w:szCs w:val="18"/>
              </w:rPr>
              <w:t>Manejo Sostenible de la Tierra</w:t>
            </w:r>
            <w:r w:rsidR="00864D46" w:rsidRPr="00A51E75">
              <w:rPr>
                <w:rFonts w:asciiTheme="minorHAnsi" w:hAnsiTheme="minorHAnsi" w:cstheme="minorHAnsi"/>
                <w:bCs/>
                <w:sz w:val="18"/>
                <w:szCs w:val="18"/>
              </w:rPr>
              <w:t xml:space="preserve"> y la conservación de la biodiversidad - 01002464</w:t>
            </w:r>
          </w:p>
        </w:tc>
      </w:tr>
      <w:tr w:rsidR="007A4A09" w:rsidRPr="00A51E75" w14:paraId="6ED24459" w14:textId="77777777" w:rsidTr="7CD6F03B">
        <w:trPr>
          <w:trHeight w:val="300"/>
        </w:trPr>
        <w:tc>
          <w:tcPr>
            <w:tcW w:w="3727" w:type="dxa"/>
            <w:gridSpan w:val="3"/>
          </w:tcPr>
          <w:p w14:paraId="254E724A" w14:textId="77777777" w:rsidR="008A34CA" w:rsidRPr="00D830D9" w:rsidRDefault="008A34CA" w:rsidP="00A42B51">
            <w:pPr>
              <w:spacing w:after="60"/>
              <w:jc w:val="both"/>
              <w:rPr>
                <w:rFonts w:asciiTheme="minorHAnsi" w:hAnsiTheme="minorHAnsi" w:cstheme="minorHAnsi"/>
                <w:b/>
                <w:sz w:val="18"/>
                <w:szCs w:val="18"/>
                <w:lang w:val="es-EC"/>
              </w:rPr>
            </w:pPr>
            <w:r w:rsidRPr="00A51E75">
              <w:rPr>
                <w:rFonts w:asciiTheme="minorHAnsi" w:hAnsiTheme="minorHAnsi" w:cstheme="minorHAnsi"/>
                <w:b/>
                <w:sz w:val="18"/>
                <w:szCs w:val="18"/>
              </w:rPr>
              <w:t>Indicadores de Objetivo y Resultado</w:t>
            </w:r>
          </w:p>
          <w:p w14:paraId="4D835421" w14:textId="77777777" w:rsidR="008A34CA" w:rsidRPr="00D830D9" w:rsidRDefault="008A34CA" w:rsidP="00A42B51">
            <w:pPr>
              <w:spacing w:after="60"/>
              <w:jc w:val="both"/>
              <w:rPr>
                <w:rFonts w:asciiTheme="minorHAnsi" w:hAnsiTheme="minorHAnsi" w:cstheme="minorHAnsi"/>
                <w:b/>
                <w:sz w:val="18"/>
                <w:szCs w:val="18"/>
                <w:lang w:val="es-EC"/>
              </w:rPr>
            </w:pPr>
            <w:r w:rsidRPr="00A51E75">
              <w:rPr>
                <w:rFonts w:asciiTheme="minorHAnsi" w:hAnsiTheme="minorHAnsi" w:cstheme="minorHAnsi"/>
                <w:b/>
                <w:sz w:val="18"/>
                <w:szCs w:val="18"/>
              </w:rPr>
              <w:t>(no más de 20 indicadores en total)</w:t>
            </w:r>
          </w:p>
        </w:tc>
        <w:tc>
          <w:tcPr>
            <w:tcW w:w="1802" w:type="dxa"/>
            <w:gridSpan w:val="2"/>
            <w:vAlign w:val="center"/>
          </w:tcPr>
          <w:p w14:paraId="423F4842" w14:textId="77777777" w:rsidR="008A34CA" w:rsidRPr="00A51E75" w:rsidRDefault="008A34CA" w:rsidP="00A42B51">
            <w:pPr>
              <w:spacing w:after="60"/>
              <w:jc w:val="center"/>
              <w:rPr>
                <w:rFonts w:asciiTheme="minorHAnsi" w:hAnsiTheme="minorHAnsi" w:cstheme="minorHAnsi"/>
                <w:b/>
                <w:sz w:val="18"/>
                <w:szCs w:val="18"/>
              </w:rPr>
            </w:pPr>
            <w:r w:rsidRPr="00A51E75">
              <w:rPr>
                <w:rFonts w:asciiTheme="minorHAnsi" w:hAnsiTheme="minorHAnsi" w:cstheme="minorHAnsi"/>
                <w:b/>
                <w:sz w:val="18"/>
                <w:szCs w:val="18"/>
              </w:rPr>
              <w:t>Fuente de datos</w:t>
            </w:r>
          </w:p>
        </w:tc>
        <w:tc>
          <w:tcPr>
            <w:tcW w:w="1213" w:type="dxa"/>
            <w:gridSpan w:val="2"/>
            <w:vAlign w:val="center"/>
          </w:tcPr>
          <w:p w14:paraId="10C3F6C1" w14:textId="77777777" w:rsidR="008A34CA" w:rsidRPr="00A51E75" w:rsidRDefault="008A34CA" w:rsidP="00A42B51">
            <w:pPr>
              <w:spacing w:after="60"/>
              <w:jc w:val="center"/>
              <w:rPr>
                <w:rFonts w:asciiTheme="minorHAnsi" w:hAnsiTheme="minorHAnsi" w:cstheme="minorHAnsi"/>
                <w:b/>
                <w:sz w:val="18"/>
                <w:szCs w:val="18"/>
              </w:rPr>
            </w:pPr>
            <w:r w:rsidRPr="00A51E75">
              <w:rPr>
                <w:rFonts w:asciiTheme="minorHAnsi" w:hAnsiTheme="minorHAnsi" w:cstheme="minorHAnsi"/>
                <w:b/>
                <w:sz w:val="18"/>
                <w:szCs w:val="18"/>
              </w:rPr>
              <w:t>Línea base</w:t>
            </w:r>
          </w:p>
        </w:tc>
        <w:tc>
          <w:tcPr>
            <w:tcW w:w="1644" w:type="dxa"/>
            <w:vAlign w:val="center"/>
          </w:tcPr>
          <w:p w14:paraId="48DDF75F" w14:textId="77777777" w:rsidR="008A34CA" w:rsidRPr="00A51E75" w:rsidRDefault="008A34CA" w:rsidP="00A42B51">
            <w:pPr>
              <w:spacing w:after="60"/>
              <w:jc w:val="center"/>
              <w:rPr>
                <w:rFonts w:asciiTheme="minorHAnsi" w:hAnsiTheme="minorHAnsi" w:cstheme="minorHAnsi"/>
                <w:b/>
                <w:sz w:val="18"/>
                <w:szCs w:val="18"/>
              </w:rPr>
            </w:pPr>
            <w:r w:rsidRPr="00A51E75">
              <w:rPr>
                <w:rFonts w:asciiTheme="minorHAnsi" w:hAnsiTheme="minorHAnsi" w:cstheme="minorHAnsi"/>
                <w:b/>
                <w:sz w:val="18"/>
                <w:szCs w:val="18"/>
              </w:rPr>
              <w:t>Objetivo a medio plazo</w:t>
            </w:r>
          </w:p>
        </w:tc>
        <w:tc>
          <w:tcPr>
            <w:tcW w:w="2081" w:type="dxa"/>
            <w:gridSpan w:val="2"/>
            <w:vAlign w:val="center"/>
          </w:tcPr>
          <w:p w14:paraId="0667C644" w14:textId="77777777" w:rsidR="008A34CA" w:rsidRPr="00A51E75" w:rsidRDefault="008A34CA" w:rsidP="00A42B51">
            <w:pPr>
              <w:spacing w:after="60"/>
              <w:jc w:val="center"/>
              <w:rPr>
                <w:rFonts w:asciiTheme="minorHAnsi" w:hAnsiTheme="minorHAnsi" w:cstheme="minorHAnsi"/>
                <w:b/>
                <w:sz w:val="18"/>
                <w:szCs w:val="18"/>
              </w:rPr>
            </w:pPr>
            <w:r w:rsidRPr="00A51E75">
              <w:rPr>
                <w:rFonts w:asciiTheme="minorHAnsi" w:hAnsiTheme="minorHAnsi" w:cstheme="minorHAnsi"/>
                <w:b/>
                <w:sz w:val="18"/>
                <w:szCs w:val="18"/>
              </w:rPr>
              <w:t>Fin del objetivo del proyecto</w:t>
            </w:r>
          </w:p>
        </w:tc>
        <w:tc>
          <w:tcPr>
            <w:tcW w:w="1798" w:type="dxa"/>
            <w:vAlign w:val="center"/>
          </w:tcPr>
          <w:p w14:paraId="562DCE82" w14:textId="77777777" w:rsidR="008A34CA" w:rsidRPr="00A51E75" w:rsidRDefault="008A34CA" w:rsidP="00A42B51">
            <w:pPr>
              <w:spacing w:after="60"/>
              <w:jc w:val="center"/>
              <w:rPr>
                <w:rFonts w:asciiTheme="minorHAnsi" w:hAnsiTheme="minorHAnsi" w:cstheme="minorHAnsi"/>
                <w:b/>
                <w:sz w:val="18"/>
                <w:szCs w:val="18"/>
              </w:rPr>
            </w:pPr>
            <w:r w:rsidRPr="00A51E75">
              <w:rPr>
                <w:rFonts w:asciiTheme="minorHAnsi" w:hAnsiTheme="minorHAnsi" w:cstheme="minorHAnsi"/>
                <w:b/>
                <w:sz w:val="18"/>
                <w:szCs w:val="18"/>
              </w:rPr>
              <w:t>Métodos de recogida de datos</w:t>
            </w:r>
          </w:p>
        </w:tc>
        <w:tc>
          <w:tcPr>
            <w:tcW w:w="2124" w:type="dxa"/>
            <w:vAlign w:val="center"/>
          </w:tcPr>
          <w:p w14:paraId="365826B8" w14:textId="77777777" w:rsidR="008A34CA" w:rsidRPr="00A51E75" w:rsidRDefault="008A34CA" w:rsidP="00A42B51">
            <w:pPr>
              <w:spacing w:after="60"/>
              <w:jc w:val="center"/>
              <w:rPr>
                <w:rFonts w:asciiTheme="minorHAnsi" w:hAnsiTheme="minorHAnsi" w:cstheme="minorHAnsi"/>
                <w:b/>
                <w:sz w:val="18"/>
                <w:szCs w:val="18"/>
              </w:rPr>
            </w:pPr>
            <w:r w:rsidRPr="00A51E75">
              <w:rPr>
                <w:rFonts w:asciiTheme="minorHAnsi" w:hAnsiTheme="minorHAnsi" w:cstheme="minorHAnsi"/>
                <w:b/>
                <w:sz w:val="18"/>
                <w:szCs w:val="18"/>
              </w:rPr>
              <w:t>Riesgos/Suposiciones</w:t>
            </w:r>
          </w:p>
        </w:tc>
      </w:tr>
      <w:tr w:rsidR="00421425" w:rsidRPr="007D4F41" w14:paraId="4B0C7E80" w14:textId="77777777" w:rsidTr="7CD6F03B">
        <w:trPr>
          <w:trHeight w:val="300"/>
        </w:trPr>
        <w:tc>
          <w:tcPr>
            <w:tcW w:w="1583" w:type="dxa"/>
            <w:vMerge w:val="restart"/>
            <w:shd w:val="clear" w:color="auto" w:fill="D0CECE" w:themeFill="background2" w:themeFillShade="E6"/>
          </w:tcPr>
          <w:p w14:paraId="1394EC91" w14:textId="77777777" w:rsidR="008A34CA" w:rsidRPr="00A51E75" w:rsidRDefault="008A34CA"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Objetivo del proyecto:</w:t>
            </w:r>
          </w:p>
          <w:p w14:paraId="53442F3F" w14:textId="77777777" w:rsidR="008A34CA" w:rsidRPr="00A51E75" w:rsidRDefault="008A34CA" w:rsidP="00A42B51">
            <w:pPr>
              <w:spacing w:after="60"/>
              <w:jc w:val="both"/>
              <w:rPr>
                <w:rFonts w:asciiTheme="minorHAnsi" w:hAnsiTheme="minorHAnsi" w:cstheme="minorHAnsi"/>
                <w:b/>
                <w:sz w:val="18"/>
                <w:szCs w:val="18"/>
              </w:rPr>
            </w:pPr>
          </w:p>
          <w:p w14:paraId="79D5630B" w14:textId="77777777" w:rsidR="008A34CA" w:rsidRPr="00A51E75" w:rsidRDefault="008A34CA" w:rsidP="00A42B51">
            <w:pPr>
              <w:spacing w:after="60"/>
              <w:jc w:val="both"/>
              <w:rPr>
                <w:rFonts w:asciiTheme="minorHAnsi" w:hAnsiTheme="minorHAnsi" w:cstheme="minorHAnsi"/>
                <w:b/>
                <w:sz w:val="18"/>
                <w:szCs w:val="18"/>
              </w:rPr>
            </w:pPr>
          </w:p>
          <w:p w14:paraId="0A459110" w14:textId="77777777" w:rsidR="008A34CA" w:rsidRPr="00A51E75" w:rsidRDefault="008A34CA" w:rsidP="00A42B51">
            <w:pPr>
              <w:spacing w:after="60"/>
              <w:jc w:val="both"/>
              <w:rPr>
                <w:rFonts w:asciiTheme="minorHAnsi" w:hAnsiTheme="minorHAnsi" w:cstheme="minorHAnsi"/>
                <w:b/>
                <w:sz w:val="18"/>
                <w:szCs w:val="18"/>
              </w:rPr>
            </w:pPr>
          </w:p>
        </w:tc>
        <w:tc>
          <w:tcPr>
            <w:tcW w:w="12806" w:type="dxa"/>
            <w:gridSpan w:val="11"/>
            <w:shd w:val="clear" w:color="auto" w:fill="D0CECE" w:themeFill="background2" w:themeFillShade="E6"/>
            <w:vAlign w:val="center"/>
          </w:tcPr>
          <w:p w14:paraId="29DAD43A" w14:textId="5A3F1D10" w:rsidR="008A34CA" w:rsidRPr="00D830D9" w:rsidRDefault="00044A47" w:rsidP="00A42B51">
            <w:pPr>
              <w:spacing w:after="60"/>
              <w:rPr>
                <w:rFonts w:asciiTheme="minorHAnsi" w:hAnsiTheme="minorHAnsi" w:cstheme="minorHAnsi"/>
                <w:sz w:val="18"/>
                <w:szCs w:val="18"/>
                <w:lang w:val="es-EC"/>
              </w:rPr>
            </w:pPr>
            <w:r w:rsidRPr="00A51E75">
              <w:rPr>
                <w:rFonts w:asciiTheme="minorHAnsi" w:hAnsiTheme="minorHAnsi" w:cstheme="minorHAnsi"/>
                <w:color w:val="000000"/>
                <w:sz w:val="18"/>
                <w:szCs w:val="18"/>
              </w:rPr>
              <w:t xml:space="preserve">Contribuir a la gestión integrada del paisaje para un uso sostenible de la tierra, la </w:t>
            </w:r>
            <w:r w:rsidR="000A54C4">
              <w:rPr>
                <w:rFonts w:asciiTheme="minorHAnsi" w:hAnsiTheme="minorHAnsi" w:cstheme="minorHAnsi"/>
                <w:color w:val="000000"/>
                <w:sz w:val="18"/>
                <w:szCs w:val="18"/>
              </w:rPr>
              <w:t xml:space="preserve">Manejo Forestal Sostenible </w:t>
            </w:r>
            <w:r w:rsidRPr="00A51E75">
              <w:rPr>
                <w:rFonts w:asciiTheme="minorHAnsi" w:hAnsiTheme="minorHAnsi" w:cstheme="minorHAnsi"/>
                <w:color w:val="000000"/>
                <w:sz w:val="18"/>
                <w:szCs w:val="18"/>
              </w:rPr>
              <w:t>y la gestión integrada de los recursos hídricos mediante la diversificación de medios de vida, la mejora de la eficiencia del sistema productivo y la conservación de los ecosistemas y la biodiversidad en la cuenca del río Napo.</w:t>
            </w:r>
          </w:p>
        </w:tc>
      </w:tr>
      <w:tr w:rsidR="00FB5CC4" w:rsidRPr="007D4F41" w14:paraId="1C10FCC0" w14:textId="77777777" w:rsidTr="7CD6F03B">
        <w:trPr>
          <w:trHeight w:val="300"/>
        </w:trPr>
        <w:tc>
          <w:tcPr>
            <w:tcW w:w="1583" w:type="dxa"/>
            <w:vMerge/>
          </w:tcPr>
          <w:p w14:paraId="395DCEA4" w14:textId="77777777" w:rsidR="00044A47" w:rsidRPr="00D830D9" w:rsidRDefault="00044A47" w:rsidP="00044A47">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1F59A9B1" w14:textId="5BDFCA75" w:rsidR="00044A47" w:rsidRPr="00D830D9" w:rsidRDefault="62479912" w:rsidP="2060F1F7">
            <w:pPr>
              <w:rPr>
                <w:rFonts w:asciiTheme="minorHAnsi" w:hAnsiTheme="minorHAnsi" w:cstheme="minorBidi"/>
                <w:sz w:val="18"/>
                <w:szCs w:val="18"/>
                <w:lang w:val="es-EC"/>
              </w:rPr>
            </w:pPr>
            <w:r w:rsidRPr="00A51E75">
              <w:rPr>
                <w:rFonts w:asciiTheme="minorHAnsi" w:hAnsiTheme="minorHAnsi" w:cstheme="minorBidi"/>
                <w:sz w:val="18"/>
                <w:szCs w:val="18"/>
              </w:rPr>
              <w:t xml:space="preserve">Indicador 1: Número de personas que se benefician de inversiones financiadas por el </w:t>
            </w:r>
            <w:r w:rsidR="00BC67C3">
              <w:rPr>
                <w:rFonts w:asciiTheme="minorHAnsi" w:hAnsiTheme="minorHAnsi" w:cstheme="minorBidi"/>
                <w:sz w:val="18"/>
                <w:szCs w:val="18"/>
              </w:rPr>
              <w:t>FMAM</w:t>
            </w:r>
          </w:p>
          <w:p w14:paraId="4DCFAE49" w14:textId="77777777" w:rsidR="00044A47" w:rsidRPr="00D830D9" w:rsidRDefault="00044A47" w:rsidP="00044A47">
            <w:pPr>
              <w:rPr>
                <w:rFonts w:asciiTheme="minorHAnsi" w:hAnsiTheme="minorHAnsi" w:cstheme="minorHAnsi"/>
                <w:sz w:val="18"/>
                <w:szCs w:val="18"/>
                <w:lang w:val="es-EC"/>
              </w:rPr>
            </w:pPr>
          </w:p>
          <w:p w14:paraId="711C7C1C" w14:textId="5FE6414D" w:rsidR="00044A47" w:rsidRPr="00A51E75" w:rsidRDefault="00BC67C3" w:rsidP="00044A47">
            <w:pPr>
              <w:rPr>
                <w:rFonts w:asciiTheme="minorHAnsi" w:hAnsiTheme="minorHAnsi" w:cstheme="minorHAnsi"/>
                <w:sz w:val="18"/>
                <w:szCs w:val="18"/>
                <w:lang w:val="it-IT"/>
              </w:rPr>
            </w:pPr>
            <w:r>
              <w:rPr>
                <w:rFonts w:asciiTheme="minorHAnsi" w:hAnsiTheme="minorHAnsi" w:cstheme="minorHAnsi"/>
                <w:sz w:val="18"/>
                <w:szCs w:val="18"/>
                <w:lang w:val="pt-BR"/>
              </w:rPr>
              <w:t>FMAM</w:t>
            </w:r>
            <w:r w:rsidR="00044A47" w:rsidRPr="00D830D9">
              <w:rPr>
                <w:rFonts w:asciiTheme="minorHAnsi" w:hAnsiTheme="minorHAnsi" w:cstheme="minorHAnsi"/>
                <w:sz w:val="18"/>
                <w:szCs w:val="18"/>
                <w:lang w:val="pt-BR"/>
              </w:rPr>
              <w:t xml:space="preserve"> </w:t>
            </w:r>
            <w:r w:rsidR="00A60D5B">
              <w:rPr>
                <w:rFonts w:asciiTheme="minorHAnsi" w:hAnsiTheme="minorHAnsi" w:cstheme="minorHAnsi"/>
                <w:sz w:val="18"/>
                <w:szCs w:val="18"/>
                <w:lang w:val="pt-BR"/>
              </w:rPr>
              <w:t xml:space="preserve">IC </w:t>
            </w:r>
            <w:r w:rsidR="00044A47" w:rsidRPr="00D830D9">
              <w:rPr>
                <w:rFonts w:asciiTheme="minorHAnsi" w:hAnsiTheme="minorHAnsi" w:cstheme="minorHAnsi"/>
                <w:sz w:val="18"/>
                <w:szCs w:val="18"/>
                <w:lang w:val="pt-BR"/>
              </w:rPr>
              <w:t xml:space="preserve">11: Subindicadores </w:t>
            </w:r>
            <w:r w:rsidR="00A60D5B">
              <w:rPr>
                <w:rFonts w:asciiTheme="minorHAnsi" w:hAnsiTheme="minorHAnsi" w:cstheme="minorHAnsi"/>
                <w:sz w:val="18"/>
                <w:szCs w:val="18"/>
                <w:lang w:val="pt-BR"/>
              </w:rPr>
              <w:t xml:space="preserve">IC </w:t>
            </w:r>
            <w:r w:rsidR="00044A47" w:rsidRPr="00D830D9">
              <w:rPr>
                <w:rFonts w:asciiTheme="minorHAnsi" w:hAnsiTheme="minorHAnsi" w:cstheme="minorHAnsi"/>
                <w:sz w:val="18"/>
                <w:szCs w:val="18"/>
                <w:lang w:val="pt-BR"/>
              </w:rPr>
              <w:t xml:space="preserve">11.1 e </w:t>
            </w:r>
            <w:r w:rsidR="00A60D5B">
              <w:rPr>
                <w:rFonts w:asciiTheme="minorHAnsi" w:hAnsiTheme="minorHAnsi" w:cstheme="minorHAnsi"/>
                <w:sz w:val="18"/>
                <w:szCs w:val="18"/>
                <w:lang w:val="pt-BR"/>
              </w:rPr>
              <w:t xml:space="preserve">IC </w:t>
            </w:r>
            <w:r w:rsidR="00044A47" w:rsidRPr="00D830D9">
              <w:rPr>
                <w:rFonts w:asciiTheme="minorHAnsi" w:hAnsiTheme="minorHAnsi" w:cstheme="minorHAnsi"/>
                <w:sz w:val="18"/>
                <w:szCs w:val="18"/>
                <w:lang w:val="pt-BR"/>
              </w:rPr>
              <w:t xml:space="preserve">11.2 </w:t>
            </w:r>
          </w:p>
        </w:tc>
        <w:tc>
          <w:tcPr>
            <w:tcW w:w="1802" w:type="dxa"/>
            <w:gridSpan w:val="2"/>
          </w:tcPr>
          <w:p w14:paraId="3768CDEC" w14:textId="5CD30C18" w:rsidR="00044A47" w:rsidRPr="00D830D9" w:rsidRDefault="5D70E5EF" w:rsidP="7E64DCD5">
            <w:pPr>
              <w:spacing w:after="60"/>
              <w:rPr>
                <w:rFonts w:asciiTheme="minorHAnsi" w:hAnsiTheme="minorHAnsi" w:cstheme="minorBidi"/>
                <w:sz w:val="18"/>
                <w:szCs w:val="18"/>
                <w:lang w:val="es-EC"/>
              </w:rPr>
            </w:pPr>
            <w:r w:rsidRPr="00D830D9">
              <w:rPr>
                <w:rFonts w:asciiTheme="minorHAnsi" w:hAnsiTheme="minorHAnsi" w:cstheme="minorBidi"/>
                <w:sz w:val="18"/>
                <w:szCs w:val="18"/>
                <w:lang w:val="pt-BR"/>
              </w:rPr>
              <w:t xml:space="preserve"> </w:t>
            </w:r>
            <w:r w:rsidRPr="00A51E75">
              <w:rPr>
                <w:rFonts w:asciiTheme="minorHAnsi" w:hAnsiTheme="minorHAnsi" w:cstheme="minorBidi"/>
                <w:sz w:val="18"/>
                <w:szCs w:val="18"/>
              </w:rPr>
              <w:t>Participación en la gobernanza (IC: 250 personas, 40% mujeres): registros de asistencia, actas de reuniones, invitaciones, informes institucionales. Formación en gestión forestal y de biodiversidad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11: 961 personas, 40% mujeres): listas de asistencia, certificados de formación, encuestas posteriores a la formación. Producción sostenible con enfoque de género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11: 3.265 personas, 40% mujeres): Listas de beneficiarios, informes de formadores, encuestas de seguimiento. Acceso a mecanismos financieros y proyectos productivos vinculados a los Planes de Vida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 2.200 personas, 40% mujeres): </w:t>
            </w:r>
            <w:r w:rsidRPr="00A51E75">
              <w:rPr>
                <w:rFonts w:asciiTheme="minorHAnsi" w:hAnsiTheme="minorHAnsi" w:cstheme="minorBidi"/>
                <w:sz w:val="18"/>
                <w:szCs w:val="18"/>
              </w:rPr>
              <w:lastRenderedPageBreak/>
              <w:t>registros de desembolso, contratos de financiación, informes de impacto económico. Sistemas de monitorización y estrategias de comunicación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 1.000 personas, 40% mujeres): informes de implementación, registros de acceso, encuestas de percepción. </w:t>
            </w:r>
          </w:p>
        </w:tc>
        <w:tc>
          <w:tcPr>
            <w:tcW w:w="1213" w:type="dxa"/>
            <w:gridSpan w:val="2"/>
          </w:tcPr>
          <w:p w14:paraId="4AB0B046" w14:textId="5C1E3104" w:rsidR="00044A47" w:rsidRPr="00A51E75" w:rsidRDefault="00044A47" w:rsidP="00044A47">
            <w:pPr>
              <w:spacing w:after="60"/>
              <w:rPr>
                <w:rFonts w:asciiTheme="minorHAnsi" w:hAnsiTheme="minorHAnsi" w:cstheme="minorHAnsi"/>
                <w:sz w:val="18"/>
                <w:szCs w:val="18"/>
              </w:rPr>
            </w:pPr>
            <w:r w:rsidRPr="00A51E75">
              <w:rPr>
                <w:rFonts w:asciiTheme="minorHAnsi" w:hAnsiTheme="minorHAnsi" w:cstheme="minorHAnsi"/>
                <w:sz w:val="18"/>
                <w:szCs w:val="18"/>
              </w:rPr>
              <w:lastRenderedPageBreak/>
              <w:t xml:space="preserve"> 0 </w:t>
            </w:r>
          </w:p>
        </w:tc>
        <w:tc>
          <w:tcPr>
            <w:tcW w:w="1644" w:type="dxa"/>
          </w:tcPr>
          <w:p w14:paraId="77674997" w14:textId="1EB42378" w:rsidR="00044A47" w:rsidRPr="00A51E75" w:rsidRDefault="00044A47" w:rsidP="00044A47">
            <w:pPr>
              <w:spacing w:after="60"/>
              <w:rPr>
                <w:rFonts w:asciiTheme="minorHAnsi" w:hAnsiTheme="minorHAnsi" w:cstheme="minorHAnsi"/>
                <w:sz w:val="18"/>
                <w:szCs w:val="18"/>
              </w:rPr>
            </w:pPr>
            <w:r w:rsidRPr="00A51E75">
              <w:rPr>
                <w:rFonts w:asciiTheme="minorHAnsi" w:hAnsiTheme="minorHAnsi" w:cstheme="minorHAnsi"/>
                <w:sz w:val="18"/>
                <w:szCs w:val="18"/>
              </w:rPr>
              <w:t xml:space="preserve"> 3.800 (40% mujeres) </w:t>
            </w:r>
          </w:p>
        </w:tc>
        <w:tc>
          <w:tcPr>
            <w:tcW w:w="2081" w:type="dxa"/>
            <w:gridSpan w:val="2"/>
          </w:tcPr>
          <w:p w14:paraId="507F0FBA" w14:textId="38DA5932" w:rsidR="00044A47" w:rsidRPr="00A51E75" w:rsidRDefault="00044A47" w:rsidP="00044A47">
            <w:pPr>
              <w:spacing w:after="60"/>
              <w:rPr>
                <w:rFonts w:asciiTheme="minorHAnsi" w:hAnsiTheme="minorHAnsi" w:cstheme="minorHAnsi"/>
                <w:sz w:val="18"/>
                <w:szCs w:val="18"/>
              </w:rPr>
            </w:pPr>
            <w:r w:rsidRPr="00A51E75">
              <w:rPr>
                <w:rFonts w:asciiTheme="minorHAnsi" w:hAnsiTheme="minorHAnsi" w:cstheme="minorHAnsi"/>
                <w:sz w:val="18"/>
                <w:szCs w:val="18"/>
              </w:rPr>
              <w:t xml:space="preserve"> 7.676 (40% mujeres) </w:t>
            </w:r>
          </w:p>
        </w:tc>
        <w:tc>
          <w:tcPr>
            <w:tcW w:w="1798" w:type="dxa"/>
          </w:tcPr>
          <w:p w14:paraId="570462D9" w14:textId="77777777" w:rsidR="007A4A09" w:rsidRPr="00D830D9" w:rsidRDefault="00044A47" w:rsidP="00044A47">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Métodos mixtos por componente:</w:t>
            </w:r>
          </w:p>
          <w:p w14:paraId="2742DF99" w14:textId="4B88B7EA" w:rsidR="007A4A09" w:rsidRPr="00D830D9" w:rsidRDefault="00044A47" w:rsidP="00044A47">
            <w:pPr>
              <w:spacing w:after="60"/>
              <w:rPr>
                <w:rFonts w:asciiTheme="minorHAnsi" w:hAnsiTheme="minorHAnsi" w:cstheme="minorHAnsi"/>
                <w:sz w:val="18"/>
                <w:szCs w:val="18"/>
                <w:lang w:val="es-EC"/>
              </w:rPr>
            </w:pPr>
            <w:r w:rsidRPr="00A51E75">
              <w:rPr>
                <w:rFonts w:asciiTheme="minorHAnsi" w:hAnsiTheme="minorHAnsi" w:cstheme="minorHAnsi"/>
                <w:sz w:val="18"/>
                <w:szCs w:val="18"/>
              </w:rPr>
              <w:t>– Encuestas de participación, análisis de gobernanza de género, revisiones de acuerdos.</w:t>
            </w:r>
          </w:p>
          <w:p w14:paraId="66602DA0" w14:textId="77777777" w:rsidR="007A4A09" w:rsidRPr="00D830D9" w:rsidRDefault="00044A47" w:rsidP="00044A47">
            <w:pPr>
              <w:spacing w:after="60"/>
              <w:rPr>
                <w:rFonts w:asciiTheme="minorHAnsi" w:hAnsiTheme="minorHAnsi" w:cstheme="minorHAnsi"/>
                <w:sz w:val="18"/>
                <w:szCs w:val="18"/>
                <w:lang w:val="es-EC"/>
              </w:rPr>
            </w:pPr>
            <w:r w:rsidRPr="00A51E75">
              <w:rPr>
                <w:rFonts w:asciiTheme="minorHAnsi" w:hAnsiTheme="minorHAnsi" w:cstheme="minorHAnsi"/>
                <w:sz w:val="18"/>
                <w:szCs w:val="18"/>
              </w:rPr>
              <w:t>– Registros de participantes por género, evaluación del conocimiento adquirido. – Registros específicos de género/sector, evaluaciones de adopción.</w:t>
            </w:r>
          </w:p>
          <w:p w14:paraId="66641D19" w14:textId="77777777" w:rsidR="007A4A09" w:rsidRPr="00D830D9" w:rsidRDefault="00044A47" w:rsidP="00044A47">
            <w:pPr>
              <w:spacing w:after="60"/>
              <w:rPr>
                <w:rFonts w:asciiTheme="minorHAnsi" w:hAnsiTheme="minorHAnsi" w:cstheme="minorHAnsi"/>
                <w:sz w:val="18"/>
                <w:szCs w:val="18"/>
                <w:lang w:val="es-EC"/>
              </w:rPr>
            </w:pPr>
            <w:r w:rsidRPr="00A51E75">
              <w:rPr>
                <w:rFonts w:asciiTheme="minorHAnsi" w:hAnsiTheme="minorHAnsi" w:cstheme="minorHAnsi"/>
                <w:sz w:val="18"/>
                <w:szCs w:val="18"/>
              </w:rPr>
              <w:t>– Encuestas de seguimiento sobre acceso y uso financiero.</w:t>
            </w:r>
          </w:p>
          <w:p w14:paraId="42A9EF35" w14:textId="12C338BB" w:rsidR="00044A47" w:rsidRPr="00D830D9" w:rsidRDefault="00044A47" w:rsidP="00044A47">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Monitorizar el uso de datos de la plataforma, análisis y evaluación de impacto en la toma de decisiones. </w:t>
            </w:r>
          </w:p>
        </w:tc>
        <w:tc>
          <w:tcPr>
            <w:tcW w:w="2124" w:type="dxa"/>
          </w:tcPr>
          <w:p w14:paraId="57068EB8" w14:textId="77777777" w:rsidR="00044A47" w:rsidRPr="00D830D9" w:rsidRDefault="00044A47" w:rsidP="00044A47">
            <w:pPr>
              <w:rPr>
                <w:rFonts w:asciiTheme="minorHAnsi" w:hAnsiTheme="minorHAnsi" w:cstheme="minorHAnsi"/>
                <w:sz w:val="18"/>
                <w:szCs w:val="18"/>
                <w:lang w:val="es-EC"/>
              </w:rPr>
            </w:pPr>
            <w:r w:rsidRPr="00A51E75">
              <w:rPr>
                <w:rFonts w:asciiTheme="minorHAnsi" w:hAnsiTheme="minorHAnsi" w:cstheme="minorHAnsi"/>
                <w:sz w:val="18"/>
                <w:szCs w:val="18"/>
              </w:rPr>
              <w:t xml:space="preserve"> Riesgos: Coordinación institucional débil; baja participación femenina; resistencia cultural al cambio; barreras al acceso al mercado y financiero; Adopción limitada de tecnología debido a las brechas de capacidad/conectividad.</w:t>
            </w:r>
          </w:p>
          <w:p w14:paraId="319E17AA" w14:textId="77777777" w:rsidR="00044A47" w:rsidRPr="00D830D9" w:rsidRDefault="00044A47" w:rsidP="00044A47">
            <w:pPr>
              <w:rPr>
                <w:rFonts w:asciiTheme="minorHAnsi" w:hAnsiTheme="minorHAnsi" w:cstheme="minorHAnsi"/>
                <w:sz w:val="18"/>
                <w:szCs w:val="18"/>
                <w:lang w:val="es-EC"/>
              </w:rPr>
            </w:pPr>
          </w:p>
          <w:p w14:paraId="0F7524C9" w14:textId="18FEA10A" w:rsidR="00044A47" w:rsidRPr="00D830D9" w:rsidRDefault="00044A47" w:rsidP="00044A47">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Suposiciones: </w:t>
            </w:r>
            <w:proofErr w:type="gramStart"/>
            <w:r w:rsidRPr="00A51E75">
              <w:rPr>
                <w:rFonts w:asciiTheme="minorHAnsi" w:hAnsiTheme="minorHAnsi" w:cstheme="minorHAnsi"/>
                <w:sz w:val="18"/>
                <w:szCs w:val="18"/>
              </w:rPr>
              <w:t>Participación activa</w:t>
            </w:r>
            <w:proofErr w:type="gramEnd"/>
            <w:r w:rsidRPr="00A51E75">
              <w:rPr>
                <w:rFonts w:asciiTheme="minorHAnsi" w:hAnsiTheme="minorHAnsi" w:cstheme="minorHAnsi"/>
                <w:sz w:val="18"/>
                <w:szCs w:val="18"/>
              </w:rPr>
              <w:t xml:space="preserve"> local e inclusión de las mujeres en la gobernanza; formación e incentivos culturalmente apropiados; esquemas financieros inclusivos con apoyo de capacidad; sistemas accesibles de monitorización y comunicación respaldados por instituciones clave.</w:t>
            </w:r>
          </w:p>
        </w:tc>
      </w:tr>
      <w:tr w:rsidR="00DB71AF" w:rsidRPr="007D4F41" w14:paraId="276B5F80" w14:textId="77777777" w:rsidTr="7CD6F03B">
        <w:trPr>
          <w:trHeight w:val="300"/>
        </w:trPr>
        <w:tc>
          <w:tcPr>
            <w:tcW w:w="1583" w:type="dxa"/>
            <w:vMerge/>
          </w:tcPr>
          <w:p w14:paraId="52BD2166"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7B74ACA9" w14:textId="6C8FC157" w:rsidR="00DB71AF" w:rsidRPr="00D830D9" w:rsidRDefault="00DB71AF" w:rsidP="00DB71AF">
            <w:pPr>
              <w:rPr>
                <w:rFonts w:asciiTheme="minorHAnsi" w:hAnsiTheme="minorHAnsi" w:cstheme="minorBidi"/>
                <w:sz w:val="18"/>
                <w:szCs w:val="18"/>
                <w:lang w:val="es-EC"/>
              </w:rPr>
            </w:pPr>
            <w:r w:rsidRPr="00A51E75">
              <w:rPr>
                <w:rFonts w:asciiTheme="minorHAnsi" w:hAnsiTheme="minorHAnsi" w:cstheme="minorBidi"/>
                <w:sz w:val="18"/>
                <w:szCs w:val="18"/>
              </w:rPr>
              <w:t>Indicador 2: Áreas protegidas terrestres creadas o bajo gestión mejorada (hectáreas)</w:t>
            </w:r>
          </w:p>
          <w:p w14:paraId="4610B9CB" w14:textId="77777777" w:rsidR="00DB71AF" w:rsidRPr="00D830D9" w:rsidRDefault="00DB71AF" w:rsidP="00DB71AF">
            <w:pPr>
              <w:rPr>
                <w:rFonts w:asciiTheme="minorHAnsi" w:hAnsiTheme="minorHAnsi" w:cstheme="minorHAnsi"/>
                <w:sz w:val="18"/>
                <w:szCs w:val="18"/>
                <w:lang w:val="es-EC"/>
              </w:rPr>
            </w:pPr>
          </w:p>
          <w:p w14:paraId="3CB7231E" w14:textId="4F7F04CA" w:rsidR="00DB71AF" w:rsidRPr="00A51E75" w:rsidRDefault="00BC67C3" w:rsidP="00DB71AF">
            <w:pPr>
              <w:rPr>
                <w:rFonts w:asciiTheme="minorHAnsi" w:hAnsiTheme="minorHAnsi" w:cstheme="minorHAnsi"/>
                <w:sz w:val="18"/>
                <w:szCs w:val="18"/>
                <w:lang w:val="it-IT"/>
              </w:rPr>
            </w:pPr>
            <w:r>
              <w:rPr>
                <w:rFonts w:asciiTheme="minorHAnsi" w:hAnsiTheme="minorHAnsi" w:cstheme="minorHAnsi"/>
                <w:sz w:val="18"/>
                <w:szCs w:val="18"/>
              </w:rPr>
              <w:t>FMAM</w:t>
            </w:r>
            <w:r w:rsidR="00DB71AF" w:rsidRPr="00A51E75">
              <w:rPr>
                <w:rFonts w:asciiTheme="minorHAnsi" w:hAnsiTheme="minorHAnsi" w:cstheme="minorHAnsi"/>
                <w:sz w:val="18"/>
                <w:szCs w:val="18"/>
              </w:rPr>
              <w:t xml:space="preserve"> </w:t>
            </w:r>
            <w:r w:rsidR="00A60D5B">
              <w:rPr>
                <w:rFonts w:asciiTheme="minorHAnsi" w:hAnsiTheme="minorHAnsi" w:cstheme="minorHAnsi"/>
                <w:sz w:val="18"/>
                <w:szCs w:val="18"/>
              </w:rPr>
              <w:t xml:space="preserve">IC </w:t>
            </w:r>
            <w:r w:rsidR="00DB71AF" w:rsidRPr="00A51E75">
              <w:rPr>
                <w:rFonts w:asciiTheme="minorHAnsi" w:hAnsiTheme="minorHAnsi" w:cstheme="minorHAnsi"/>
                <w:sz w:val="18"/>
                <w:szCs w:val="18"/>
              </w:rPr>
              <w:t xml:space="preserve">1: </w:t>
            </w:r>
            <w:r w:rsidR="00A60D5B">
              <w:rPr>
                <w:rFonts w:asciiTheme="minorHAnsi" w:hAnsiTheme="minorHAnsi" w:cstheme="minorHAnsi"/>
                <w:sz w:val="18"/>
                <w:szCs w:val="18"/>
              </w:rPr>
              <w:t xml:space="preserve">IC </w:t>
            </w:r>
            <w:r w:rsidR="00DB71AF" w:rsidRPr="00A51E75">
              <w:rPr>
                <w:rFonts w:asciiTheme="minorHAnsi" w:hAnsiTheme="minorHAnsi" w:cstheme="minorHAnsi"/>
                <w:sz w:val="18"/>
                <w:szCs w:val="18"/>
              </w:rPr>
              <w:t xml:space="preserve">1.1. y </w:t>
            </w:r>
            <w:r w:rsidR="00A60D5B">
              <w:rPr>
                <w:rFonts w:asciiTheme="minorHAnsi" w:hAnsiTheme="minorHAnsi" w:cstheme="minorHAnsi"/>
                <w:sz w:val="18"/>
                <w:szCs w:val="18"/>
              </w:rPr>
              <w:t xml:space="preserve">IC </w:t>
            </w:r>
            <w:r w:rsidR="00DB71AF" w:rsidRPr="00A51E75">
              <w:rPr>
                <w:rFonts w:asciiTheme="minorHAnsi" w:hAnsiTheme="minorHAnsi" w:cstheme="minorHAnsi"/>
                <w:sz w:val="18"/>
                <w:szCs w:val="18"/>
              </w:rPr>
              <w:t xml:space="preserve">1.2. </w:t>
            </w:r>
          </w:p>
        </w:tc>
        <w:tc>
          <w:tcPr>
            <w:tcW w:w="1802" w:type="dxa"/>
            <w:gridSpan w:val="2"/>
          </w:tcPr>
          <w:p w14:paraId="513C85EF" w14:textId="5785D264" w:rsidR="00DB71AF" w:rsidRPr="00D830D9" w:rsidRDefault="23919315" w:rsidP="7CD6F03B">
            <w:pPr>
              <w:contextualSpacing/>
              <w:rPr>
                <w:rFonts w:asciiTheme="minorHAnsi" w:hAnsiTheme="minorHAnsi" w:cstheme="minorBidi"/>
                <w:sz w:val="18"/>
                <w:szCs w:val="18"/>
                <w:lang w:val="es-EC"/>
              </w:rPr>
            </w:pPr>
            <w:r w:rsidRPr="7CD6F03B">
              <w:rPr>
                <w:rFonts w:asciiTheme="minorHAnsi" w:hAnsiTheme="minorHAnsi" w:cstheme="minorBidi"/>
                <w:sz w:val="18"/>
                <w:szCs w:val="18"/>
              </w:rPr>
              <w:t xml:space="preserve"> Datos oficiales de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Bases de datos espaciales y administrativas relacionadas con: bosques protectores, Áreas de Protección del Agua (APH), Áreas de Conservación y Uso Sostenible (ACUS), Patrimonio Forestal Estatal (PSB), especies en peligro y áreas prioritarias de restauración. La línea base y la priorización utilizarán METT (Management Effectiveness Tracking Tool) u otros métodos reconocidos (por ejemplo, la Lista Verde de la UICN IBEX). </w:t>
            </w:r>
          </w:p>
          <w:p w14:paraId="4F6360DB" w14:textId="77777777" w:rsidR="004C7896" w:rsidRPr="00D830D9" w:rsidRDefault="004C7896" w:rsidP="004C7896">
            <w:pPr>
              <w:rPr>
                <w:rFonts w:asciiTheme="minorHAnsi" w:hAnsiTheme="minorHAnsi" w:cstheme="minorBidi"/>
                <w:sz w:val="18"/>
                <w:szCs w:val="18"/>
                <w:lang w:val="es-EC"/>
              </w:rPr>
            </w:pPr>
          </w:p>
          <w:p w14:paraId="19EB1212" w14:textId="0DE23832" w:rsidR="004C7896" w:rsidRPr="00D830D9" w:rsidRDefault="4E8F57CC" w:rsidP="7CD6F03B">
            <w:pPr>
              <w:rPr>
                <w:rFonts w:asciiTheme="minorHAnsi" w:hAnsiTheme="minorHAnsi" w:cstheme="minorBidi"/>
                <w:sz w:val="18"/>
                <w:szCs w:val="18"/>
                <w:lang w:val="es-EC"/>
              </w:rPr>
            </w:pPr>
            <w:r w:rsidRPr="7CD6F03B">
              <w:rPr>
                <w:rFonts w:asciiTheme="minorHAnsi" w:hAnsiTheme="minorHAnsi" w:cstheme="minorBidi"/>
                <w:b/>
                <w:bCs/>
                <w:sz w:val="18"/>
                <w:szCs w:val="18"/>
              </w:rPr>
              <w:lastRenderedPageBreak/>
              <w:t xml:space="preserve">Nota: </w:t>
            </w:r>
            <w:r w:rsidRPr="7CD6F03B">
              <w:rPr>
                <w:rFonts w:asciiTheme="minorHAnsi" w:hAnsiTheme="minorHAnsi" w:cstheme="minorBidi"/>
                <w:sz w:val="18"/>
                <w:szCs w:val="18"/>
              </w:rPr>
              <w:t xml:space="preserve">Un subconjunto final de estas áreas será seleccionado en consulta con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en función de la preparación, la cofinanciación y la viabilidad operativa. El proyecto repetirá la línea base de METT en el primer año para los sitios seleccionados para validar el objetivo de mejora del ≥15%.</w:t>
            </w:r>
          </w:p>
          <w:p w14:paraId="58CB004D" w14:textId="2CDB2FBD" w:rsidR="004C7896" w:rsidRPr="00D830D9" w:rsidRDefault="004C7896" w:rsidP="00DB71AF">
            <w:pPr>
              <w:contextualSpacing/>
              <w:rPr>
                <w:rFonts w:asciiTheme="minorHAnsi" w:hAnsiTheme="minorHAnsi" w:cstheme="minorBidi"/>
                <w:sz w:val="18"/>
                <w:szCs w:val="18"/>
                <w:lang w:val="es-EC"/>
              </w:rPr>
            </w:pPr>
          </w:p>
        </w:tc>
        <w:tc>
          <w:tcPr>
            <w:tcW w:w="1213" w:type="dxa"/>
            <w:gridSpan w:val="2"/>
          </w:tcPr>
          <w:p w14:paraId="6201B318" w14:textId="77777777" w:rsidR="00DB71AF" w:rsidRPr="00A51E75" w:rsidRDefault="00DB71AF" w:rsidP="00DB71AF">
            <w:pPr>
              <w:contextualSpacing/>
              <w:rPr>
                <w:rFonts w:asciiTheme="minorHAnsi" w:hAnsiTheme="minorHAnsi" w:cstheme="minorHAnsi"/>
                <w:sz w:val="18"/>
                <w:szCs w:val="18"/>
                <w:lang w:val="en-US"/>
              </w:rPr>
            </w:pPr>
            <w:r w:rsidRPr="00A51E75">
              <w:rPr>
                <w:rFonts w:asciiTheme="minorHAnsi" w:hAnsiTheme="minorHAnsi" w:cstheme="minorHAnsi"/>
                <w:sz w:val="18"/>
                <w:szCs w:val="18"/>
              </w:rPr>
              <w:lastRenderedPageBreak/>
              <w:t xml:space="preserve"> 0 </w:t>
            </w:r>
          </w:p>
          <w:p w14:paraId="275DFCC1" w14:textId="77777777" w:rsidR="000572D7" w:rsidRPr="00A51E75" w:rsidRDefault="000572D7" w:rsidP="00DB71AF">
            <w:pPr>
              <w:contextualSpacing/>
              <w:rPr>
                <w:rFonts w:asciiTheme="minorHAnsi" w:hAnsiTheme="minorHAnsi" w:cstheme="minorHAnsi"/>
                <w:sz w:val="18"/>
                <w:szCs w:val="18"/>
              </w:rPr>
            </w:pPr>
          </w:p>
          <w:p w14:paraId="0A26C4DC" w14:textId="3A2073E0" w:rsidR="000572D7" w:rsidRPr="00A51E75" w:rsidRDefault="000572D7" w:rsidP="00DB71AF">
            <w:pPr>
              <w:contextualSpacing/>
              <w:rPr>
                <w:rFonts w:asciiTheme="minorHAnsi" w:hAnsiTheme="minorHAnsi" w:cstheme="minorHAnsi"/>
                <w:sz w:val="18"/>
                <w:szCs w:val="18"/>
              </w:rPr>
            </w:pPr>
          </w:p>
        </w:tc>
        <w:tc>
          <w:tcPr>
            <w:tcW w:w="1644" w:type="dxa"/>
          </w:tcPr>
          <w:p w14:paraId="348D721D" w14:textId="5C0FE86C" w:rsidR="000572D7" w:rsidRPr="00D830D9" w:rsidRDefault="000572D7" w:rsidP="00DB71AF">
            <w:pPr>
              <w:rPr>
                <w:rFonts w:ascii="Calibri" w:hAnsi="Calibri" w:cs="Calibri"/>
                <w:color w:val="000000"/>
                <w:sz w:val="18"/>
                <w:szCs w:val="18"/>
                <w:lang w:val="es-EC"/>
              </w:rPr>
            </w:pPr>
            <w:r w:rsidRPr="00A51E75">
              <w:rPr>
                <w:rFonts w:ascii="Calibri" w:hAnsi="Calibri" w:cs="Calibri"/>
                <w:color w:val="000000"/>
                <w:sz w:val="18"/>
                <w:szCs w:val="18"/>
              </w:rPr>
              <w:t>Al menos 25.000 hectáreas de nuevas áreas protegidas declaradas oficialmente.</w:t>
            </w:r>
            <w:r w:rsidRPr="00A51E75">
              <w:rPr>
                <w:rFonts w:ascii="Calibri" w:hAnsi="Calibri" w:cs="Calibri"/>
                <w:color w:val="000000"/>
                <w:sz w:val="18"/>
                <w:szCs w:val="18"/>
              </w:rPr>
              <w:br/>
            </w:r>
          </w:p>
          <w:p w14:paraId="72B4A1D2" w14:textId="29CE4F08" w:rsidR="000572D7" w:rsidRPr="00D830D9" w:rsidRDefault="000572D7" w:rsidP="00DB71AF">
            <w:pPr>
              <w:rPr>
                <w:rFonts w:asciiTheme="minorHAnsi" w:hAnsiTheme="minorHAnsi" w:cstheme="minorBidi"/>
                <w:sz w:val="18"/>
                <w:szCs w:val="18"/>
                <w:lang w:val="es-EC"/>
              </w:rPr>
            </w:pPr>
            <w:r w:rsidRPr="00A51E75">
              <w:rPr>
                <w:rFonts w:ascii="Calibri" w:hAnsi="Calibri" w:cs="Calibri"/>
                <w:color w:val="000000"/>
                <w:sz w:val="18"/>
                <w:szCs w:val="18"/>
              </w:rPr>
              <w:t>Al menos 39.000 hectáreas de áreas protegidas existentes con una mejor eficacia en la gestión (≥aumento del 15% en METT).</w:t>
            </w:r>
            <w:r w:rsidRPr="00A51E75">
              <w:rPr>
                <w:rFonts w:ascii="Calibri" w:hAnsi="Calibri" w:cs="Calibri"/>
                <w:color w:val="000000"/>
                <w:sz w:val="18"/>
                <w:szCs w:val="18"/>
              </w:rPr>
              <w:br/>
            </w:r>
          </w:p>
          <w:p w14:paraId="157FD3C8" w14:textId="77777777" w:rsidR="004C7896" w:rsidRPr="00A51E75" w:rsidRDefault="00DB71AF" w:rsidP="00DB71AF">
            <w:pPr>
              <w:rPr>
                <w:rFonts w:asciiTheme="minorHAnsi" w:hAnsiTheme="minorHAnsi" w:cstheme="minorBidi"/>
                <w:sz w:val="18"/>
                <w:szCs w:val="18"/>
                <w:lang w:val="en-US"/>
              </w:rPr>
            </w:pPr>
            <w:r w:rsidRPr="00A51E75">
              <w:rPr>
                <w:rFonts w:asciiTheme="minorHAnsi" w:hAnsiTheme="minorHAnsi" w:cstheme="minorBidi"/>
                <w:sz w:val="18"/>
                <w:szCs w:val="18"/>
              </w:rPr>
              <w:t>64.000 ha</w:t>
            </w:r>
          </w:p>
          <w:p w14:paraId="7C830DEB" w14:textId="77777777" w:rsidR="004C7896" w:rsidRPr="00A51E75" w:rsidRDefault="004C7896" w:rsidP="00DB71AF">
            <w:pPr>
              <w:rPr>
                <w:rFonts w:asciiTheme="minorHAnsi" w:hAnsiTheme="minorHAnsi" w:cstheme="minorBidi"/>
                <w:sz w:val="18"/>
                <w:szCs w:val="18"/>
                <w:lang w:val="en-US"/>
              </w:rPr>
            </w:pPr>
          </w:p>
          <w:p w14:paraId="6F9A0C3B" w14:textId="488D56CF" w:rsidR="00DB71AF" w:rsidRPr="00A51E75" w:rsidRDefault="00DB71AF" w:rsidP="00DB71AF">
            <w:pPr>
              <w:rPr>
                <w:rFonts w:asciiTheme="minorHAnsi" w:hAnsiTheme="minorHAnsi" w:cstheme="minorBidi"/>
                <w:sz w:val="18"/>
                <w:szCs w:val="18"/>
                <w:lang w:val="en-US"/>
              </w:rPr>
            </w:pPr>
          </w:p>
          <w:p w14:paraId="7F40C0C9" w14:textId="77777777" w:rsidR="001646EE" w:rsidRPr="00A51E75" w:rsidRDefault="001646EE" w:rsidP="00DB71AF">
            <w:pPr>
              <w:contextualSpacing/>
              <w:rPr>
                <w:rFonts w:asciiTheme="minorHAnsi" w:hAnsiTheme="minorHAnsi" w:cstheme="minorBidi"/>
                <w:sz w:val="18"/>
                <w:szCs w:val="18"/>
                <w:lang w:val="en-US"/>
              </w:rPr>
            </w:pPr>
          </w:p>
          <w:p w14:paraId="0FF77C1F" w14:textId="38F927D5" w:rsidR="001646EE" w:rsidRPr="00A51E75" w:rsidRDefault="001646EE" w:rsidP="00DB71AF">
            <w:pPr>
              <w:contextualSpacing/>
              <w:rPr>
                <w:rFonts w:asciiTheme="minorHAnsi" w:hAnsiTheme="minorHAnsi" w:cstheme="minorBidi"/>
                <w:sz w:val="18"/>
                <w:szCs w:val="18"/>
                <w:lang w:val="en-US"/>
              </w:rPr>
            </w:pPr>
          </w:p>
        </w:tc>
        <w:tc>
          <w:tcPr>
            <w:tcW w:w="2081" w:type="dxa"/>
            <w:gridSpan w:val="2"/>
          </w:tcPr>
          <w:p w14:paraId="3EE6B9AA" w14:textId="714828E0" w:rsidR="000572D7" w:rsidRPr="00D830D9" w:rsidRDefault="000572D7" w:rsidP="00DB71AF">
            <w:pPr>
              <w:rPr>
                <w:rFonts w:ascii="Calibri" w:hAnsi="Calibri" w:cs="Calibri"/>
                <w:color w:val="000000"/>
                <w:sz w:val="18"/>
                <w:szCs w:val="18"/>
                <w:lang w:val="es-EC"/>
              </w:rPr>
            </w:pPr>
            <w:r w:rsidRPr="00A51E75">
              <w:rPr>
                <w:rFonts w:ascii="Calibri" w:hAnsi="Calibri" w:cs="Calibri"/>
                <w:color w:val="000000"/>
                <w:sz w:val="18"/>
                <w:szCs w:val="18"/>
              </w:rPr>
              <w:t>Al menos 40.000</w:t>
            </w:r>
            <w:r w:rsidR="004C7896" w:rsidRPr="00A51E75">
              <w:rPr>
                <w:rStyle w:val="Refdenotaalpie"/>
                <w:rFonts w:ascii="Calibri" w:hAnsi="Calibri" w:cs="Calibri"/>
                <w:color w:val="000000"/>
                <w:sz w:val="18"/>
                <w:szCs w:val="18"/>
              </w:rPr>
              <w:footnoteReference w:id="11"/>
            </w:r>
            <w:r w:rsidRPr="00A51E75">
              <w:rPr>
                <w:rFonts w:ascii="Calibri" w:hAnsi="Calibri" w:cs="Calibri"/>
                <w:color w:val="000000"/>
                <w:sz w:val="18"/>
                <w:szCs w:val="18"/>
              </w:rPr>
              <w:t xml:space="preserve"> hectáreas de nuevas áreas protegidas declaradas oficialmente.</w:t>
            </w:r>
            <w:r w:rsidRPr="00A51E75">
              <w:rPr>
                <w:rFonts w:ascii="Calibri" w:hAnsi="Calibri" w:cs="Calibri"/>
                <w:color w:val="000000"/>
                <w:sz w:val="18"/>
                <w:szCs w:val="18"/>
              </w:rPr>
              <w:br/>
            </w:r>
          </w:p>
          <w:p w14:paraId="5417CF6F" w14:textId="6CBB1BA1" w:rsidR="00DB71AF" w:rsidRPr="00D830D9" w:rsidRDefault="000572D7" w:rsidP="00DB71AF">
            <w:pPr>
              <w:rPr>
                <w:rFonts w:ascii="Calibri" w:hAnsi="Calibri" w:cs="Calibri"/>
                <w:color w:val="000000"/>
                <w:sz w:val="18"/>
                <w:szCs w:val="18"/>
                <w:lang w:val="es-EC"/>
              </w:rPr>
            </w:pPr>
            <w:r w:rsidRPr="00A51E75">
              <w:rPr>
                <w:rFonts w:ascii="Calibri" w:hAnsi="Calibri" w:cs="Calibri"/>
                <w:color w:val="000000"/>
                <w:sz w:val="18"/>
                <w:szCs w:val="18"/>
              </w:rPr>
              <w:t>Al menos 85.000</w:t>
            </w:r>
            <w:r w:rsidR="004C7896" w:rsidRPr="00A51E75">
              <w:rPr>
                <w:rStyle w:val="Refdenotaalpie"/>
                <w:rFonts w:ascii="Calibri" w:hAnsi="Calibri" w:cs="Calibri"/>
                <w:color w:val="000000"/>
                <w:sz w:val="18"/>
                <w:szCs w:val="18"/>
              </w:rPr>
              <w:footnoteReference w:id="12"/>
            </w:r>
            <w:r w:rsidR="004C7896" w:rsidRPr="00A51E75">
              <w:rPr>
                <w:rFonts w:ascii="Calibri" w:hAnsi="Calibri" w:cs="Calibri"/>
                <w:color w:val="000000"/>
                <w:sz w:val="18"/>
                <w:szCs w:val="18"/>
              </w:rPr>
              <w:t xml:space="preserve"> hectáreas de áreas protegidas existentes con una mejor eficacia de gestión (≥aumento del 15% en el METT).</w:t>
            </w:r>
            <w:r w:rsidRPr="00A51E75">
              <w:rPr>
                <w:rFonts w:ascii="Calibri" w:hAnsi="Calibri" w:cs="Calibri"/>
                <w:color w:val="000000"/>
                <w:sz w:val="18"/>
                <w:szCs w:val="18"/>
              </w:rPr>
              <w:br/>
            </w:r>
          </w:p>
          <w:p w14:paraId="307DBB87" w14:textId="77777777" w:rsidR="004C7896" w:rsidRPr="00A51E75" w:rsidRDefault="004C7896" w:rsidP="004C7896">
            <w:pPr>
              <w:rPr>
                <w:rFonts w:ascii="Calibri" w:hAnsi="Calibri" w:cs="Calibri"/>
                <w:color w:val="000000"/>
                <w:sz w:val="18"/>
                <w:szCs w:val="18"/>
                <w:lang w:val="en-US"/>
              </w:rPr>
            </w:pPr>
            <w:r w:rsidRPr="00A51E75">
              <w:rPr>
                <w:rFonts w:ascii="Calibri" w:hAnsi="Calibri" w:cs="Calibri"/>
                <w:color w:val="000000"/>
                <w:sz w:val="18"/>
                <w:szCs w:val="18"/>
              </w:rPr>
              <w:t xml:space="preserve">125.000 ha </w:t>
            </w:r>
          </w:p>
          <w:p w14:paraId="537F471B" w14:textId="555029A1" w:rsidR="004C7896" w:rsidRPr="00A51E75" w:rsidRDefault="004C7896" w:rsidP="00DB71AF">
            <w:pPr>
              <w:contextualSpacing/>
              <w:rPr>
                <w:rFonts w:ascii="Calibri" w:hAnsi="Calibri" w:cs="Calibri"/>
                <w:color w:val="000000"/>
                <w:sz w:val="18"/>
                <w:szCs w:val="18"/>
                <w:lang w:val="en-US"/>
              </w:rPr>
            </w:pPr>
          </w:p>
        </w:tc>
        <w:tc>
          <w:tcPr>
            <w:tcW w:w="1798" w:type="dxa"/>
          </w:tcPr>
          <w:p w14:paraId="2249DC45" w14:textId="181581AC" w:rsidR="00DB71AF" w:rsidRPr="00895463" w:rsidRDefault="00DB71AF" w:rsidP="00DB71AF">
            <w:pPr>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 Verificación de planes de gestión para diversas categorías de protección. Cuantificación SIG de las áreas forestales bajo una gestión mejorada. Informes anuales sobre hectáreas en implementación efectiva. Monitorización de la disponibilidad de hábitat para especies paraguas. Seguimiento de bioempresas vinculadas a productos forestales no madereros (</w:t>
            </w:r>
            <w:r w:rsidR="00414574">
              <w:rPr>
                <w:rFonts w:asciiTheme="minorHAnsi" w:hAnsiTheme="minorHAnsi" w:cstheme="minorHAnsi"/>
                <w:sz w:val="18"/>
                <w:szCs w:val="18"/>
              </w:rPr>
              <w:t>PFNM</w:t>
            </w:r>
            <w:r w:rsidRPr="00A51E75">
              <w:rPr>
                <w:rFonts w:asciiTheme="minorHAnsi" w:hAnsiTheme="minorHAnsi" w:cstheme="minorHAnsi"/>
                <w:sz w:val="18"/>
                <w:szCs w:val="18"/>
              </w:rPr>
              <w:t xml:space="preserve">). </w:t>
            </w:r>
          </w:p>
        </w:tc>
        <w:tc>
          <w:tcPr>
            <w:tcW w:w="2124" w:type="dxa"/>
          </w:tcPr>
          <w:p w14:paraId="6CF97CEA" w14:textId="77777777"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 xml:space="preserve"> </w:t>
            </w:r>
            <w:r w:rsidRPr="00A51E75">
              <w:rPr>
                <w:rFonts w:asciiTheme="minorHAnsi" w:hAnsiTheme="minorHAnsi" w:cstheme="minorHAnsi"/>
                <w:b/>
                <w:bCs/>
                <w:sz w:val="18"/>
                <w:szCs w:val="18"/>
              </w:rPr>
              <w:t>Riesgos</w:t>
            </w:r>
            <w:r w:rsidRPr="00A51E75">
              <w:rPr>
                <w:rFonts w:asciiTheme="minorHAnsi" w:hAnsiTheme="minorHAnsi" w:cstheme="minorHAnsi"/>
                <w:sz w:val="18"/>
                <w:szCs w:val="18"/>
              </w:rPr>
              <w:t xml:space="preserve">: Limitaciones en la implementación debido a la débil capacidad técnica/institucional, falta de coordinación interinstitucional, resistencia comunitaria, baja financiación y amenazas externas (deforestación, incendios, actividades ilegales). </w:t>
            </w:r>
          </w:p>
          <w:p w14:paraId="3A3A15A5" w14:textId="77777777" w:rsidR="00DB71AF" w:rsidRPr="00D830D9" w:rsidRDefault="00DB71AF" w:rsidP="00DB71AF">
            <w:pPr>
              <w:rPr>
                <w:rFonts w:asciiTheme="minorHAnsi" w:hAnsiTheme="minorHAnsi" w:cstheme="minorHAnsi"/>
                <w:sz w:val="18"/>
                <w:szCs w:val="18"/>
                <w:lang w:val="es-EC"/>
              </w:rPr>
            </w:pPr>
          </w:p>
          <w:p w14:paraId="427BEE22" w14:textId="2B9671FF" w:rsidR="00DB71AF" w:rsidRPr="00D830D9" w:rsidRDefault="23919315" w:rsidP="7CD6F03B">
            <w:pPr>
              <w:contextualSpacing/>
              <w:rPr>
                <w:rFonts w:asciiTheme="minorHAnsi" w:hAnsiTheme="minorHAnsi" w:cstheme="minorBidi"/>
                <w:sz w:val="18"/>
                <w:szCs w:val="18"/>
                <w:lang w:val="es-EC"/>
              </w:rPr>
            </w:pPr>
            <w:r w:rsidRPr="7CD6F03B">
              <w:rPr>
                <w:rFonts w:asciiTheme="minorHAnsi" w:hAnsiTheme="minorHAnsi" w:cstheme="minorBidi"/>
                <w:b/>
                <w:bCs/>
                <w:sz w:val="18"/>
                <w:szCs w:val="18"/>
              </w:rPr>
              <w:t>Suposiciones</w:t>
            </w: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proporciona datos fiables; los actores locales participan activamente; apoyo técnico/financiero sostenido; Los GAD garantizan respaldo legal; La monitorización de proyectos permite una gestión adaptativa.</w:t>
            </w:r>
          </w:p>
        </w:tc>
      </w:tr>
      <w:tr w:rsidR="00DB71AF" w:rsidRPr="007D4F41" w14:paraId="0E9CD505" w14:textId="77777777" w:rsidTr="7CD6F03B">
        <w:trPr>
          <w:trHeight w:val="300"/>
        </w:trPr>
        <w:tc>
          <w:tcPr>
            <w:tcW w:w="1583" w:type="dxa"/>
            <w:vMerge/>
          </w:tcPr>
          <w:p w14:paraId="5D3B8079"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062CF06E" w14:textId="77777777" w:rsidR="00DB71AF" w:rsidRPr="00D830D9" w:rsidRDefault="00DB71AF" w:rsidP="00DB71AF">
            <w:pPr>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3: Superficie de tierra y ecosistemas en restauración (hectáreas) </w:t>
            </w:r>
          </w:p>
          <w:p w14:paraId="5FA30370" w14:textId="77777777" w:rsidR="00DB71AF" w:rsidRPr="00D830D9" w:rsidRDefault="00DB71AF" w:rsidP="00DB71AF">
            <w:pPr>
              <w:contextualSpacing/>
              <w:rPr>
                <w:rFonts w:asciiTheme="minorHAnsi" w:hAnsiTheme="minorHAnsi" w:cstheme="minorHAnsi"/>
                <w:sz w:val="18"/>
                <w:szCs w:val="18"/>
                <w:lang w:val="es-EC"/>
              </w:rPr>
            </w:pPr>
          </w:p>
          <w:p w14:paraId="327B350A" w14:textId="2D57048F" w:rsidR="00DB71AF" w:rsidRPr="00A51E75" w:rsidRDefault="00DB71AF" w:rsidP="00DB71AF">
            <w:pPr>
              <w:contextualSpacing/>
              <w:rPr>
                <w:rFonts w:asciiTheme="minorHAnsi" w:hAnsiTheme="minorHAnsi" w:cstheme="minorHAnsi"/>
                <w:sz w:val="18"/>
                <w:szCs w:val="18"/>
                <w:lang w:val="it-IT"/>
              </w:rPr>
            </w:pPr>
            <w:r w:rsidRPr="00A51E75">
              <w:rPr>
                <w:rFonts w:asciiTheme="minorHAnsi" w:hAnsiTheme="minorHAnsi" w:cstheme="minorHAnsi"/>
                <w:sz w:val="18"/>
                <w:szCs w:val="18"/>
              </w:rPr>
              <w:t>(</w:t>
            </w:r>
            <w:r w:rsidR="00BC67C3">
              <w:rPr>
                <w:rFonts w:asciiTheme="minorHAnsi" w:hAnsiTheme="minorHAnsi" w:cstheme="minorHAnsi"/>
                <w:sz w:val="18"/>
                <w:szCs w:val="18"/>
              </w:rPr>
              <w:t>FMAM</w:t>
            </w:r>
            <w:r w:rsidRPr="00A51E75">
              <w:rPr>
                <w:rFonts w:asciiTheme="minorHAnsi" w:hAnsiTheme="minorHAnsi" w:cstheme="minorHAnsi"/>
                <w:sz w:val="18"/>
                <w:szCs w:val="18"/>
              </w:rPr>
              <w:t xml:space="preserv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3: Subindicadores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3.1 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3.2)</w:t>
            </w:r>
          </w:p>
        </w:tc>
        <w:tc>
          <w:tcPr>
            <w:tcW w:w="1802" w:type="dxa"/>
            <w:gridSpan w:val="2"/>
          </w:tcPr>
          <w:p w14:paraId="3BAE7EE6" w14:textId="1E5F2F9E" w:rsidR="00DB71AF" w:rsidRPr="00A51E75" w:rsidRDefault="23919315" w:rsidP="7CD6F03B">
            <w:pPr>
              <w:contextualSpacing/>
              <w:rPr>
                <w:rFonts w:asciiTheme="minorHAnsi" w:hAnsiTheme="minorHAnsi" w:cstheme="minorBidi"/>
                <w:sz w:val="18"/>
                <w:szCs w:val="18"/>
                <w:lang w:val="en-US"/>
              </w:rPr>
            </w:pPr>
            <w:r w:rsidRPr="7CD6F03B">
              <w:rPr>
                <w:rFonts w:asciiTheme="minorHAnsi" w:hAnsiTheme="minorHAnsi" w:cstheme="minorBidi"/>
                <w:sz w:val="18"/>
                <w:szCs w:val="18"/>
              </w:rPr>
              <w:t xml:space="preserve">Información oficial de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(SAF, PNRP, SIGMA). Planes de gestión de bosques protectores, APH, ACUS, PSB. Registros de la implementación de acuerdos de cogestión con GAD. Informes de campo.</w:t>
            </w:r>
          </w:p>
        </w:tc>
        <w:tc>
          <w:tcPr>
            <w:tcW w:w="1213" w:type="dxa"/>
            <w:gridSpan w:val="2"/>
          </w:tcPr>
          <w:p w14:paraId="30471539" w14:textId="6A597478" w:rsidR="00DB71AF" w:rsidRPr="00A51E75" w:rsidRDefault="00DB71AF" w:rsidP="00DB71AF">
            <w:pPr>
              <w:contextualSpacing/>
              <w:rPr>
                <w:rFonts w:asciiTheme="minorHAnsi" w:hAnsiTheme="minorHAnsi" w:cstheme="minorHAnsi"/>
                <w:sz w:val="18"/>
                <w:szCs w:val="18"/>
              </w:rPr>
            </w:pPr>
            <w:r w:rsidRPr="00A51E75">
              <w:rPr>
                <w:rFonts w:asciiTheme="minorHAnsi" w:hAnsiTheme="minorHAnsi" w:cstheme="minorHAnsi"/>
                <w:sz w:val="18"/>
                <w:szCs w:val="18"/>
              </w:rPr>
              <w:t>0</w:t>
            </w:r>
          </w:p>
        </w:tc>
        <w:tc>
          <w:tcPr>
            <w:tcW w:w="1644" w:type="dxa"/>
          </w:tcPr>
          <w:p w14:paraId="3205F31D" w14:textId="0D8952E3" w:rsidR="00DB71AF" w:rsidRPr="00A51E75" w:rsidRDefault="00DB71AF" w:rsidP="00DB71AF">
            <w:pPr>
              <w:contextualSpacing/>
              <w:rPr>
                <w:rFonts w:asciiTheme="minorHAnsi" w:hAnsiTheme="minorHAnsi" w:cstheme="minorBidi"/>
                <w:sz w:val="18"/>
                <w:szCs w:val="18"/>
              </w:rPr>
            </w:pPr>
            <w:r w:rsidRPr="00A51E75">
              <w:rPr>
                <w:rFonts w:asciiTheme="minorHAnsi" w:hAnsiTheme="minorHAnsi" w:cstheme="minorBidi"/>
                <w:sz w:val="18"/>
                <w:szCs w:val="18"/>
              </w:rPr>
              <w:t>2,020</w:t>
            </w:r>
          </w:p>
        </w:tc>
        <w:tc>
          <w:tcPr>
            <w:tcW w:w="2081" w:type="dxa"/>
            <w:gridSpan w:val="2"/>
          </w:tcPr>
          <w:p w14:paraId="294C7D59" w14:textId="458896F4" w:rsidR="00DB71AF" w:rsidRPr="00A51E75" w:rsidRDefault="00DB71AF" w:rsidP="00DB71AF">
            <w:pPr>
              <w:contextualSpacing/>
              <w:rPr>
                <w:rFonts w:asciiTheme="minorHAnsi" w:hAnsiTheme="minorHAnsi" w:cstheme="minorBidi"/>
                <w:sz w:val="18"/>
                <w:szCs w:val="18"/>
              </w:rPr>
            </w:pPr>
            <w:r w:rsidRPr="00A51E75">
              <w:rPr>
                <w:rFonts w:asciiTheme="minorHAnsi" w:hAnsiTheme="minorHAnsi" w:cstheme="minorBidi"/>
                <w:sz w:val="18"/>
                <w:szCs w:val="18"/>
              </w:rPr>
              <w:t>4,020</w:t>
            </w:r>
          </w:p>
        </w:tc>
        <w:tc>
          <w:tcPr>
            <w:tcW w:w="1798" w:type="dxa"/>
          </w:tcPr>
          <w:p w14:paraId="7961644C" w14:textId="5D8A77DD" w:rsidR="00DB71AF" w:rsidRPr="00D830D9" w:rsidRDefault="23919315" w:rsidP="7CD6F03B">
            <w:pPr>
              <w:spacing w:after="160" w:line="259" w:lineRule="auto"/>
              <w:rPr>
                <w:rFonts w:asciiTheme="minorHAnsi" w:hAnsiTheme="minorHAnsi" w:cstheme="minorBidi"/>
                <w:sz w:val="18"/>
                <w:szCs w:val="18"/>
                <w:lang w:val="es-EC"/>
              </w:rPr>
            </w:pPr>
            <w:r w:rsidRPr="7CD6F03B">
              <w:rPr>
                <w:rFonts w:asciiTheme="minorHAnsi" w:hAnsiTheme="minorHAnsi" w:cstheme="minorBidi"/>
                <w:sz w:val="18"/>
                <w:szCs w:val="18"/>
              </w:rPr>
              <w:t>Subindicador 3.1: Georreferenciación y seguimiento semestral según la metodología PNRP–</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Revisión de planes de gestión y acuerdos de cogestión. Registros de ejecución y visitas de verificación de campo. Informes técnicos y financieros de progreso.</w:t>
            </w:r>
          </w:p>
          <w:p w14:paraId="01778E3A" w14:textId="60BDC70D" w:rsidR="00DB71AF" w:rsidRPr="00A51E75" w:rsidRDefault="00DB71AF" w:rsidP="00DB71AF">
            <w:pPr>
              <w:contextualSpacing/>
              <w:rPr>
                <w:rFonts w:asciiTheme="minorHAnsi" w:hAnsiTheme="minorHAnsi" w:cstheme="minorHAnsi"/>
                <w:sz w:val="18"/>
                <w:szCs w:val="18"/>
              </w:rPr>
            </w:pPr>
            <w:r w:rsidRPr="00A51E75">
              <w:rPr>
                <w:rFonts w:asciiTheme="minorHAnsi" w:hAnsiTheme="minorHAnsi" w:cstheme="minorHAnsi"/>
                <w:sz w:val="18"/>
                <w:szCs w:val="18"/>
              </w:rPr>
              <w:t>Subindicador 3.2: Durante la implementación, las áreas agrícolas liberadas para su restauración se registrarán en archivos SIG. Registros de beneficiarios con datos básicos sobre cobertura del suelo, productividad y/o funcionalidad. Posteriormente, los registros de las medidas de restauración implementadas por los beneficiarios.</w:t>
            </w:r>
          </w:p>
        </w:tc>
        <w:tc>
          <w:tcPr>
            <w:tcW w:w="2124" w:type="dxa"/>
          </w:tcPr>
          <w:p w14:paraId="6B8A2785" w14:textId="77777777" w:rsidR="00DB71AF" w:rsidRPr="00D830D9" w:rsidRDefault="00DB71AF" w:rsidP="00DB71AF">
            <w:pPr>
              <w:spacing w:after="160" w:line="259" w:lineRule="auto"/>
              <w:rPr>
                <w:rFonts w:asciiTheme="minorHAnsi" w:hAnsiTheme="minorHAnsi" w:cstheme="minorHAnsi"/>
                <w:sz w:val="18"/>
                <w:szCs w:val="18"/>
                <w:lang w:val="es-EC"/>
              </w:rPr>
            </w:pPr>
            <w:r w:rsidRPr="00A51E75">
              <w:rPr>
                <w:rFonts w:asciiTheme="minorHAnsi" w:hAnsiTheme="minorHAnsi" w:cstheme="minorHAnsi"/>
                <w:sz w:val="18"/>
                <w:szCs w:val="18"/>
              </w:rPr>
              <w:t>Riesgos: La restauración puede verse afectada por fenómenos meteorológicos extremos, disponibilidad limitada de plantas/semillas o falta de compromiso financiero por parte de GAD y sus socios. Riesgo de que el uso sostenible de las áreas restauradas no se mantenga.</w:t>
            </w:r>
          </w:p>
          <w:p w14:paraId="38361A54" w14:textId="5DAC77B9" w:rsidR="00DB71AF" w:rsidRPr="00D830D9" w:rsidRDefault="00DB71AF" w:rsidP="00DB71AF">
            <w:pPr>
              <w:contextualSpacing/>
              <w:rPr>
                <w:rFonts w:asciiTheme="minorHAnsi" w:hAnsiTheme="minorHAnsi" w:cstheme="minorHAnsi"/>
                <w:sz w:val="18"/>
                <w:szCs w:val="18"/>
                <w:lang w:val="es-EC"/>
              </w:rPr>
            </w:pPr>
            <w:r w:rsidRPr="00A51E75">
              <w:rPr>
                <w:rFonts w:asciiTheme="minorHAnsi" w:hAnsiTheme="minorHAnsi" w:cstheme="minorHAnsi"/>
                <w:sz w:val="18"/>
                <w:szCs w:val="18"/>
              </w:rPr>
              <w:t>Suposiciones: Los acuerdos de cogestión incluirán compromisos de cofinanciación; los productores/comunidades mantendrán las áreas de forma sostenible; El apoyo técnico del proyecto fomentará la adopción de medidas de restauración factibles y aceptadas, incluida la restauración pasiva.</w:t>
            </w:r>
          </w:p>
        </w:tc>
      </w:tr>
      <w:tr w:rsidR="00DB71AF" w:rsidRPr="007D4F41" w14:paraId="44FD5869" w14:textId="77777777" w:rsidTr="7CD6F03B">
        <w:trPr>
          <w:trHeight w:val="300"/>
        </w:trPr>
        <w:tc>
          <w:tcPr>
            <w:tcW w:w="1583" w:type="dxa"/>
            <w:vMerge/>
          </w:tcPr>
          <w:p w14:paraId="31A4E5C0"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42F87FF1" w14:textId="77777777" w:rsidR="00DB71AF" w:rsidRPr="00D830D9" w:rsidRDefault="00DB71AF" w:rsidP="00DB71AF">
            <w:pPr>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4: Área de paisajes bajo prácticas mejoradas (excluyendo áreas protegidas) </w:t>
            </w:r>
          </w:p>
          <w:p w14:paraId="0EC4251A" w14:textId="77777777" w:rsidR="00DB71AF" w:rsidRPr="00D830D9" w:rsidRDefault="00DB71AF" w:rsidP="00DB71AF">
            <w:pPr>
              <w:contextualSpacing/>
              <w:rPr>
                <w:rFonts w:asciiTheme="minorHAnsi" w:hAnsiTheme="minorHAnsi" w:cstheme="minorHAnsi"/>
                <w:sz w:val="18"/>
                <w:szCs w:val="18"/>
                <w:lang w:val="es-EC"/>
              </w:rPr>
            </w:pPr>
          </w:p>
          <w:p w14:paraId="3A05FB49" w14:textId="4BC72D69" w:rsidR="00DB71AF" w:rsidRPr="00A51E75" w:rsidRDefault="00DB71AF" w:rsidP="00DB71AF">
            <w:pPr>
              <w:contextualSpacing/>
              <w:rPr>
                <w:rFonts w:asciiTheme="minorHAnsi" w:hAnsiTheme="minorHAnsi" w:cstheme="minorHAnsi"/>
                <w:sz w:val="18"/>
                <w:szCs w:val="18"/>
                <w:lang w:val="it-IT"/>
              </w:rPr>
            </w:pPr>
            <w:r w:rsidRPr="00A51E75">
              <w:rPr>
                <w:rFonts w:asciiTheme="minorHAnsi" w:hAnsiTheme="minorHAnsi" w:cstheme="minorHAnsi"/>
                <w:sz w:val="18"/>
                <w:szCs w:val="18"/>
              </w:rPr>
              <w:t>(</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4 del </w:t>
            </w:r>
            <w:r w:rsidR="00BC67C3">
              <w:rPr>
                <w:rFonts w:asciiTheme="minorHAnsi" w:hAnsiTheme="minorHAnsi" w:cstheme="minorHAnsi"/>
                <w:sz w:val="18"/>
                <w:szCs w:val="18"/>
              </w:rPr>
              <w:t>FMAM</w:t>
            </w:r>
            <w:r w:rsidRPr="00A51E75">
              <w:rPr>
                <w:rFonts w:asciiTheme="minorHAnsi" w:hAnsiTheme="minorHAnsi" w:cstheme="minorHAnsi"/>
                <w:sz w:val="18"/>
                <w:szCs w:val="18"/>
              </w:rPr>
              <w:t xml:space="preserve">: Subindicadores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4.1 y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4.3)</w:t>
            </w:r>
          </w:p>
        </w:tc>
        <w:tc>
          <w:tcPr>
            <w:tcW w:w="1802" w:type="dxa"/>
            <w:gridSpan w:val="2"/>
          </w:tcPr>
          <w:p w14:paraId="29C38098" w14:textId="5D1B7B33" w:rsidR="00DB71AF" w:rsidRPr="00D830D9" w:rsidRDefault="23919315" w:rsidP="7CD6F03B">
            <w:pPr>
              <w:spacing w:after="160" w:line="259" w:lineRule="auto"/>
              <w:rPr>
                <w:rFonts w:asciiTheme="minorHAnsi" w:hAnsiTheme="minorHAnsi" w:cstheme="minorBidi"/>
                <w:sz w:val="18"/>
                <w:szCs w:val="18"/>
                <w:lang w:val="es-EC"/>
              </w:rPr>
            </w:pPr>
            <w:r w:rsidRPr="7CD6F03B">
              <w:rPr>
                <w:rFonts w:asciiTheme="minorHAnsi" w:hAnsiTheme="minorHAnsi" w:cstheme="minorBidi"/>
                <w:sz w:val="18"/>
                <w:szCs w:val="18"/>
              </w:rPr>
              <w:t xml:space="preserve">Subindicador 4.1: Información oficial de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(SAF y PNRP). Planes aprobados de gestión forestal y planes mínimos de intervención (PMI). Registros de bioempresas apoyados por proyectos. Catálogo de productos forestales no maderables (</w:t>
            </w:r>
            <w:r w:rsidR="00414574">
              <w:rPr>
                <w:rFonts w:asciiTheme="minorHAnsi" w:hAnsiTheme="minorHAnsi" w:cstheme="minorBidi"/>
                <w:sz w:val="18"/>
                <w:szCs w:val="18"/>
              </w:rPr>
              <w:t>PFNM</w:t>
            </w:r>
            <w:r w:rsidRPr="7CD6F03B">
              <w:rPr>
                <w:rFonts w:asciiTheme="minorHAnsi" w:hAnsiTheme="minorHAnsi" w:cstheme="minorBidi"/>
                <w:sz w:val="18"/>
                <w:szCs w:val="18"/>
              </w:rPr>
              <w:t>) de Amazonia (ProAmazonía, PPR). Informes de implementación y seguimiento técnico de los planes de gestión forestal. Durante el proyecto se desarrollaron estrategias de comercialización y trazabilidad.</w:t>
            </w:r>
          </w:p>
          <w:p w14:paraId="1E99A644" w14:textId="6BA2975C" w:rsidR="00DB71AF" w:rsidRPr="00D830D9" w:rsidRDefault="23919315" w:rsidP="7CD6F03B">
            <w:pPr>
              <w:contextualSpacing/>
              <w:rPr>
                <w:rFonts w:asciiTheme="minorHAnsi" w:hAnsiTheme="minorHAnsi" w:cstheme="minorBidi"/>
                <w:sz w:val="18"/>
                <w:szCs w:val="18"/>
                <w:lang w:val="es-EC"/>
              </w:rPr>
            </w:pPr>
            <w:r w:rsidRPr="7CD6F03B">
              <w:rPr>
                <w:rFonts w:asciiTheme="minorHAnsi" w:hAnsiTheme="minorHAnsi" w:cstheme="minorBidi"/>
                <w:sz w:val="18"/>
                <w:szCs w:val="18"/>
              </w:rPr>
              <w:t xml:space="preserve">Subindicador 4.3: Mapa de cobertura y uso del suelo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(2022). Base de datos de áreas agrícolas en zonas de intervención de proyectos (239.326 ha identificadas). Datos geográficamente desagregados sobre el potencial de implementación de prácticas de </w:t>
            </w:r>
            <w:r w:rsidR="00E26F5E">
              <w:rPr>
                <w:rFonts w:asciiTheme="minorHAnsi" w:hAnsiTheme="minorHAnsi" w:cstheme="minorBidi"/>
                <w:sz w:val="18"/>
                <w:szCs w:val="18"/>
              </w:rPr>
              <w:t>Manejo</w:t>
            </w:r>
            <w:r w:rsidRPr="7CD6F03B">
              <w:rPr>
                <w:rFonts w:asciiTheme="minorHAnsi" w:hAnsiTheme="minorHAnsi" w:cstheme="minorBidi"/>
                <w:sz w:val="18"/>
                <w:szCs w:val="18"/>
              </w:rPr>
              <w:t xml:space="preserve"> Sostenible de la Tierra (</w:t>
            </w:r>
            <w:r w:rsidR="00E26F5E">
              <w:rPr>
                <w:rFonts w:asciiTheme="minorHAnsi" w:hAnsiTheme="minorHAnsi" w:cstheme="minorBidi"/>
                <w:sz w:val="18"/>
                <w:szCs w:val="18"/>
              </w:rPr>
              <w:t>MSF</w:t>
            </w:r>
            <w:r w:rsidRPr="7CD6F03B">
              <w:rPr>
                <w:rFonts w:asciiTheme="minorHAnsi" w:hAnsiTheme="minorHAnsi" w:cstheme="minorBidi"/>
                <w:sz w:val="18"/>
                <w:szCs w:val="18"/>
              </w:rPr>
              <w:t xml:space="preserve">). Registros generados por proyectos durante la práctica de </w:t>
            </w:r>
            <w:r w:rsidR="00E26F5E">
              <w:rPr>
                <w:rFonts w:asciiTheme="minorHAnsi" w:hAnsiTheme="minorHAnsi" w:cstheme="minorBidi"/>
                <w:sz w:val="18"/>
                <w:szCs w:val="18"/>
              </w:rPr>
              <w:t>MST</w:t>
            </w:r>
            <w:r w:rsidRPr="7CD6F03B">
              <w:rPr>
                <w:rFonts w:asciiTheme="minorHAnsi" w:hAnsiTheme="minorHAnsi" w:cstheme="minorBidi"/>
                <w:sz w:val="18"/>
                <w:szCs w:val="18"/>
              </w:rPr>
              <w:t>, implementación y planes de gestión de paisajes por productores/comunidad.</w:t>
            </w:r>
          </w:p>
        </w:tc>
        <w:tc>
          <w:tcPr>
            <w:tcW w:w="1213" w:type="dxa"/>
            <w:gridSpan w:val="2"/>
          </w:tcPr>
          <w:p w14:paraId="688E5F58" w14:textId="0EAA242D" w:rsidR="00DB71AF" w:rsidRPr="00A51E75" w:rsidRDefault="00DB71AF" w:rsidP="00DB71AF">
            <w:pPr>
              <w:contextualSpacing/>
              <w:rPr>
                <w:rFonts w:asciiTheme="minorHAnsi" w:hAnsiTheme="minorHAnsi" w:cstheme="minorHAnsi"/>
                <w:sz w:val="18"/>
                <w:szCs w:val="18"/>
              </w:rPr>
            </w:pPr>
            <w:r w:rsidRPr="00A51E75">
              <w:rPr>
                <w:rFonts w:asciiTheme="minorHAnsi" w:hAnsiTheme="minorHAnsi" w:cstheme="minorHAnsi"/>
                <w:sz w:val="18"/>
                <w:szCs w:val="18"/>
              </w:rPr>
              <w:t>0</w:t>
            </w:r>
          </w:p>
        </w:tc>
        <w:tc>
          <w:tcPr>
            <w:tcW w:w="1644" w:type="dxa"/>
          </w:tcPr>
          <w:p w14:paraId="565387F5" w14:textId="7E359F31" w:rsidR="00DB71AF" w:rsidRPr="00A51E75" w:rsidRDefault="00DB71AF" w:rsidP="00DB71AF">
            <w:pPr>
              <w:contextualSpacing/>
              <w:rPr>
                <w:rFonts w:asciiTheme="minorHAnsi" w:hAnsiTheme="minorHAnsi" w:cstheme="minorBidi"/>
                <w:sz w:val="18"/>
                <w:szCs w:val="18"/>
              </w:rPr>
            </w:pPr>
            <w:r w:rsidRPr="00A51E75">
              <w:rPr>
                <w:rFonts w:asciiTheme="minorHAnsi" w:hAnsiTheme="minorHAnsi" w:cstheme="minorBidi"/>
                <w:sz w:val="18"/>
                <w:szCs w:val="18"/>
              </w:rPr>
              <w:t>24,400</w:t>
            </w:r>
          </w:p>
        </w:tc>
        <w:tc>
          <w:tcPr>
            <w:tcW w:w="2081" w:type="dxa"/>
            <w:gridSpan w:val="2"/>
          </w:tcPr>
          <w:p w14:paraId="3917E18D" w14:textId="0BE39060" w:rsidR="00DB71AF" w:rsidRPr="00A51E75" w:rsidRDefault="00DB71AF" w:rsidP="00DB71AF">
            <w:pPr>
              <w:contextualSpacing/>
              <w:rPr>
                <w:rFonts w:asciiTheme="minorHAnsi" w:hAnsiTheme="minorHAnsi" w:cstheme="minorBidi"/>
                <w:sz w:val="18"/>
                <w:szCs w:val="18"/>
              </w:rPr>
            </w:pPr>
            <w:r w:rsidRPr="00A51E75">
              <w:rPr>
                <w:rFonts w:asciiTheme="minorHAnsi" w:hAnsiTheme="minorHAnsi" w:cstheme="minorBidi"/>
                <w:sz w:val="18"/>
                <w:szCs w:val="18"/>
              </w:rPr>
              <w:t>45,179</w:t>
            </w:r>
          </w:p>
        </w:tc>
        <w:tc>
          <w:tcPr>
            <w:tcW w:w="1798" w:type="dxa"/>
          </w:tcPr>
          <w:p w14:paraId="266B4A8E" w14:textId="5795993C" w:rsidR="00DB71AF" w:rsidRPr="00D830D9" w:rsidRDefault="23919315" w:rsidP="7CD6F03B">
            <w:pPr>
              <w:spacing w:after="160" w:line="259" w:lineRule="auto"/>
              <w:rPr>
                <w:rFonts w:asciiTheme="minorHAnsi" w:hAnsiTheme="minorHAnsi" w:cstheme="minorBidi"/>
                <w:sz w:val="18"/>
                <w:szCs w:val="18"/>
                <w:lang w:val="es-EC"/>
              </w:rPr>
            </w:pPr>
            <w:r w:rsidRPr="7CD6F03B">
              <w:rPr>
                <w:rFonts w:asciiTheme="minorHAnsi" w:hAnsiTheme="minorHAnsi" w:cstheme="minorBidi"/>
                <w:sz w:val="18"/>
                <w:szCs w:val="18"/>
              </w:rPr>
              <w:t xml:space="preserve">Subindicador 4.1: Análisis geoespacial de los Planes de Gestión Forestal aprobados y sus PMI. Verificación en campo del cumplimiento del plan, especialmente durante la cosecha y la </w:t>
            </w:r>
            <w:proofErr w:type="spellStart"/>
            <w:r w:rsidRPr="7CD6F03B">
              <w:rPr>
                <w:rFonts w:asciiTheme="minorHAnsi" w:hAnsiTheme="minorHAnsi" w:cstheme="minorBidi"/>
                <w:sz w:val="18"/>
                <w:szCs w:val="18"/>
              </w:rPr>
              <w:t>poscosecha</w:t>
            </w:r>
            <w:proofErr w:type="spellEnd"/>
            <w:r w:rsidRPr="7CD6F03B">
              <w:rPr>
                <w:rFonts w:asciiTheme="minorHAnsi" w:hAnsiTheme="minorHAnsi" w:cstheme="minorBidi"/>
                <w:sz w:val="18"/>
                <w:szCs w:val="18"/>
              </w:rPr>
              <w:t xml:space="preserve">. Registros técnicos de bioempresas vinculadas a </w:t>
            </w:r>
            <w:proofErr w:type="spellStart"/>
            <w:r w:rsidR="00414574">
              <w:rPr>
                <w:rFonts w:asciiTheme="minorHAnsi" w:hAnsiTheme="minorHAnsi" w:cstheme="minorBidi"/>
                <w:sz w:val="18"/>
                <w:szCs w:val="18"/>
              </w:rPr>
              <w:t>PFNM</w:t>
            </w:r>
            <w:r w:rsidRPr="7CD6F03B">
              <w:rPr>
                <w:rFonts w:asciiTheme="minorHAnsi" w:hAnsiTheme="minorHAnsi" w:cstheme="minorBidi"/>
                <w:sz w:val="18"/>
                <w:szCs w:val="18"/>
              </w:rPr>
              <w:t>s</w:t>
            </w:r>
            <w:proofErr w:type="spellEnd"/>
            <w:r w:rsidRPr="7CD6F03B">
              <w:rPr>
                <w:rFonts w:asciiTheme="minorHAnsi" w:hAnsiTheme="minorHAnsi" w:cstheme="minorBidi"/>
                <w:sz w:val="18"/>
                <w:szCs w:val="18"/>
              </w:rPr>
              <w:t xml:space="preserve">. Trazabilidad de </w:t>
            </w:r>
            <w:proofErr w:type="spellStart"/>
            <w:r w:rsidR="00414574">
              <w:rPr>
                <w:rFonts w:asciiTheme="minorHAnsi" w:hAnsiTheme="minorHAnsi" w:cstheme="minorBidi"/>
                <w:sz w:val="18"/>
                <w:szCs w:val="18"/>
              </w:rPr>
              <w:t>PFNM</w:t>
            </w:r>
            <w:r w:rsidRPr="7CD6F03B">
              <w:rPr>
                <w:rFonts w:asciiTheme="minorHAnsi" w:hAnsiTheme="minorHAnsi" w:cstheme="minorBidi"/>
                <w:sz w:val="18"/>
                <w:szCs w:val="18"/>
              </w:rPr>
              <w:t>s</w:t>
            </w:r>
            <w:proofErr w:type="spellEnd"/>
            <w:r w:rsidRPr="7CD6F03B">
              <w:rPr>
                <w:rFonts w:asciiTheme="minorHAnsi" w:hAnsiTheme="minorHAnsi" w:cstheme="minorBidi"/>
                <w:sz w:val="18"/>
                <w:szCs w:val="18"/>
              </w:rPr>
              <w:t xml:space="preserve"> en cadenas de valor priorizadas. Revisión de informes técnicos de proyectos y documentación de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w:t>
            </w:r>
          </w:p>
          <w:p w14:paraId="421F7EB7" w14:textId="639C2F44" w:rsidR="00DB71AF" w:rsidRPr="00A51E75" w:rsidRDefault="00DB71AF" w:rsidP="00DB71AF">
            <w:pPr>
              <w:contextualSpacing/>
              <w:rPr>
                <w:rFonts w:asciiTheme="minorHAnsi" w:hAnsiTheme="minorHAnsi" w:cstheme="minorHAnsi"/>
                <w:sz w:val="18"/>
                <w:szCs w:val="18"/>
              </w:rPr>
            </w:pPr>
            <w:r w:rsidRPr="00A51E75">
              <w:rPr>
                <w:rFonts w:asciiTheme="minorHAnsi" w:hAnsiTheme="minorHAnsi" w:cstheme="minorHAnsi"/>
                <w:sz w:val="18"/>
                <w:szCs w:val="18"/>
              </w:rPr>
              <w:t xml:space="preserve">Subindicador 4.3: Referencia del mapa de uso/cobertura del suelo de 2022. Registros SIG de áreas que aplican prácticas de </w:t>
            </w:r>
            <w:r w:rsidR="00E26F5E">
              <w:rPr>
                <w:rFonts w:asciiTheme="minorHAnsi" w:hAnsiTheme="minorHAnsi" w:cstheme="minorHAnsi"/>
                <w:sz w:val="18"/>
                <w:szCs w:val="18"/>
              </w:rPr>
              <w:t>MST</w:t>
            </w:r>
            <w:r w:rsidRPr="00A51E75">
              <w:rPr>
                <w:rFonts w:asciiTheme="minorHAnsi" w:hAnsiTheme="minorHAnsi" w:cstheme="minorHAnsi"/>
                <w:sz w:val="18"/>
                <w:szCs w:val="18"/>
              </w:rPr>
              <w:t xml:space="preserve">. Preparación de planes de gestión del paisaje por productor/comunidad. Registro detallado de la adopción de la </w:t>
            </w:r>
            <w:r w:rsidR="00E26F5E">
              <w:rPr>
                <w:rFonts w:asciiTheme="minorHAnsi" w:hAnsiTheme="minorHAnsi" w:cstheme="minorHAnsi"/>
                <w:sz w:val="18"/>
                <w:szCs w:val="18"/>
              </w:rPr>
              <w:t>MST</w:t>
            </w:r>
            <w:r w:rsidRPr="00A51E75">
              <w:rPr>
                <w:rFonts w:asciiTheme="minorHAnsi" w:hAnsiTheme="minorHAnsi" w:cstheme="minorHAnsi"/>
                <w:sz w:val="18"/>
                <w:szCs w:val="18"/>
              </w:rPr>
              <w:t xml:space="preserve"> en agricultura, ganadería, silvicultura, acuicultura y turismo sostenible. Encuestas a beneficiarios y entrevistas para evaluar cambios en el sistema de producción.</w:t>
            </w:r>
          </w:p>
        </w:tc>
        <w:tc>
          <w:tcPr>
            <w:tcW w:w="2124" w:type="dxa"/>
          </w:tcPr>
          <w:p w14:paraId="6C7DB577" w14:textId="05692DA0" w:rsidR="00DB71AF" w:rsidRPr="00D830D9" w:rsidRDefault="23919315" w:rsidP="7CD6F03B">
            <w:pPr>
              <w:spacing w:after="160" w:line="259" w:lineRule="auto"/>
              <w:rPr>
                <w:rFonts w:asciiTheme="minorHAnsi" w:hAnsiTheme="minorHAnsi" w:cstheme="minorBidi"/>
                <w:sz w:val="18"/>
                <w:szCs w:val="18"/>
                <w:lang w:val="es-EC"/>
              </w:rPr>
            </w:pPr>
            <w:r w:rsidRPr="7CD6F03B">
              <w:rPr>
                <w:rFonts w:asciiTheme="minorHAnsi" w:hAnsiTheme="minorHAnsi" w:cstheme="minorBidi"/>
                <w:b/>
                <w:bCs/>
                <w:sz w:val="18"/>
                <w:szCs w:val="18"/>
              </w:rPr>
              <w:t>Riesgos</w:t>
            </w:r>
            <w:r w:rsidRPr="7CD6F03B">
              <w:rPr>
                <w:rFonts w:asciiTheme="minorHAnsi" w:hAnsiTheme="minorHAnsi" w:cstheme="minorBidi"/>
                <w:sz w:val="18"/>
                <w:szCs w:val="18"/>
              </w:rPr>
              <w:t xml:space="preserve">: La falta de actualizaciones regulatorias o la capacidad operativa limitada de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pueden dificultar el seguimiento del plan de gestión forestal. La baja rentabilidad o el acceso limitado al mercado para los </w:t>
            </w:r>
            <w:r w:rsidR="00414574">
              <w:rPr>
                <w:rFonts w:asciiTheme="minorHAnsi" w:hAnsiTheme="minorHAnsi" w:cstheme="minorBidi"/>
                <w:sz w:val="18"/>
                <w:szCs w:val="18"/>
              </w:rPr>
              <w:t>PFNM</w:t>
            </w:r>
            <w:r w:rsidRPr="7CD6F03B">
              <w:rPr>
                <w:rFonts w:asciiTheme="minorHAnsi" w:hAnsiTheme="minorHAnsi" w:cstheme="minorBidi"/>
                <w:sz w:val="18"/>
                <w:szCs w:val="18"/>
              </w:rPr>
              <w:t xml:space="preserve"> pueden reducir el interés en la gestión sostenible. Los precios más altos de los productos agrícolas convencionales pueden favorecer prácticas intensivas insostenibles, reduciendo el interés en la </w:t>
            </w:r>
            <w:r w:rsidR="00E26F5E">
              <w:rPr>
                <w:rFonts w:asciiTheme="minorHAnsi" w:hAnsiTheme="minorHAnsi" w:cstheme="minorBidi"/>
                <w:sz w:val="18"/>
                <w:szCs w:val="18"/>
              </w:rPr>
              <w:t>MST</w:t>
            </w:r>
            <w:r w:rsidRPr="7CD6F03B">
              <w:rPr>
                <w:rFonts w:asciiTheme="minorHAnsi" w:hAnsiTheme="minorHAnsi" w:cstheme="minorBidi"/>
                <w:sz w:val="18"/>
                <w:szCs w:val="18"/>
              </w:rPr>
              <w:t>.</w:t>
            </w:r>
          </w:p>
          <w:p w14:paraId="73D81DD5" w14:textId="5AEBA8E8" w:rsidR="00DB71AF" w:rsidRPr="00D830D9" w:rsidRDefault="23919315" w:rsidP="7CD6F03B">
            <w:pPr>
              <w:contextualSpacing/>
              <w:rPr>
                <w:rFonts w:asciiTheme="minorHAnsi" w:hAnsiTheme="minorHAnsi" w:cstheme="minorBidi"/>
                <w:sz w:val="18"/>
                <w:szCs w:val="18"/>
                <w:lang w:val="es-EC"/>
              </w:rPr>
            </w:pPr>
            <w:r w:rsidRPr="7CD6F03B">
              <w:rPr>
                <w:rFonts w:asciiTheme="minorHAnsi" w:hAnsiTheme="minorHAnsi" w:cstheme="minorBidi"/>
                <w:b/>
                <w:bCs/>
                <w:sz w:val="18"/>
                <w:szCs w:val="18"/>
              </w:rPr>
              <w:t>Suposiciones</w:t>
            </w: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mantendrá activos los mecanismos de aprobación/seguimiento; el proyecto facilitará la financiación y el acceso al mercado para los </w:t>
            </w:r>
            <w:r w:rsidR="00414574">
              <w:rPr>
                <w:rFonts w:asciiTheme="minorHAnsi" w:hAnsiTheme="minorHAnsi" w:cstheme="minorBidi"/>
                <w:sz w:val="18"/>
                <w:szCs w:val="18"/>
              </w:rPr>
              <w:t>PFNM</w:t>
            </w:r>
            <w:r w:rsidRPr="7CD6F03B">
              <w:rPr>
                <w:rFonts w:asciiTheme="minorHAnsi" w:hAnsiTheme="minorHAnsi" w:cstheme="minorBidi"/>
                <w:sz w:val="18"/>
                <w:szCs w:val="18"/>
              </w:rPr>
              <w:t>; los actores locales se verán motivados para llevar a cabo una gestión forestal sostenible. Las prácticas de gestión de la estrategia de gestión de la estrategia se adoptarán una vez que se demuestre la viabilidad técnica/económica y se respalde mediante marketing diferenciado y paquetes tecnológicos sostenibles.</w:t>
            </w:r>
          </w:p>
        </w:tc>
      </w:tr>
      <w:tr w:rsidR="00DB71AF" w:rsidRPr="007D4F41" w14:paraId="4A8FE105" w14:textId="77777777" w:rsidTr="7CD6F03B">
        <w:trPr>
          <w:trHeight w:val="300"/>
        </w:trPr>
        <w:tc>
          <w:tcPr>
            <w:tcW w:w="1583" w:type="dxa"/>
            <w:vMerge/>
          </w:tcPr>
          <w:p w14:paraId="46357A81"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22" w:name="_Hlk196403721"/>
          </w:p>
        </w:tc>
        <w:tc>
          <w:tcPr>
            <w:tcW w:w="2144" w:type="dxa"/>
            <w:gridSpan w:val="2"/>
          </w:tcPr>
          <w:p w14:paraId="6C2B06A9" w14:textId="77777777"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5: Mitigación de emisiones de gases de efecto invernadero </w:t>
            </w:r>
          </w:p>
          <w:p w14:paraId="542475EA" w14:textId="77777777" w:rsidR="00DB71AF" w:rsidRPr="00D830D9" w:rsidRDefault="00DB71AF" w:rsidP="00DB71AF">
            <w:pPr>
              <w:rPr>
                <w:rFonts w:asciiTheme="minorHAnsi" w:hAnsiTheme="minorHAnsi" w:cstheme="minorHAnsi"/>
                <w:sz w:val="18"/>
                <w:szCs w:val="18"/>
                <w:lang w:val="es-EC"/>
              </w:rPr>
            </w:pPr>
          </w:p>
          <w:p w14:paraId="09586CCE" w14:textId="505F75F4" w:rsidR="00DB71AF" w:rsidRPr="00A51E75" w:rsidRDefault="00DB71AF" w:rsidP="00DB71AF">
            <w:pPr>
              <w:rPr>
                <w:rFonts w:asciiTheme="minorHAnsi" w:hAnsiTheme="minorHAnsi" w:cstheme="minorHAnsi"/>
                <w:sz w:val="18"/>
                <w:szCs w:val="18"/>
                <w:lang w:val="en-US"/>
              </w:rPr>
            </w:pPr>
            <w:r w:rsidRPr="00A51E75">
              <w:rPr>
                <w:rFonts w:asciiTheme="minorHAnsi" w:hAnsiTheme="minorHAnsi" w:cstheme="minorHAnsi"/>
                <w:sz w:val="18"/>
                <w:szCs w:val="18"/>
              </w:rPr>
              <w:t>(</w:t>
            </w:r>
            <w:r w:rsidR="00BC67C3">
              <w:rPr>
                <w:rFonts w:asciiTheme="minorHAnsi" w:hAnsiTheme="minorHAnsi" w:cstheme="minorHAnsi"/>
                <w:sz w:val="18"/>
                <w:szCs w:val="18"/>
              </w:rPr>
              <w:t>FMAM</w:t>
            </w:r>
            <w:r w:rsidRPr="00A51E75">
              <w:rPr>
                <w:rFonts w:asciiTheme="minorHAnsi" w:hAnsiTheme="minorHAnsi" w:cstheme="minorHAnsi"/>
                <w:sz w:val="18"/>
                <w:szCs w:val="18"/>
              </w:rPr>
              <w:t xml:space="preserv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6)</w:t>
            </w:r>
          </w:p>
        </w:tc>
        <w:tc>
          <w:tcPr>
            <w:tcW w:w="1802" w:type="dxa"/>
            <w:gridSpan w:val="2"/>
          </w:tcPr>
          <w:p w14:paraId="2993602C" w14:textId="54EB4372" w:rsidR="00DB71AF" w:rsidRPr="00D830D9" w:rsidRDefault="23919315" w:rsidP="7CD6F03B">
            <w:pPr>
              <w:rPr>
                <w:rFonts w:asciiTheme="minorHAnsi" w:hAnsiTheme="minorHAnsi" w:cstheme="minorBidi"/>
                <w:sz w:val="18"/>
                <w:szCs w:val="18"/>
                <w:lang w:val="es-EC"/>
              </w:rPr>
            </w:pPr>
            <w:r w:rsidRPr="7CD6F03B">
              <w:rPr>
                <w:rFonts w:asciiTheme="minorHAnsi" w:hAnsiTheme="minorHAnsi" w:cstheme="minorBidi"/>
                <w:sz w:val="18"/>
                <w:szCs w:val="18"/>
              </w:rPr>
              <w:t xml:space="preserve">Mapa Histórico de la Deforestación (2022); Deforestación proyectada en la cuenca del río Napo (2021-2030) por el Programa de Pagos </w:t>
            </w:r>
            <w:r w:rsidR="003057B2" w:rsidRPr="7CD6F03B">
              <w:rPr>
                <w:rFonts w:asciiTheme="minorHAnsi" w:hAnsiTheme="minorHAnsi" w:cstheme="minorBidi"/>
                <w:sz w:val="18"/>
                <w:szCs w:val="18"/>
              </w:rPr>
              <w:t>Basados</w:t>
            </w:r>
            <w:r w:rsidRPr="7CD6F03B">
              <w:rPr>
                <w:rFonts w:asciiTheme="minorHAnsi" w:hAnsiTheme="minorHAnsi" w:cstheme="minorBidi"/>
                <w:sz w:val="18"/>
                <w:szCs w:val="18"/>
              </w:rPr>
              <w:t xml:space="preserve"> en Resultados (PPR)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-PNUD; Estimación de las emisiones evitadas en las zonas prioritarias Z1-Z7 mediante metodología nacional: deforestación proyectada basada en tasas de 2000–2020; factores oficiales de emisión según la Evaluación Nacional de Bosques.</w:t>
            </w:r>
          </w:p>
          <w:p w14:paraId="1D437DB3" w14:textId="73BBE01D" w:rsidR="00C87A90" w:rsidRPr="00D830D9" w:rsidRDefault="2A7C2373" w:rsidP="1D9DC7A6">
            <w:pPr>
              <w:rPr>
                <w:rFonts w:asciiTheme="minorHAnsi" w:hAnsiTheme="minorHAnsi" w:cstheme="minorBidi"/>
                <w:sz w:val="18"/>
                <w:szCs w:val="18"/>
                <w:lang w:val="es-EC"/>
              </w:rPr>
            </w:pPr>
            <w:r w:rsidRPr="00A51E75">
              <w:rPr>
                <w:rFonts w:asciiTheme="minorHAnsi" w:hAnsiTheme="minorHAnsi" w:cstheme="minorBidi"/>
                <w:color w:val="000000" w:themeColor="text1"/>
                <w:sz w:val="18"/>
                <w:szCs w:val="18"/>
              </w:rPr>
              <w:t xml:space="preserve">Se incluye la hoja de cálculo "Estimación de emisiones V2", que utiliza la metodología </w:t>
            </w:r>
            <w:r w:rsidR="00BC67C3">
              <w:rPr>
                <w:rFonts w:asciiTheme="minorHAnsi" w:hAnsiTheme="minorHAnsi" w:cstheme="minorBidi"/>
                <w:color w:val="000000" w:themeColor="text1"/>
                <w:sz w:val="18"/>
                <w:szCs w:val="18"/>
              </w:rPr>
              <w:t>FMAM</w:t>
            </w:r>
            <w:r w:rsidRPr="00A51E75">
              <w:rPr>
                <w:rFonts w:asciiTheme="minorHAnsi" w:hAnsiTheme="minorHAnsi" w:cstheme="minorBidi"/>
                <w:color w:val="000000" w:themeColor="text1"/>
                <w:sz w:val="18"/>
                <w:szCs w:val="18"/>
              </w:rPr>
              <w:t xml:space="preserve"> para emisiones evitadas durante 20 años.</w:t>
            </w:r>
          </w:p>
        </w:tc>
        <w:tc>
          <w:tcPr>
            <w:tcW w:w="1213" w:type="dxa"/>
            <w:gridSpan w:val="2"/>
          </w:tcPr>
          <w:p w14:paraId="4139F712" w14:textId="1F798752" w:rsidR="00DB71AF" w:rsidRPr="00A51E75" w:rsidRDefault="00DB71AF" w:rsidP="00DB71AF">
            <w:pPr>
              <w:rPr>
                <w:rFonts w:asciiTheme="minorHAnsi" w:hAnsiTheme="minorHAnsi" w:cstheme="minorHAnsi"/>
                <w:sz w:val="18"/>
                <w:szCs w:val="18"/>
              </w:rPr>
            </w:pPr>
            <w:r w:rsidRPr="00A51E75">
              <w:rPr>
                <w:rFonts w:asciiTheme="minorHAnsi" w:hAnsiTheme="minorHAnsi" w:cstheme="minorHAnsi"/>
                <w:sz w:val="18"/>
                <w:szCs w:val="18"/>
              </w:rPr>
              <w:t>0</w:t>
            </w:r>
          </w:p>
        </w:tc>
        <w:tc>
          <w:tcPr>
            <w:tcW w:w="1644" w:type="dxa"/>
          </w:tcPr>
          <w:p w14:paraId="67C84C79" w14:textId="5278573C" w:rsidR="00DB71AF" w:rsidRPr="00A51E75" w:rsidRDefault="00DB71AF" w:rsidP="00DB71AF">
            <w:pPr>
              <w:rPr>
                <w:rFonts w:asciiTheme="minorHAnsi" w:hAnsiTheme="minorHAnsi" w:cstheme="minorHAnsi"/>
                <w:sz w:val="18"/>
                <w:szCs w:val="18"/>
              </w:rPr>
            </w:pPr>
            <w:r w:rsidRPr="00A51E75">
              <w:rPr>
                <w:rFonts w:asciiTheme="minorHAnsi" w:hAnsiTheme="minorHAnsi" w:cstheme="minorHAnsi"/>
                <w:sz w:val="18"/>
                <w:szCs w:val="18"/>
              </w:rPr>
              <w:t xml:space="preserve">200.000 </w:t>
            </w:r>
            <w:proofErr w:type="spellStart"/>
            <w:r w:rsidRPr="00A51E75">
              <w:rPr>
                <w:rFonts w:asciiTheme="minorHAnsi" w:hAnsiTheme="minorHAnsi" w:cstheme="minorHAnsi"/>
                <w:sz w:val="18"/>
                <w:szCs w:val="18"/>
              </w:rPr>
              <w:t>tCO₂eq</w:t>
            </w:r>
            <w:proofErr w:type="spellEnd"/>
          </w:p>
        </w:tc>
        <w:tc>
          <w:tcPr>
            <w:tcW w:w="2081" w:type="dxa"/>
            <w:gridSpan w:val="2"/>
          </w:tcPr>
          <w:p w14:paraId="1FDA559A" w14:textId="3239E2F0" w:rsidR="00DB71AF" w:rsidRPr="00A51E75" w:rsidRDefault="00DB71AF" w:rsidP="00DB71AF">
            <w:pPr>
              <w:rPr>
                <w:rFonts w:asciiTheme="minorHAnsi" w:hAnsiTheme="minorHAnsi" w:cstheme="minorHAnsi"/>
                <w:sz w:val="18"/>
                <w:szCs w:val="18"/>
              </w:rPr>
            </w:pPr>
            <w:r w:rsidRPr="00A51E75">
              <w:rPr>
                <w:rFonts w:asciiTheme="minorHAnsi" w:hAnsiTheme="minorHAnsi" w:cstheme="minorHAnsi"/>
                <w:sz w:val="18"/>
                <w:szCs w:val="18"/>
              </w:rPr>
              <w:t xml:space="preserve">605.643 </w:t>
            </w:r>
            <w:proofErr w:type="spellStart"/>
            <w:r w:rsidRPr="00A51E75">
              <w:rPr>
                <w:rFonts w:asciiTheme="minorHAnsi" w:hAnsiTheme="minorHAnsi" w:cstheme="minorHAnsi"/>
                <w:sz w:val="18"/>
                <w:szCs w:val="18"/>
              </w:rPr>
              <w:t>tCO₂eq</w:t>
            </w:r>
            <w:proofErr w:type="spellEnd"/>
          </w:p>
        </w:tc>
        <w:tc>
          <w:tcPr>
            <w:tcW w:w="1798" w:type="dxa"/>
          </w:tcPr>
          <w:p w14:paraId="1B48DB39" w14:textId="20843A5D"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 xml:space="preserve">La estimación de emisiones evitadas comienza en el segundo año durante un periodo de 4 años. Análisis de deforestación multitemporal en zonas de intervención; Tasas observadas frente a proyectadas para determinar reducciones atribuibles. Reducción estimada: 7% en 2027–2030 (~670.929 </w:t>
            </w:r>
            <w:proofErr w:type="spellStart"/>
            <w:r w:rsidRPr="00A51E75">
              <w:rPr>
                <w:rFonts w:asciiTheme="minorHAnsi" w:hAnsiTheme="minorHAnsi" w:cstheme="minorHAnsi"/>
                <w:sz w:val="18"/>
                <w:szCs w:val="18"/>
              </w:rPr>
              <w:t>tCO₂eq</w:t>
            </w:r>
            <w:proofErr w:type="spellEnd"/>
            <w:r w:rsidRPr="00A51E75">
              <w:rPr>
                <w:rFonts w:asciiTheme="minorHAnsi" w:hAnsiTheme="minorHAnsi" w:cstheme="minorHAnsi"/>
                <w:sz w:val="18"/>
                <w:szCs w:val="18"/>
              </w:rPr>
              <w:t>). No incluye la captura de carbono de</w:t>
            </w:r>
            <w:r w:rsidR="008C2674">
              <w:rPr>
                <w:rFonts w:asciiTheme="minorHAnsi" w:hAnsiTheme="minorHAnsi" w:cstheme="minorHAnsi"/>
                <w:sz w:val="18"/>
                <w:szCs w:val="18"/>
              </w:rPr>
              <w:t xml:space="preserve"> </w:t>
            </w:r>
            <w:r w:rsidR="008C2674" w:rsidRPr="008C2674">
              <w:rPr>
                <w:rFonts w:asciiTheme="minorHAnsi" w:hAnsiTheme="minorHAnsi" w:cstheme="minorHAnsi"/>
                <w:sz w:val="18"/>
                <w:szCs w:val="18"/>
              </w:rPr>
              <w:t>Agricultura, Silvicultura y Otros Usos del Suelo</w:t>
            </w:r>
            <w:r w:rsidRPr="00A51E75">
              <w:rPr>
                <w:rFonts w:asciiTheme="minorHAnsi" w:hAnsiTheme="minorHAnsi" w:cstheme="minorHAnsi"/>
                <w:sz w:val="18"/>
                <w:szCs w:val="18"/>
              </w:rPr>
              <w:t xml:space="preserve"> </w:t>
            </w:r>
            <w:r w:rsidR="008C2674">
              <w:rPr>
                <w:rFonts w:asciiTheme="minorHAnsi" w:hAnsiTheme="minorHAnsi" w:cstheme="minorHAnsi"/>
                <w:sz w:val="18"/>
                <w:szCs w:val="18"/>
              </w:rPr>
              <w:t>(</w:t>
            </w:r>
            <w:r w:rsidRPr="00A51E75">
              <w:rPr>
                <w:rFonts w:asciiTheme="minorHAnsi" w:hAnsiTheme="minorHAnsi" w:cstheme="minorHAnsi"/>
                <w:sz w:val="18"/>
                <w:szCs w:val="18"/>
              </w:rPr>
              <w:t>AFOLU</w:t>
            </w:r>
            <w:r w:rsidR="008C2674">
              <w:rPr>
                <w:rFonts w:asciiTheme="minorHAnsi" w:hAnsiTheme="minorHAnsi" w:cstheme="minorHAnsi"/>
                <w:sz w:val="18"/>
                <w:szCs w:val="18"/>
              </w:rPr>
              <w:t xml:space="preserve"> sigla en inglés)</w:t>
            </w:r>
            <w:r w:rsidRPr="00A51E75">
              <w:rPr>
                <w:rFonts w:asciiTheme="minorHAnsi" w:hAnsiTheme="minorHAnsi" w:cstheme="minorHAnsi"/>
                <w:sz w:val="18"/>
                <w:szCs w:val="18"/>
              </w:rPr>
              <w:t xml:space="preserve"> debido al bajo impacto inicial de mitigación.</w:t>
            </w:r>
          </w:p>
        </w:tc>
        <w:tc>
          <w:tcPr>
            <w:tcW w:w="2124" w:type="dxa"/>
          </w:tcPr>
          <w:p w14:paraId="78908F57" w14:textId="77777777" w:rsidR="00DB71AF" w:rsidRPr="00D830D9" w:rsidRDefault="00DB71AF" w:rsidP="00DB71AF">
            <w:pPr>
              <w:spacing w:after="160" w:line="259" w:lineRule="auto"/>
              <w:rPr>
                <w:rFonts w:asciiTheme="minorHAnsi" w:hAnsiTheme="minorHAnsi" w:cstheme="minorHAnsi"/>
                <w:sz w:val="18"/>
                <w:szCs w:val="18"/>
                <w:lang w:val="es-EC"/>
              </w:rPr>
            </w:pPr>
            <w:r w:rsidRPr="00A51E75">
              <w:rPr>
                <w:rFonts w:asciiTheme="minorHAnsi" w:hAnsiTheme="minorHAnsi" w:cstheme="minorHAnsi"/>
                <w:sz w:val="18"/>
                <w:szCs w:val="18"/>
              </w:rPr>
              <w:t>Riesgos: La alta demanda y los precios de los productos agrícolas (por ejemplo, cacao) pueden aumentar la deforestación. Otras amenazas: expansión no planificada, infraestructuras, actividades extractivas, inestabilidad política e institucional. Los riesgos técnicos incluyen desafíos en el análisis multitemporal. Bajo impacto inicial de la restauración y la producción sostenible.</w:t>
            </w:r>
          </w:p>
          <w:p w14:paraId="2BC5490A" w14:textId="028506D6" w:rsidR="00DB71AF" w:rsidRPr="00D830D9" w:rsidRDefault="23919315" w:rsidP="7CD6F03B">
            <w:pPr>
              <w:rPr>
                <w:rFonts w:asciiTheme="minorHAnsi" w:hAnsiTheme="minorHAnsi" w:cstheme="minorBidi"/>
                <w:sz w:val="18"/>
                <w:szCs w:val="18"/>
                <w:lang w:val="es-EC"/>
              </w:rPr>
            </w:pPr>
            <w:r w:rsidRPr="7CD6F03B">
              <w:rPr>
                <w:rFonts w:asciiTheme="minorHAnsi" w:hAnsiTheme="minorHAnsi" w:cstheme="minorBidi"/>
                <w:sz w:val="18"/>
                <w:szCs w:val="18"/>
              </w:rPr>
              <w:t xml:space="preserve">Supuestos: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mantiene la consistencia metodológica y la disponibilidad de datos (por ejemplo, desde PPR). La implementación efectiva logra una reducción del 7% de la deforestación. Compromiso de las partes interesadas con la conservación forestal. Condiciones institucionales y financieras adecuadas para apoyar la mitigación y el seguimiento (2027–2030).</w:t>
            </w:r>
          </w:p>
        </w:tc>
      </w:tr>
      <w:bookmarkEnd w:id="22"/>
      <w:tr w:rsidR="00DB71AF" w:rsidRPr="007D4F41" w14:paraId="2AA8C2DC" w14:textId="77777777" w:rsidTr="7CD6F03B">
        <w:trPr>
          <w:trHeight w:val="300"/>
        </w:trPr>
        <w:tc>
          <w:tcPr>
            <w:tcW w:w="1583" w:type="dxa"/>
            <w:shd w:val="clear" w:color="auto" w:fill="D0CECE" w:themeFill="background2" w:themeFillShade="E6"/>
          </w:tcPr>
          <w:p w14:paraId="0CB8553C"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Componente del proyecto 1</w:t>
            </w:r>
          </w:p>
        </w:tc>
        <w:tc>
          <w:tcPr>
            <w:tcW w:w="12806" w:type="dxa"/>
            <w:gridSpan w:val="11"/>
            <w:shd w:val="clear" w:color="auto" w:fill="D0CECE" w:themeFill="background2" w:themeFillShade="E6"/>
          </w:tcPr>
          <w:p w14:paraId="16AA9F2A" w14:textId="0D1A6688" w:rsidR="00DB71AF" w:rsidRPr="00D830D9" w:rsidRDefault="00DB71AF" w:rsidP="00DB71AF">
            <w:pPr>
              <w:jc w:val="both"/>
              <w:rPr>
                <w:rFonts w:asciiTheme="minorHAnsi" w:hAnsiTheme="minorHAnsi" w:cstheme="minorHAnsi"/>
                <w:sz w:val="18"/>
                <w:szCs w:val="18"/>
                <w:lang w:val="es-EC"/>
              </w:rPr>
            </w:pPr>
            <w:r w:rsidRPr="00A51E75">
              <w:rPr>
                <w:rFonts w:asciiTheme="minorHAnsi" w:hAnsiTheme="minorHAnsi" w:cstheme="minorHAnsi"/>
                <w:b/>
                <w:bCs/>
                <w:sz w:val="18"/>
                <w:szCs w:val="18"/>
              </w:rPr>
              <w:t>1: Marco de gobernanza y coordinación multinivel para la gestión territorial</w:t>
            </w:r>
          </w:p>
        </w:tc>
      </w:tr>
      <w:tr w:rsidR="007A4A09" w:rsidRPr="007D4F41" w14:paraId="23B96E76" w14:textId="77777777" w:rsidTr="7CD6F03B">
        <w:trPr>
          <w:trHeight w:val="300"/>
        </w:trPr>
        <w:tc>
          <w:tcPr>
            <w:tcW w:w="1583" w:type="dxa"/>
            <w:vMerge w:val="restart"/>
          </w:tcPr>
          <w:p w14:paraId="27483908" w14:textId="77777777" w:rsidR="00DB71AF" w:rsidRPr="00D830D9" w:rsidRDefault="00DB71AF" w:rsidP="00DB71AF">
            <w:pPr>
              <w:spacing w:after="60"/>
              <w:jc w:val="both"/>
              <w:rPr>
                <w:rFonts w:asciiTheme="minorHAnsi" w:hAnsiTheme="minorHAnsi" w:cstheme="minorHAnsi"/>
                <w:b/>
                <w:sz w:val="18"/>
                <w:szCs w:val="18"/>
                <w:lang w:val="es-EC"/>
              </w:rPr>
            </w:pPr>
            <w:bookmarkStart w:id="23" w:name="_heading=h.lgtad8vjdo4d" w:colFirst="0" w:colLast="0"/>
            <w:bookmarkEnd w:id="23"/>
            <w:r w:rsidRPr="00A51E75">
              <w:rPr>
                <w:rFonts w:asciiTheme="minorHAnsi" w:hAnsiTheme="minorHAnsi" w:cstheme="minorHAnsi"/>
                <w:b/>
                <w:sz w:val="18"/>
                <w:szCs w:val="18"/>
              </w:rPr>
              <w:t xml:space="preserve">Resultado del proyecto 1.1. </w:t>
            </w:r>
          </w:p>
          <w:p w14:paraId="18C0A9D9" w14:textId="7292CAD3"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El marco regulatorio y los instrumentos locales de </w:t>
            </w:r>
            <w:r w:rsidRPr="00A51E75">
              <w:rPr>
                <w:rFonts w:asciiTheme="minorHAnsi" w:hAnsiTheme="minorHAnsi" w:cstheme="minorHAnsi"/>
                <w:sz w:val="18"/>
                <w:szCs w:val="18"/>
              </w:rPr>
              <w:lastRenderedPageBreak/>
              <w:t>planificación territorial se fortalecen mediante métodos participativos para la gestión integrada del paisaje, la biodiversidad y los recursos hídricos.</w:t>
            </w:r>
          </w:p>
        </w:tc>
        <w:tc>
          <w:tcPr>
            <w:tcW w:w="2144" w:type="dxa"/>
            <w:gridSpan w:val="2"/>
            <w:shd w:val="clear" w:color="auto" w:fill="FFFFFF" w:themeFill="background1"/>
          </w:tcPr>
          <w:p w14:paraId="32409751" w14:textId="538CC18B"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Indicador 6: Número de regulaciones, políticas y planes de gestión territorial alineados e implementados con la participación efectiva </w:t>
            </w:r>
            <w:r w:rsidRPr="00A51E75">
              <w:rPr>
                <w:rFonts w:asciiTheme="minorHAnsi" w:hAnsiTheme="minorHAnsi" w:cstheme="minorHAnsi"/>
                <w:sz w:val="18"/>
                <w:szCs w:val="18"/>
              </w:rPr>
              <w:lastRenderedPageBreak/>
              <w:t xml:space="preserve">de las mujeres y los pueblos indígenas. </w:t>
            </w:r>
          </w:p>
        </w:tc>
        <w:tc>
          <w:tcPr>
            <w:tcW w:w="1802" w:type="dxa"/>
            <w:gridSpan w:val="2"/>
            <w:shd w:val="clear" w:color="auto" w:fill="FFFFFF" w:themeFill="background1"/>
          </w:tcPr>
          <w:p w14:paraId="72F9BBB7" w14:textId="28DEE82E" w:rsidR="00DB71AF" w:rsidRPr="00A51E75" w:rsidRDefault="00DB71AF" w:rsidP="00DB71AF">
            <w:pPr>
              <w:spacing w:after="60"/>
              <w:contextualSpacing/>
              <w:rPr>
                <w:rFonts w:asciiTheme="minorHAnsi" w:hAnsiTheme="minorHAnsi" w:cstheme="minorHAnsi"/>
                <w:sz w:val="18"/>
                <w:szCs w:val="18"/>
              </w:rPr>
            </w:pPr>
            <w:r w:rsidRPr="00A51E75">
              <w:rPr>
                <w:rFonts w:asciiTheme="minorHAnsi" w:hAnsiTheme="minorHAnsi" w:cstheme="minorHAnsi"/>
                <w:sz w:val="18"/>
                <w:szCs w:val="18"/>
              </w:rPr>
              <w:lastRenderedPageBreak/>
              <w:t xml:space="preserve">Sistema de seguimiento bianual sobre la participación e implementación del Plan de Participación. Registros de asistencia a reuniones, entrevistas y </w:t>
            </w:r>
            <w:r w:rsidRPr="00A51E75">
              <w:rPr>
                <w:rFonts w:asciiTheme="minorHAnsi" w:hAnsiTheme="minorHAnsi" w:cstheme="minorHAnsi"/>
                <w:sz w:val="18"/>
                <w:szCs w:val="18"/>
              </w:rPr>
              <w:lastRenderedPageBreak/>
              <w:t xml:space="preserve">grupos focales. Revisión de las decisiones adoptadas por actores locales. Sistema de representación en mecanismos de gobernanza. Resoluciones oficiales y documentos. </w:t>
            </w:r>
          </w:p>
        </w:tc>
        <w:tc>
          <w:tcPr>
            <w:tcW w:w="1213" w:type="dxa"/>
            <w:gridSpan w:val="2"/>
            <w:shd w:val="clear" w:color="auto" w:fill="FFFFFF" w:themeFill="background1"/>
          </w:tcPr>
          <w:p w14:paraId="71A34BA5" w14:textId="2040EC82" w:rsidR="00DB71AF" w:rsidRPr="00A51E75" w:rsidRDefault="00DB71AF" w:rsidP="00DB71AF">
            <w:pPr>
              <w:spacing w:after="60"/>
              <w:contextualSpacing/>
              <w:jc w:val="center"/>
              <w:rPr>
                <w:rFonts w:asciiTheme="minorHAnsi" w:hAnsiTheme="minorHAnsi" w:cstheme="minorHAnsi"/>
                <w:sz w:val="18"/>
                <w:szCs w:val="18"/>
                <w:lang w:val="en-US"/>
              </w:rPr>
            </w:pPr>
            <w:r w:rsidRPr="00A51E75">
              <w:rPr>
                <w:rFonts w:asciiTheme="minorHAnsi" w:hAnsiTheme="minorHAnsi" w:cstheme="minorHAnsi"/>
                <w:sz w:val="18"/>
                <w:szCs w:val="18"/>
              </w:rPr>
              <w:lastRenderedPageBreak/>
              <w:t xml:space="preserve"> 0</w:t>
            </w:r>
          </w:p>
        </w:tc>
        <w:tc>
          <w:tcPr>
            <w:tcW w:w="1644" w:type="dxa"/>
            <w:shd w:val="clear" w:color="auto" w:fill="FFFFFF" w:themeFill="background1"/>
          </w:tcPr>
          <w:p w14:paraId="3D1442B3" w14:textId="47C93224" w:rsidR="00DB71AF" w:rsidRPr="00D830D9" w:rsidRDefault="00DB71AF" w:rsidP="006E4DDA">
            <w:pPr>
              <w:spacing w:after="60"/>
              <w:contextualSpacing/>
              <w:rPr>
                <w:rFonts w:asciiTheme="minorHAnsi" w:hAnsiTheme="minorHAnsi" w:cstheme="minorBidi"/>
                <w:sz w:val="18"/>
                <w:szCs w:val="18"/>
                <w:lang w:val="es-EC"/>
              </w:rPr>
            </w:pPr>
            <w:r w:rsidRPr="00A51E75">
              <w:rPr>
                <w:rFonts w:asciiTheme="minorHAnsi" w:hAnsiTheme="minorHAnsi" w:cstheme="minorBidi"/>
                <w:sz w:val="18"/>
                <w:szCs w:val="18"/>
              </w:rPr>
              <w:t xml:space="preserve"> </w:t>
            </w:r>
            <w:r w:rsidRPr="00A51E75">
              <w:rPr>
                <w:rFonts w:asciiTheme="minorHAnsi" w:hAnsiTheme="minorHAnsi" w:cstheme="minorHAnsi"/>
                <w:sz w:val="18"/>
                <w:szCs w:val="18"/>
              </w:rPr>
              <w:t xml:space="preserve">- Al menos 1 regulación o al menos 1 política pública implementada - Al menos 1 plan </w:t>
            </w:r>
            <w:r w:rsidRPr="00A51E75">
              <w:rPr>
                <w:rFonts w:asciiTheme="minorHAnsi" w:hAnsiTheme="minorHAnsi" w:cstheme="minorHAnsi"/>
                <w:sz w:val="18"/>
                <w:szCs w:val="18"/>
              </w:rPr>
              <w:lastRenderedPageBreak/>
              <w:t>de gestión territorial</w:t>
            </w:r>
          </w:p>
        </w:tc>
        <w:tc>
          <w:tcPr>
            <w:tcW w:w="2081" w:type="dxa"/>
            <w:gridSpan w:val="2"/>
            <w:shd w:val="clear" w:color="auto" w:fill="FFFFFF" w:themeFill="background1"/>
          </w:tcPr>
          <w:p w14:paraId="3DC6B1B9" w14:textId="58DEA8B0" w:rsidR="00DB71AF" w:rsidRPr="00D830D9" w:rsidRDefault="00DB71AF" w:rsidP="006E4DDA">
            <w:pPr>
              <w:spacing w:after="60"/>
              <w:contextualSpacing/>
              <w:rPr>
                <w:rFonts w:asciiTheme="minorHAnsi" w:hAnsiTheme="minorHAnsi" w:cstheme="minorBidi"/>
                <w:sz w:val="18"/>
                <w:szCs w:val="18"/>
                <w:lang w:val="es-EC"/>
              </w:rPr>
            </w:pPr>
            <w:r w:rsidRPr="00A51E75">
              <w:rPr>
                <w:rFonts w:asciiTheme="minorHAnsi" w:hAnsiTheme="minorHAnsi" w:cstheme="minorBidi"/>
                <w:sz w:val="18"/>
                <w:szCs w:val="18"/>
              </w:rPr>
              <w:lastRenderedPageBreak/>
              <w:t xml:space="preserve"> </w:t>
            </w:r>
            <w:r w:rsidRPr="00A51E75">
              <w:rPr>
                <w:rFonts w:asciiTheme="minorHAnsi" w:hAnsiTheme="minorHAnsi" w:cstheme="minorHAnsi"/>
                <w:sz w:val="18"/>
                <w:szCs w:val="18"/>
              </w:rPr>
              <w:t xml:space="preserve">- Al menos 2 reglamentos o al menos 2 políticas públicas implementadas - Al menos 2 planes de gestión territorial </w:t>
            </w:r>
          </w:p>
        </w:tc>
        <w:tc>
          <w:tcPr>
            <w:tcW w:w="1798" w:type="dxa"/>
            <w:shd w:val="clear" w:color="auto" w:fill="FFFFFF" w:themeFill="background1"/>
          </w:tcPr>
          <w:p w14:paraId="4F62DB64" w14:textId="7F1B2962"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 Revisión documental de regulaciones, políticas y planes de gestión territorial alineados e implementados. Verificación de </w:t>
            </w:r>
            <w:r w:rsidRPr="00A51E75">
              <w:rPr>
                <w:rFonts w:asciiTheme="minorHAnsi" w:hAnsiTheme="minorHAnsi" w:cstheme="minorHAnsi"/>
                <w:sz w:val="18"/>
                <w:szCs w:val="18"/>
              </w:rPr>
              <w:lastRenderedPageBreak/>
              <w:t xml:space="preserve">resoluciones oficiales y documentos que apoyan los mecanismos de gobernanza multisectorial. Registros de asistencia de eventos participativos. Entrevistas semiestructuradas y grupos focales con partes interesadas clave (incluidas mujeres y pueblos indígenas) para evaluar la </w:t>
            </w:r>
            <w:proofErr w:type="gramStart"/>
            <w:r w:rsidRPr="00A51E75">
              <w:rPr>
                <w:rFonts w:asciiTheme="minorHAnsi" w:hAnsiTheme="minorHAnsi" w:cstheme="minorHAnsi"/>
                <w:sz w:val="18"/>
                <w:szCs w:val="18"/>
              </w:rPr>
              <w:t>participación activa</w:t>
            </w:r>
            <w:proofErr w:type="gramEnd"/>
            <w:r w:rsidRPr="00A51E75">
              <w:rPr>
                <w:rFonts w:asciiTheme="minorHAnsi" w:hAnsiTheme="minorHAnsi" w:cstheme="minorHAnsi"/>
                <w:sz w:val="18"/>
                <w:szCs w:val="18"/>
              </w:rPr>
              <w:t xml:space="preserve"> en los procesos de planificación y gobernanza. Seguimiento del proceso de articulación de normas territoriales basadas en cuencas hidrográficas. </w:t>
            </w:r>
          </w:p>
        </w:tc>
        <w:tc>
          <w:tcPr>
            <w:tcW w:w="2124" w:type="dxa"/>
            <w:shd w:val="clear" w:color="auto" w:fill="FFFFFF" w:themeFill="background1"/>
          </w:tcPr>
          <w:p w14:paraId="22AC5DFB" w14:textId="77777777"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 Riesgos: Falta de voluntad política, bajo interés de los actores locales, debilidad de los mecanismos de gobernanza existentes. </w:t>
            </w:r>
          </w:p>
          <w:p w14:paraId="52EC0750" w14:textId="77777777" w:rsidR="00DB71AF" w:rsidRPr="00D830D9" w:rsidRDefault="00DB71AF" w:rsidP="00DB71AF">
            <w:pPr>
              <w:spacing w:after="60"/>
              <w:contextualSpacing/>
              <w:rPr>
                <w:rFonts w:asciiTheme="minorHAnsi" w:hAnsiTheme="minorHAnsi" w:cstheme="minorHAnsi"/>
                <w:sz w:val="18"/>
                <w:szCs w:val="18"/>
                <w:lang w:val="es-EC"/>
              </w:rPr>
            </w:pPr>
          </w:p>
          <w:p w14:paraId="3B46BC7A" w14:textId="499E2486"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lastRenderedPageBreak/>
              <w:t>Suposiciones: Actores locales comprometidos, fortalecimiento de capacidades para una participación efectiva, disponibilidad de recursos técnicos y financieros.</w:t>
            </w:r>
          </w:p>
        </w:tc>
      </w:tr>
      <w:tr w:rsidR="007A4A09" w:rsidRPr="007D4F41" w14:paraId="3B4525B3" w14:textId="77777777" w:rsidTr="7CD6F03B">
        <w:trPr>
          <w:trHeight w:val="300"/>
        </w:trPr>
        <w:tc>
          <w:tcPr>
            <w:tcW w:w="1583" w:type="dxa"/>
            <w:vMerge/>
          </w:tcPr>
          <w:p w14:paraId="1BCF6C0D"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24" w:name="_Hlk193727687"/>
          </w:p>
        </w:tc>
        <w:tc>
          <w:tcPr>
            <w:tcW w:w="2144" w:type="dxa"/>
            <w:gridSpan w:val="2"/>
            <w:shd w:val="clear" w:color="auto" w:fill="FFFFFF" w:themeFill="background1"/>
          </w:tcPr>
          <w:p w14:paraId="66F82BBA" w14:textId="77777777" w:rsidR="0071587F" w:rsidRPr="00D830D9" w:rsidRDefault="00DB71AF" w:rsidP="0071587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t>Indicador 7</w:t>
            </w:r>
            <w:r w:rsidR="0071587F" w:rsidRPr="00A51E75">
              <w:rPr>
                <w:rStyle w:val="Refdenotaalpie"/>
                <w:rFonts w:asciiTheme="minorHAnsi" w:hAnsiTheme="minorHAnsi" w:cstheme="minorHAnsi"/>
                <w:sz w:val="18"/>
                <w:szCs w:val="18"/>
              </w:rPr>
              <w:footnoteReference w:id="13"/>
            </w:r>
            <w:r w:rsidRPr="00A51E75">
              <w:rPr>
                <w:rFonts w:asciiTheme="minorHAnsi" w:hAnsiTheme="minorHAnsi" w:cstheme="minorHAnsi"/>
                <w:sz w:val="18"/>
                <w:szCs w:val="18"/>
              </w:rPr>
              <w:t xml:space="preserve">: Número de mecanismos de gobernanza (por ejemplo, plataformas de coordinación multisectorial) y acuerdos interinstitucionales (por ejemplo, sobre gestión territorial y de recursos hídricos) implementados o reforzados con la participación efectiva </w:t>
            </w:r>
            <w:r w:rsidRPr="00A51E75">
              <w:rPr>
                <w:rFonts w:asciiTheme="minorHAnsi" w:hAnsiTheme="minorHAnsi" w:cstheme="minorHAnsi"/>
                <w:sz w:val="18"/>
                <w:szCs w:val="18"/>
              </w:rPr>
              <w:lastRenderedPageBreak/>
              <w:t>de mujeres y pueblos indígenas.</w:t>
            </w:r>
          </w:p>
          <w:p w14:paraId="1C5B05FB" w14:textId="70FA4D17"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 </w:t>
            </w:r>
          </w:p>
          <w:p w14:paraId="7F70F7A0" w14:textId="4803CBAA"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Contribuye al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 del </w:t>
            </w:r>
            <w:r w:rsidR="00BC67C3">
              <w:rPr>
                <w:rFonts w:asciiTheme="minorHAnsi" w:hAnsiTheme="minorHAnsi" w:cstheme="minorHAnsi"/>
                <w:sz w:val="18"/>
                <w:szCs w:val="18"/>
              </w:rPr>
              <w:t>FMAM</w:t>
            </w:r>
            <w:r w:rsidRPr="00A51E75">
              <w:rPr>
                <w:rFonts w:asciiTheme="minorHAnsi" w:hAnsiTheme="minorHAnsi" w:cstheme="minorHAnsi"/>
                <w:sz w:val="18"/>
                <w:szCs w:val="18"/>
              </w:rPr>
              <w:t xml:space="preserve">: Subindicadores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11.1 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11.2: 40% mujeres. </w:t>
            </w:r>
          </w:p>
        </w:tc>
        <w:tc>
          <w:tcPr>
            <w:tcW w:w="1802" w:type="dxa"/>
            <w:gridSpan w:val="2"/>
            <w:shd w:val="clear" w:color="auto" w:fill="FFFFFF" w:themeFill="background1"/>
          </w:tcPr>
          <w:p w14:paraId="2BD8AB37" w14:textId="08A1B537" w:rsidR="00DB71AF" w:rsidRPr="00D830D9" w:rsidRDefault="23919315" w:rsidP="7CD6F03B">
            <w:pPr>
              <w:spacing w:after="60"/>
              <w:contextualSpacing/>
              <w:rPr>
                <w:rFonts w:asciiTheme="minorHAnsi" w:hAnsiTheme="minorHAnsi" w:cstheme="minorBidi"/>
                <w:sz w:val="18"/>
                <w:szCs w:val="18"/>
                <w:lang w:val="es-EC"/>
              </w:rPr>
            </w:pPr>
            <w:r w:rsidRPr="7CD6F03B">
              <w:rPr>
                <w:rFonts w:asciiTheme="minorHAnsi" w:hAnsiTheme="minorHAnsi" w:cstheme="minorBidi"/>
                <w:sz w:val="18"/>
                <w:szCs w:val="18"/>
              </w:rPr>
              <w:lastRenderedPageBreak/>
              <w:t xml:space="preserve">Registros e informes de </w:t>
            </w:r>
            <w:r w:rsidR="009E221F" w:rsidRPr="7CD6F03B">
              <w:rPr>
                <w:rFonts w:asciiTheme="minorHAnsi" w:hAnsiTheme="minorHAnsi" w:cstheme="minorBidi"/>
                <w:sz w:val="18"/>
                <w:szCs w:val="18"/>
              </w:rPr>
              <w:t>MAGP</w:t>
            </w: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w:t>
            </w:r>
            <w:proofErr w:type="spellStart"/>
            <w:r w:rsidRPr="7CD6F03B">
              <w:rPr>
                <w:rFonts w:asciiTheme="minorHAnsi" w:hAnsiTheme="minorHAnsi" w:cstheme="minorBidi"/>
                <w:sz w:val="18"/>
                <w:szCs w:val="18"/>
              </w:rPr>
              <w:t>GADs</w:t>
            </w:r>
            <w:proofErr w:type="spellEnd"/>
            <w:r w:rsidRPr="7CD6F03B">
              <w:rPr>
                <w:rFonts w:asciiTheme="minorHAnsi" w:hAnsiTheme="minorHAnsi" w:cstheme="minorBidi"/>
                <w:sz w:val="18"/>
                <w:szCs w:val="18"/>
              </w:rPr>
              <w:t xml:space="preserve">, el Consejo de Cuencas, la Universidad IKIAM, el Observatorio de Degradación de Tierras, la Mesa Redonda REDD+ y la Plataforma de Diálogo Multisectorial (WCS); actas, acuerdos y acuerdos interinstitucionales. </w:t>
            </w:r>
          </w:p>
        </w:tc>
        <w:tc>
          <w:tcPr>
            <w:tcW w:w="1213" w:type="dxa"/>
            <w:gridSpan w:val="2"/>
            <w:shd w:val="clear" w:color="auto" w:fill="FFFFFF" w:themeFill="background1"/>
          </w:tcPr>
          <w:p w14:paraId="322D1AA6" w14:textId="5DC1BAC0" w:rsidR="00DB71AF" w:rsidRPr="00A51E75" w:rsidRDefault="00DB71AF" w:rsidP="00DB71AF">
            <w:pPr>
              <w:spacing w:after="60"/>
              <w:contextualSpacing/>
              <w:rPr>
                <w:rFonts w:asciiTheme="minorHAnsi" w:hAnsiTheme="minorHAnsi" w:cstheme="minorHAnsi"/>
                <w:sz w:val="18"/>
                <w:szCs w:val="18"/>
              </w:rPr>
            </w:pPr>
            <w:r w:rsidRPr="00A51E75">
              <w:rPr>
                <w:rFonts w:asciiTheme="minorHAnsi" w:hAnsiTheme="minorHAnsi" w:cstheme="minorHAnsi"/>
                <w:sz w:val="18"/>
                <w:szCs w:val="18"/>
              </w:rPr>
              <w:t xml:space="preserve"> 0 </w:t>
            </w:r>
          </w:p>
        </w:tc>
        <w:tc>
          <w:tcPr>
            <w:tcW w:w="1644" w:type="dxa"/>
            <w:shd w:val="clear" w:color="auto" w:fill="FFFFFF" w:themeFill="background1"/>
          </w:tcPr>
          <w:p w14:paraId="5C14C6D8" w14:textId="4D6C4D70" w:rsidR="0071587F" w:rsidRPr="00A51E75" w:rsidRDefault="0071587F" w:rsidP="0071587F">
            <w:pPr>
              <w:spacing w:after="60"/>
              <w:contextualSpacing/>
              <w:rPr>
                <w:rFonts w:asciiTheme="minorHAnsi" w:hAnsiTheme="minorHAnsi" w:cstheme="minorBidi"/>
                <w:sz w:val="18"/>
                <w:szCs w:val="18"/>
                <w:lang w:val="en-US"/>
              </w:rPr>
            </w:pPr>
            <w:r w:rsidRPr="00A51E75">
              <w:rPr>
                <w:rFonts w:asciiTheme="minorHAnsi" w:hAnsiTheme="minorHAnsi" w:cstheme="minorBidi"/>
                <w:sz w:val="18"/>
                <w:szCs w:val="18"/>
              </w:rPr>
              <w:t>Al menos 1 mecanismo y 1 acuerdo</w:t>
            </w:r>
          </w:p>
          <w:p w14:paraId="52E39176" w14:textId="09EE52DC" w:rsidR="00DB71AF" w:rsidRPr="00A51E75" w:rsidRDefault="00DB71AF" w:rsidP="00DB71AF">
            <w:pPr>
              <w:spacing w:after="60"/>
              <w:contextualSpacing/>
              <w:rPr>
                <w:rFonts w:asciiTheme="minorHAnsi" w:hAnsiTheme="minorHAnsi" w:cstheme="minorBidi"/>
                <w:sz w:val="18"/>
                <w:szCs w:val="18"/>
                <w:lang w:val="en-US"/>
              </w:rPr>
            </w:pPr>
            <w:r w:rsidRPr="00A51E75">
              <w:rPr>
                <w:rFonts w:asciiTheme="minorHAnsi" w:hAnsiTheme="minorHAnsi" w:cstheme="minorBidi"/>
                <w:sz w:val="18"/>
                <w:szCs w:val="18"/>
              </w:rPr>
              <w:t xml:space="preserve"> </w:t>
            </w:r>
          </w:p>
        </w:tc>
        <w:tc>
          <w:tcPr>
            <w:tcW w:w="2081" w:type="dxa"/>
            <w:gridSpan w:val="2"/>
            <w:shd w:val="clear" w:color="auto" w:fill="FFFFFF" w:themeFill="background1"/>
          </w:tcPr>
          <w:p w14:paraId="6595C6AB" w14:textId="4EE392AF" w:rsidR="0071587F" w:rsidRPr="00A51E75" w:rsidRDefault="0071587F" w:rsidP="0071587F">
            <w:pPr>
              <w:spacing w:after="60"/>
              <w:contextualSpacing/>
              <w:rPr>
                <w:rFonts w:asciiTheme="minorHAnsi" w:hAnsiTheme="minorHAnsi" w:cstheme="minorBidi"/>
                <w:sz w:val="18"/>
                <w:szCs w:val="18"/>
              </w:rPr>
            </w:pPr>
            <w:r w:rsidRPr="00A51E75">
              <w:rPr>
                <w:rFonts w:asciiTheme="minorHAnsi" w:hAnsiTheme="minorHAnsi" w:cstheme="minorBidi"/>
                <w:sz w:val="18"/>
                <w:szCs w:val="18"/>
              </w:rPr>
              <w:t>Al menos 2 mecanismos y 2 acuerdos</w:t>
            </w:r>
          </w:p>
          <w:p w14:paraId="5B67C8D3" w14:textId="0B7F2AFB" w:rsidR="00DB71AF" w:rsidRPr="00A51E75" w:rsidRDefault="00DB71AF" w:rsidP="00DB71AF">
            <w:pPr>
              <w:spacing w:after="60"/>
              <w:contextualSpacing/>
              <w:rPr>
                <w:rFonts w:asciiTheme="minorHAnsi" w:hAnsiTheme="minorHAnsi" w:cstheme="minorBidi"/>
                <w:sz w:val="18"/>
                <w:szCs w:val="18"/>
              </w:rPr>
            </w:pPr>
            <w:r w:rsidRPr="00A51E75">
              <w:rPr>
                <w:rFonts w:asciiTheme="minorHAnsi" w:hAnsiTheme="minorHAnsi" w:cstheme="minorBidi"/>
                <w:sz w:val="18"/>
                <w:szCs w:val="18"/>
              </w:rPr>
              <w:t xml:space="preserve"> </w:t>
            </w:r>
          </w:p>
        </w:tc>
        <w:tc>
          <w:tcPr>
            <w:tcW w:w="1798" w:type="dxa"/>
            <w:shd w:val="clear" w:color="auto" w:fill="FFFFFF" w:themeFill="background1"/>
          </w:tcPr>
          <w:p w14:paraId="1D0916DE" w14:textId="63B35511"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 Revisión y análisis de acuerdos, memorandos de entendimiento, actas firmadas, informes de reuniones, informes de implementación. Encuestas y entrevistas con actores clave sobre su participación en los espacios de gobernanza. Evaluación del </w:t>
            </w:r>
            <w:r w:rsidRPr="00A51E75">
              <w:rPr>
                <w:rFonts w:asciiTheme="minorHAnsi" w:hAnsiTheme="minorHAnsi" w:cstheme="minorHAnsi"/>
                <w:sz w:val="18"/>
                <w:szCs w:val="18"/>
              </w:rPr>
              <w:lastRenderedPageBreak/>
              <w:t xml:space="preserve">impacto de los mecanismos de gobernanza en la toma de decisiones y el desarrollo de políticas locales. </w:t>
            </w:r>
          </w:p>
        </w:tc>
        <w:tc>
          <w:tcPr>
            <w:tcW w:w="2124" w:type="dxa"/>
            <w:shd w:val="clear" w:color="auto" w:fill="FFFFFF" w:themeFill="background1"/>
          </w:tcPr>
          <w:p w14:paraId="7F0295FB" w14:textId="77777777"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Riesgos: Falta de voluntad política; débil coordinación interinstitucional; baja participación efectiva de mujeres y pueblos indígenas. </w:t>
            </w:r>
          </w:p>
          <w:p w14:paraId="4E1393D9" w14:textId="77777777" w:rsidR="00DB71AF" w:rsidRPr="00D830D9" w:rsidRDefault="00DB71AF" w:rsidP="00DB71AF">
            <w:pPr>
              <w:spacing w:after="60"/>
              <w:contextualSpacing/>
              <w:rPr>
                <w:rFonts w:asciiTheme="minorHAnsi" w:hAnsiTheme="minorHAnsi" w:cstheme="minorHAnsi"/>
                <w:sz w:val="18"/>
                <w:szCs w:val="18"/>
                <w:lang w:val="es-EC"/>
              </w:rPr>
            </w:pPr>
          </w:p>
          <w:p w14:paraId="2D76A282" w14:textId="2140CD60" w:rsidR="00DB71AF" w:rsidRPr="00D830D9" w:rsidRDefault="00DB71AF" w:rsidP="00DB71AF">
            <w:pPr>
              <w:spacing w:after="60"/>
              <w:contextualSpacing/>
              <w:rPr>
                <w:rFonts w:asciiTheme="minorHAnsi" w:hAnsiTheme="minorHAnsi" w:cstheme="minorHAnsi"/>
                <w:sz w:val="18"/>
                <w:szCs w:val="18"/>
                <w:lang w:val="es-EC"/>
              </w:rPr>
            </w:pPr>
            <w:r w:rsidRPr="00A51E75">
              <w:rPr>
                <w:rFonts w:asciiTheme="minorHAnsi" w:hAnsiTheme="minorHAnsi" w:cstheme="minorHAnsi"/>
                <w:sz w:val="18"/>
                <w:szCs w:val="18"/>
              </w:rPr>
              <w:t xml:space="preserve">Suposiciones: Compromiso institucional para fortalecer la gobernanza; disponibilidad de recursos; actores locales </w:t>
            </w:r>
            <w:r w:rsidRPr="00A51E75">
              <w:rPr>
                <w:rFonts w:asciiTheme="minorHAnsi" w:hAnsiTheme="minorHAnsi" w:cstheme="minorHAnsi"/>
                <w:sz w:val="18"/>
                <w:szCs w:val="18"/>
              </w:rPr>
              <w:lastRenderedPageBreak/>
              <w:t>motivados a participar activamente en los espacios establecidos.</w:t>
            </w:r>
          </w:p>
        </w:tc>
      </w:tr>
      <w:tr w:rsidR="00633FEC" w:rsidRPr="007D4F41" w14:paraId="4CB6460B" w14:textId="77777777" w:rsidTr="7CD6F03B">
        <w:trPr>
          <w:trHeight w:val="300"/>
        </w:trPr>
        <w:tc>
          <w:tcPr>
            <w:tcW w:w="1583" w:type="dxa"/>
            <w:vMerge/>
          </w:tcPr>
          <w:p w14:paraId="66C42103" w14:textId="77777777" w:rsidR="00633FEC" w:rsidRPr="00D830D9" w:rsidRDefault="00633FEC" w:rsidP="00633FEC">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25" w:name="_Hlk193736599"/>
            <w:bookmarkEnd w:id="24"/>
          </w:p>
        </w:tc>
        <w:tc>
          <w:tcPr>
            <w:tcW w:w="2144" w:type="dxa"/>
            <w:gridSpan w:val="2"/>
            <w:shd w:val="clear" w:color="auto" w:fill="FFFFFF" w:themeFill="background1"/>
          </w:tcPr>
          <w:p w14:paraId="0D3359E4" w14:textId="1ECD81D8" w:rsidR="00633FEC" w:rsidRPr="00D830D9" w:rsidRDefault="0CF0F0C5" w:rsidP="05DB8549">
            <w:pPr>
              <w:spacing w:after="60"/>
              <w:rPr>
                <w:rFonts w:asciiTheme="minorHAnsi" w:hAnsiTheme="minorHAnsi" w:cstheme="minorBidi"/>
                <w:sz w:val="18"/>
                <w:szCs w:val="18"/>
                <w:lang w:val="es-EC"/>
              </w:rPr>
            </w:pPr>
            <w:r w:rsidRPr="00A51E75">
              <w:rPr>
                <w:rFonts w:ascii="Calibri" w:hAnsi="Calibri" w:cs="Calibri"/>
                <w:color w:val="000000" w:themeColor="text1"/>
                <w:sz w:val="18"/>
                <w:szCs w:val="18"/>
              </w:rPr>
              <w:t>Indicador 8:</w:t>
            </w:r>
            <w:r w:rsidRPr="00A51E75">
              <w:rPr>
                <w:rFonts w:ascii="Aptos Narrow" w:hAnsi="Aptos Narrow" w:cs="Calibri"/>
                <w:color w:val="000000" w:themeColor="text1"/>
                <w:sz w:val="18"/>
                <w:szCs w:val="18"/>
              </w:rPr>
              <w:t xml:space="preserve"> Número de proyectos alineados con instrumentos de planificación territorial (PDOT, PIA, REDD+ y </w:t>
            </w:r>
            <w:r w:rsidR="00672FDF">
              <w:rPr>
                <w:rFonts w:ascii="Aptos Narrow" w:hAnsi="Aptos Narrow" w:cs="Calibri"/>
                <w:color w:val="000000" w:themeColor="text1"/>
                <w:sz w:val="18"/>
                <w:szCs w:val="18"/>
              </w:rPr>
              <w:t>Planes de vida</w:t>
            </w:r>
            <w:r w:rsidRPr="00A51E75">
              <w:rPr>
                <w:rFonts w:ascii="Aptos Narrow" w:hAnsi="Aptos Narrow" w:cs="Calibri"/>
                <w:color w:val="000000" w:themeColor="text1"/>
                <w:sz w:val="18"/>
                <w:szCs w:val="18"/>
              </w:rPr>
              <w:t xml:space="preserve">), incorporando criterios de conservación de la biodiversidad y equidad de género, y contribuyendo a la sostenibilidad financiera. Contribuye a los Indicadores Centrales del </w:t>
            </w:r>
            <w:r w:rsidR="00BC67C3">
              <w:rPr>
                <w:rFonts w:ascii="Aptos Narrow" w:hAnsi="Aptos Narrow" w:cs="Calibri"/>
                <w:color w:val="000000" w:themeColor="text1"/>
                <w:sz w:val="18"/>
                <w:szCs w:val="18"/>
              </w:rPr>
              <w:t>FMAM</w:t>
            </w:r>
            <w:r w:rsidRPr="00A51E75">
              <w:rPr>
                <w:rFonts w:ascii="Aptos Narrow" w:hAnsi="Aptos Narrow" w:cs="Calibri"/>
                <w:color w:val="000000" w:themeColor="text1"/>
                <w:sz w:val="18"/>
                <w:szCs w:val="18"/>
              </w:rPr>
              <w:t xml:space="preserve"> </w:t>
            </w:r>
            <w:r w:rsidR="00A60D5B">
              <w:rPr>
                <w:rFonts w:ascii="Aptos Narrow" w:hAnsi="Aptos Narrow" w:cs="Calibri"/>
                <w:color w:val="000000" w:themeColor="text1"/>
                <w:sz w:val="18"/>
                <w:szCs w:val="18"/>
              </w:rPr>
              <w:t xml:space="preserve">IC </w:t>
            </w:r>
            <w:r w:rsidRPr="00A51E75">
              <w:rPr>
                <w:rFonts w:ascii="Aptos Narrow" w:hAnsi="Aptos Narrow" w:cs="Calibri"/>
                <w:color w:val="000000" w:themeColor="text1"/>
                <w:sz w:val="18"/>
                <w:szCs w:val="18"/>
              </w:rPr>
              <w:t xml:space="preserve">11.1 e </w:t>
            </w:r>
            <w:r w:rsidR="00A60D5B">
              <w:rPr>
                <w:rFonts w:ascii="Aptos Narrow" w:hAnsi="Aptos Narrow" w:cs="Calibri"/>
                <w:color w:val="000000" w:themeColor="text1"/>
                <w:sz w:val="18"/>
                <w:szCs w:val="18"/>
              </w:rPr>
              <w:t xml:space="preserve">IC </w:t>
            </w:r>
            <w:r w:rsidRPr="00A51E75">
              <w:rPr>
                <w:rFonts w:ascii="Aptos Narrow" w:hAnsi="Aptos Narrow" w:cs="Calibri"/>
                <w:color w:val="000000" w:themeColor="text1"/>
                <w:sz w:val="18"/>
                <w:szCs w:val="18"/>
              </w:rPr>
              <w:t>11.2 (con al menos un 40% de beneficiarias mujeres).</w:t>
            </w:r>
          </w:p>
        </w:tc>
        <w:tc>
          <w:tcPr>
            <w:tcW w:w="1802" w:type="dxa"/>
            <w:gridSpan w:val="2"/>
            <w:shd w:val="clear" w:color="auto" w:fill="FFFFFF" w:themeFill="background1"/>
          </w:tcPr>
          <w:p w14:paraId="060C4597" w14:textId="43464602" w:rsidR="00633FEC" w:rsidRPr="00D830D9" w:rsidRDefault="35054745" w:rsidP="7CD6F03B">
            <w:pPr>
              <w:spacing w:after="60"/>
              <w:rPr>
                <w:rFonts w:asciiTheme="minorHAnsi" w:hAnsiTheme="minorHAnsi" w:cstheme="minorBidi"/>
                <w:sz w:val="18"/>
                <w:szCs w:val="18"/>
                <w:lang w:val="es-EC"/>
              </w:rPr>
            </w:pPr>
            <w:r w:rsidRPr="7CD6F03B">
              <w:rPr>
                <w:rFonts w:ascii="Calibri" w:hAnsi="Calibri" w:cs="Calibri"/>
                <w:color w:val="000000" w:themeColor="text1"/>
                <w:sz w:val="18"/>
                <w:szCs w:val="18"/>
              </w:rPr>
              <w:t xml:space="preserve">Informes oficiales y registros de proyectos de </w:t>
            </w:r>
            <w:r w:rsidR="009E221F" w:rsidRPr="7CD6F03B">
              <w:rPr>
                <w:rFonts w:ascii="Calibri" w:hAnsi="Calibri" w:cs="Calibri"/>
                <w:color w:val="000000" w:themeColor="text1"/>
                <w:sz w:val="18"/>
                <w:szCs w:val="18"/>
              </w:rPr>
              <w:t>MAE</w:t>
            </w:r>
            <w:r w:rsidRPr="7CD6F03B">
              <w:rPr>
                <w:rFonts w:ascii="Calibri" w:hAnsi="Calibri" w:cs="Calibri"/>
                <w:color w:val="000000" w:themeColor="text1"/>
                <w:sz w:val="18"/>
                <w:szCs w:val="18"/>
              </w:rPr>
              <w:t xml:space="preserve">, </w:t>
            </w:r>
            <w:proofErr w:type="spellStart"/>
            <w:r w:rsidRPr="7CD6F03B">
              <w:rPr>
                <w:rFonts w:ascii="Calibri" w:hAnsi="Calibri" w:cs="Calibri"/>
                <w:color w:val="000000" w:themeColor="text1"/>
                <w:sz w:val="18"/>
                <w:szCs w:val="18"/>
              </w:rPr>
              <w:t>GADs</w:t>
            </w:r>
            <w:proofErr w:type="spellEnd"/>
            <w:r w:rsidRPr="7CD6F03B">
              <w:rPr>
                <w:rFonts w:ascii="Calibri" w:hAnsi="Calibri" w:cs="Calibri"/>
                <w:color w:val="000000" w:themeColor="text1"/>
                <w:sz w:val="18"/>
                <w:szCs w:val="18"/>
              </w:rPr>
              <w:t xml:space="preserve"> y organizaciones indígenas; bases de datos de ProAmazonía y CTEA; acuerdos de cogestión; Planes de vida; sistemas nacionales (SIGTIERRAS, SIGMA); estados financieros de entidades ejecutantes y </w:t>
            </w:r>
            <w:proofErr w:type="spellStart"/>
            <w:r w:rsidRPr="7CD6F03B">
              <w:rPr>
                <w:rFonts w:ascii="Calibri" w:hAnsi="Calibri" w:cs="Calibri"/>
                <w:color w:val="000000" w:themeColor="text1"/>
                <w:sz w:val="18"/>
                <w:szCs w:val="18"/>
              </w:rPr>
              <w:t>cofinanciadoras</w:t>
            </w:r>
            <w:proofErr w:type="spellEnd"/>
            <w:r w:rsidRPr="7CD6F03B">
              <w:rPr>
                <w:rFonts w:ascii="Calibri" w:hAnsi="Calibri" w:cs="Calibri"/>
                <w:color w:val="000000" w:themeColor="text1"/>
                <w:sz w:val="18"/>
                <w:szCs w:val="18"/>
              </w:rPr>
              <w:t>.</w:t>
            </w:r>
          </w:p>
        </w:tc>
        <w:tc>
          <w:tcPr>
            <w:tcW w:w="1213" w:type="dxa"/>
            <w:gridSpan w:val="2"/>
            <w:shd w:val="clear" w:color="auto" w:fill="FFFFFF" w:themeFill="background1"/>
          </w:tcPr>
          <w:p w14:paraId="1FD66974" w14:textId="48123E55" w:rsidR="00633FEC" w:rsidRPr="00D830D9" w:rsidRDefault="0CF0F0C5" w:rsidP="05DB8549">
            <w:pPr>
              <w:rPr>
                <w:rFonts w:asciiTheme="minorHAnsi" w:hAnsiTheme="minorHAnsi" w:cstheme="minorBidi"/>
                <w:sz w:val="18"/>
                <w:szCs w:val="18"/>
                <w:lang w:val="es-EC"/>
              </w:rPr>
            </w:pPr>
            <w:r w:rsidRPr="00A51E75">
              <w:rPr>
                <w:rFonts w:ascii="Calibri" w:hAnsi="Calibri" w:cs="Calibri"/>
                <w:color w:val="000000" w:themeColor="text1"/>
                <w:sz w:val="18"/>
                <w:szCs w:val="18"/>
              </w:rPr>
              <w:t>0 proyectos totalmente alineados, presentados y financiados; iniciativas existentes con potencial identificado en los Planes de Vida, pero sin alineación, presentación o financiación.</w:t>
            </w:r>
          </w:p>
        </w:tc>
        <w:tc>
          <w:tcPr>
            <w:tcW w:w="1644" w:type="dxa"/>
            <w:shd w:val="clear" w:color="auto" w:fill="FFFFFF" w:themeFill="background1"/>
          </w:tcPr>
          <w:p w14:paraId="7F98586F" w14:textId="0F85D3E2" w:rsidR="00633FEC" w:rsidRPr="00D830D9" w:rsidRDefault="0CF0F0C5" w:rsidP="05DB8549">
            <w:pPr>
              <w:spacing w:after="60"/>
              <w:rPr>
                <w:rFonts w:asciiTheme="minorHAnsi" w:hAnsiTheme="minorHAnsi" w:cstheme="minorBidi"/>
                <w:sz w:val="18"/>
                <w:szCs w:val="18"/>
                <w:lang w:val="es-EC"/>
              </w:rPr>
            </w:pPr>
            <w:r w:rsidRPr="00A51E75">
              <w:rPr>
                <w:rFonts w:ascii="Calibri" w:hAnsi="Calibri" w:cs="Calibri"/>
                <w:color w:val="000000" w:themeColor="text1"/>
                <w:sz w:val="18"/>
                <w:szCs w:val="18"/>
              </w:rPr>
              <w:t>Al menos 2 proyectos alineados con instrumentos territoriales, incorporando criterios de biodiversidad y género, y mostrando evidencia de compromiso financiero.</w:t>
            </w:r>
          </w:p>
        </w:tc>
        <w:tc>
          <w:tcPr>
            <w:tcW w:w="2081" w:type="dxa"/>
            <w:gridSpan w:val="2"/>
            <w:shd w:val="clear" w:color="auto" w:fill="FFFFFF" w:themeFill="background1"/>
          </w:tcPr>
          <w:p w14:paraId="12859D9A" w14:textId="4D2B65EC" w:rsidR="00633FEC" w:rsidRPr="00D830D9" w:rsidRDefault="0CF0F0C5" w:rsidP="05DB8549">
            <w:pPr>
              <w:spacing w:after="60"/>
              <w:rPr>
                <w:rFonts w:asciiTheme="minorHAnsi" w:hAnsiTheme="minorHAnsi" w:cstheme="minorBidi"/>
                <w:sz w:val="18"/>
                <w:szCs w:val="18"/>
                <w:lang w:val="es-EC"/>
              </w:rPr>
            </w:pPr>
            <w:r w:rsidRPr="00A51E75">
              <w:rPr>
                <w:rFonts w:ascii="Calibri" w:hAnsi="Calibri" w:cs="Calibri"/>
                <w:color w:val="000000" w:themeColor="text1"/>
                <w:sz w:val="18"/>
                <w:szCs w:val="18"/>
              </w:rPr>
              <w:t>Al menos 5 proyectos diseñados y operativos, totalmente alineados con los instrumentos de planificación, cumpliendo con las salvaguardas de biodiversidad y equidad de género, y con mecanismos confirmados de cofinanciación o financiación sostenida.</w:t>
            </w:r>
          </w:p>
        </w:tc>
        <w:tc>
          <w:tcPr>
            <w:tcW w:w="1798" w:type="dxa"/>
            <w:shd w:val="clear" w:color="auto" w:fill="FFFFFF" w:themeFill="background1"/>
          </w:tcPr>
          <w:p w14:paraId="2AFBD96A" w14:textId="1F90DFC9" w:rsidR="00633FEC" w:rsidRPr="00D830D9" w:rsidRDefault="0CF0F0C5" w:rsidP="05DB8549">
            <w:pPr>
              <w:spacing w:after="60"/>
              <w:rPr>
                <w:rFonts w:asciiTheme="minorHAnsi" w:hAnsiTheme="minorHAnsi" w:cstheme="minorBidi"/>
                <w:sz w:val="18"/>
                <w:szCs w:val="18"/>
                <w:lang w:val="es-EC"/>
              </w:rPr>
            </w:pPr>
            <w:r w:rsidRPr="00A51E75">
              <w:rPr>
                <w:rFonts w:ascii="Calibri" w:hAnsi="Calibri" w:cs="Calibri"/>
                <w:color w:val="000000" w:themeColor="text1"/>
                <w:sz w:val="18"/>
                <w:szCs w:val="18"/>
              </w:rPr>
              <w:t>Revisión documental de expedientes de proyectos presentados y aprobados; la verificación de su inclusión en los instrumentos de planificación; evaluación de la equidad de género y la integración de la biodiversidad en el diseño de proyectos; supervisión financiera; Entrevistas con equipos implementadores y beneficiarios.</w:t>
            </w:r>
          </w:p>
        </w:tc>
        <w:tc>
          <w:tcPr>
            <w:tcW w:w="2124" w:type="dxa"/>
            <w:shd w:val="clear" w:color="auto" w:fill="FFFFFF" w:themeFill="background1"/>
          </w:tcPr>
          <w:p w14:paraId="795297EC" w14:textId="77777777" w:rsidR="00633FEC" w:rsidRPr="00D830D9" w:rsidRDefault="0CF0F0C5" w:rsidP="00633FEC">
            <w:pPr>
              <w:spacing w:after="60"/>
              <w:rPr>
                <w:rFonts w:ascii="Aptos Narrow" w:hAnsi="Aptos Narrow" w:cs="Calibri"/>
                <w:color w:val="000000"/>
                <w:sz w:val="18"/>
                <w:szCs w:val="18"/>
                <w:lang w:val="es-EC"/>
              </w:rPr>
            </w:pPr>
            <w:r w:rsidRPr="00A51E75">
              <w:rPr>
                <w:rFonts w:ascii="Calibri" w:hAnsi="Calibri" w:cs="Calibri"/>
                <w:color w:val="000000" w:themeColor="text1"/>
                <w:sz w:val="18"/>
                <w:szCs w:val="18"/>
              </w:rPr>
              <w:t>Riesgos:</w:t>
            </w:r>
            <w:r w:rsidRPr="00A51E75">
              <w:rPr>
                <w:rFonts w:ascii="Aptos Narrow" w:hAnsi="Aptos Narrow" w:cs="Calibri"/>
                <w:color w:val="000000" w:themeColor="text1"/>
                <w:sz w:val="18"/>
                <w:szCs w:val="18"/>
              </w:rPr>
              <w:t xml:space="preserve"> Acceso limitado a la financiación; retrasos en la integración con las herramientas de planificación; capacidades técnicas insuficientes; resistencia a integrar salvaguardas de género y biodiversidad. </w:t>
            </w:r>
          </w:p>
          <w:p w14:paraId="4C00908D" w14:textId="0D8D814F" w:rsidR="00633FEC" w:rsidRPr="00D830D9" w:rsidRDefault="35054745" w:rsidP="7CD6F03B">
            <w:pPr>
              <w:spacing w:after="60"/>
              <w:rPr>
                <w:rFonts w:asciiTheme="minorHAnsi" w:hAnsiTheme="minorHAnsi" w:cstheme="minorBidi"/>
                <w:sz w:val="18"/>
                <w:szCs w:val="18"/>
                <w:lang w:val="es-EC"/>
              </w:rPr>
            </w:pPr>
            <w:r w:rsidRPr="7CD6F03B">
              <w:rPr>
                <w:rFonts w:ascii="Aptos Narrow" w:hAnsi="Aptos Narrow" w:cs="Calibri"/>
                <w:color w:val="000000" w:themeColor="text1"/>
                <w:sz w:val="18"/>
                <w:szCs w:val="18"/>
              </w:rPr>
              <w:t xml:space="preserve">Suposiciones: Apoyo continuo de </w:t>
            </w:r>
            <w:r w:rsidR="009E221F" w:rsidRPr="7CD6F03B">
              <w:rPr>
                <w:rFonts w:ascii="Aptos Narrow" w:hAnsi="Aptos Narrow" w:cs="Calibri"/>
                <w:color w:val="000000" w:themeColor="text1"/>
                <w:sz w:val="18"/>
                <w:szCs w:val="18"/>
              </w:rPr>
              <w:t>MAE</w:t>
            </w:r>
            <w:r w:rsidRPr="7CD6F03B">
              <w:rPr>
                <w:rFonts w:ascii="Aptos Narrow" w:hAnsi="Aptos Narrow" w:cs="Calibri"/>
                <w:color w:val="000000" w:themeColor="text1"/>
                <w:sz w:val="18"/>
                <w:szCs w:val="18"/>
              </w:rPr>
              <w:t xml:space="preserve"> y </w:t>
            </w:r>
            <w:proofErr w:type="spellStart"/>
            <w:r w:rsidRPr="7CD6F03B">
              <w:rPr>
                <w:rFonts w:ascii="Aptos Narrow" w:hAnsi="Aptos Narrow" w:cs="Calibri"/>
                <w:color w:val="000000" w:themeColor="text1"/>
                <w:sz w:val="18"/>
                <w:szCs w:val="18"/>
              </w:rPr>
              <w:t>GADs</w:t>
            </w:r>
            <w:proofErr w:type="spellEnd"/>
            <w:r w:rsidRPr="7CD6F03B">
              <w:rPr>
                <w:rFonts w:ascii="Aptos Narrow" w:hAnsi="Aptos Narrow" w:cs="Calibri"/>
                <w:color w:val="000000" w:themeColor="text1"/>
                <w:sz w:val="18"/>
                <w:szCs w:val="18"/>
              </w:rPr>
              <w:t>; disponibilidad de financiación; capacidades reforzadas en diseño de proyectos inclusivos; compromiso político con objetivos transversales de equidad y medio ambiente.</w:t>
            </w:r>
          </w:p>
        </w:tc>
      </w:tr>
      <w:bookmarkEnd w:id="25"/>
      <w:tr w:rsidR="007A4A09" w:rsidRPr="007D4F41" w14:paraId="40F5D118" w14:textId="77777777" w:rsidTr="7CD6F03B">
        <w:trPr>
          <w:trHeight w:val="300"/>
        </w:trPr>
        <w:tc>
          <w:tcPr>
            <w:tcW w:w="1583" w:type="dxa"/>
            <w:vMerge/>
          </w:tcPr>
          <w:p w14:paraId="07A9DF27"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shd w:val="clear" w:color="auto" w:fill="FFFFFF" w:themeFill="background1"/>
          </w:tcPr>
          <w:p w14:paraId="1AE295C4" w14:textId="689D9946"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9: Número de subcuencas del río Napo que implementan y utilizan herramientas digitales integradas para monitorizar la degradación de tierras y la gestión del paisaje, generando información para la toma de decisiones y la gestión territorial del conocimiento. Contribuye al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 del </w:t>
            </w:r>
            <w:r w:rsidR="00BC67C3">
              <w:rPr>
                <w:rFonts w:asciiTheme="minorHAnsi" w:hAnsiTheme="minorHAnsi" w:cstheme="minorHAnsi"/>
                <w:sz w:val="18"/>
                <w:szCs w:val="18"/>
              </w:rPr>
              <w:t>FMAM</w:t>
            </w:r>
            <w:r w:rsidRPr="00A51E75">
              <w:rPr>
                <w:rFonts w:asciiTheme="minorHAnsi" w:hAnsiTheme="minorHAnsi" w:cstheme="minorHAnsi"/>
                <w:sz w:val="18"/>
                <w:szCs w:val="18"/>
              </w:rPr>
              <w:t xml:space="preserve">: Subindicadores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11.1 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11.2: 40% mujeres. </w:t>
            </w:r>
          </w:p>
        </w:tc>
        <w:tc>
          <w:tcPr>
            <w:tcW w:w="1802" w:type="dxa"/>
            <w:gridSpan w:val="2"/>
            <w:shd w:val="clear" w:color="auto" w:fill="FFFFFF" w:themeFill="background1"/>
          </w:tcPr>
          <w:p w14:paraId="01983555" w14:textId="5902512E" w:rsidR="00DB71AF" w:rsidRPr="00D830D9" w:rsidRDefault="23919315" w:rsidP="7CD6F03B">
            <w:pPr>
              <w:spacing w:after="60"/>
              <w:rPr>
                <w:rFonts w:asciiTheme="minorHAnsi" w:hAnsiTheme="minorHAnsi" w:cstheme="minorBidi"/>
                <w:sz w:val="18"/>
                <w:szCs w:val="18"/>
                <w:lang w:val="es-EC"/>
              </w:rPr>
            </w:pPr>
            <w:r w:rsidRPr="7CD6F03B">
              <w:rPr>
                <w:rFonts w:asciiTheme="minorHAnsi" w:hAnsiTheme="minorHAnsi" w:cstheme="minorBidi"/>
                <w:sz w:val="18"/>
                <w:szCs w:val="18"/>
              </w:rPr>
              <w:t xml:space="preserve"> Informes de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registros del Observatorio de Degradación de Tierras, </w:t>
            </w:r>
            <w:r w:rsidR="009E221F" w:rsidRPr="7CD6F03B">
              <w:rPr>
                <w:rFonts w:asciiTheme="minorHAnsi" w:hAnsiTheme="minorHAnsi" w:cstheme="minorBidi"/>
                <w:sz w:val="18"/>
                <w:szCs w:val="18"/>
              </w:rPr>
              <w:t>MAGP</w:t>
            </w:r>
            <w:r w:rsidRPr="7CD6F03B">
              <w:rPr>
                <w:rFonts w:asciiTheme="minorHAnsi" w:hAnsiTheme="minorHAnsi" w:cstheme="minorBidi"/>
                <w:sz w:val="18"/>
                <w:szCs w:val="18"/>
              </w:rPr>
              <w:t xml:space="preserve">, universidades, sistemas de monitorización de gobiernos locales, informes de implementación de herramientas digitales, acuerdos interinstitucionales e informes de plataformas de datos digitales. </w:t>
            </w:r>
          </w:p>
        </w:tc>
        <w:tc>
          <w:tcPr>
            <w:tcW w:w="1213" w:type="dxa"/>
            <w:gridSpan w:val="2"/>
            <w:shd w:val="clear" w:color="auto" w:fill="FFFFFF" w:themeFill="background1"/>
          </w:tcPr>
          <w:p w14:paraId="4742A90A" w14:textId="7DA7EA71" w:rsidR="00DB71AF" w:rsidRPr="00A51E75" w:rsidRDefault="00DB71AF" w:rsidP="00DB71AF">
            <w:pPr>
              <w:spacing w:after="60"/>
              <w:rPr>
                <w:rFonts w:asciiTheme="minorHAnsi" w:hAnsiTheme="minorHAnsi" w:cstheme="minorHAnsi"/>
                <w:sz w:val="18"/>
                <w:szCs w:val="18"/>
              </w:rPr>
            </w:pPr>
            <w:r w:rsidRPr="00A51E75">
              <w:rPr>
                <w:rFonts w:asciiTheme="minorHAnsi" w:hAnsiTheme="minorHAnsi" w:cstheme="minorHAnsi"/>
                <w:sz w:val="18"/>
                <w:szCs w:val="18"/>
              </w:rPr>
              <w:t xml:space="preserve"> 0 </w:t>
            </w:r>
          </w:p>
        </w:tc>
        <w:tc>
          <w:tcPr>
            <w:tcW w:w="1644" w:type="dxa"/>
            <w:shd w:val="clear" w:color="auto" w:fill="FFFFFF" w:themeFill="background1"/>
          </w:tcPr>
          <w:p w14:paraId="635BB016" w14:textId="1EA14A00" w:rsidR="00DB71AF" w:rsidRPr="00A51E75" w:rsidRDefault="00DB71AF" w:rsidP="00DB71AF">
            <w:pPr>
              <w:spacing w:after="60"/>
              <w:rPr>
                <w:rFonts w:asciiTheme="minorHAnsi" w:hAnsiTheme="minorHAnsi" w:cstheme="minorHAnsi"/>
                <w:sz w:val="18"/>
                <w:szCs w:val="18"/>
              </w:rPr>
            </w:pPr>
            <w:r w:rsidRPr="00A51E75">
              <w:rPr>
                <w:rFonts w:asciiTheme="minorHAnsi" w:hAnsiTheme="minorHAnsi" w:cstheme="minorHAnsi"/>
                <w:sz w:val="18"/>
                <w:szCs w:val="18"/>
              </w:rPr>
              <w:t xml:space="preserve"> 1 </w:t>
            </w:r>
          </w:p>
        </w:tc>
        <w:tc>
          <w:tcPr>
            <w:tcW w:w="2081" w:type="dxa"/>
            <w:gridSpan w:val="2"/>
            <w:shd w:val="clear" w:color="auto" w:fill="FFFFFF" w:themeFill="background1"/>
          </w:tcPr>
          <w:p w14:paraId="4F7F1DEC" w14:textId="2717A08E" w:rsidR="00DB71AF" w:rsidRPr="00A51E75" w:rsidRDefault="00DB71AF" w:rsidP="00DB71AF">
            <w:pPr>
              <w:spacing w:after="60"/>
              <w:rPr>
                <w:rFonts w:asciiTheme="minorHAnsi" w:hAnsiTheme="minorHAnsi" w:cstheme="minorHAnsi"/>
                <w:sz w:val="18"/>
                <w:szCs w:val="18"/>
              </w:rPr>
            </w:pPr>
            <w:r w:rsidRPr="00A51E75">
              <w:rPr>
                <w:rFonts w:asciiTheme="minorHAnsi" w:hAnsiTheme="minorHAnsi" w:cstheme="minorHAnsi"/>
                <w:sz w:val="18"/>
                <w:szCs w:val="18"/>
              </w:rPr>
              <w:t xml:space="preserve"> 2 (al menos 2) </w:t>
            </w:r>
          </w:p>
        </w:tc>
        <w:tc>
          <w:tcPr>
            <w:tcW w:w="1798" w:type="dxa"/>
            <w:shd w:val="clear" w:color="auto" w:fill="FFFFFF" w:themeFill="background1"/>
          </w:tcPr>
          <w:p w14:paraId="5AABD015" w14:textId="2EBA90E3" w:rsidR="00DB71AF" w:rsidRPr="00D830D9" w:rsidRDefault="23919315" w:rsidP="7CD6F03B">
            <w:pPr>
              <w:spacing w:after="60"/>
              <w:rPr>
                <w:rFonts w:asciiTheme="minorHAnsi" w:hAnsiTheme="minorHAnsi" w:cstheme="minorBidi"/>
                <w:sz w:val="18"/>
                <w:szCs w:val="18"/>
                <w:lang w:val="es-EC"/>
              </w:rPr>
            </w:pPr>
            <w:r w:rsidRPr="7CD6F03B">
              <w:rPr>
                <w:rFonts w:asciiTheme="minorHAnsi" w:hAnsiTheme="minorHAnsi" w:cstheme="minorBidi"/>
                <w:sz w:val="18"/>
                <w:szCs w:val="18"/>
              </w:rPr>
              <w:t xml:space="preserve"> Revisión de informes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MAGP</w:t>
            </w:r>
            <w:r w:rsidRPr="7CD6F03B">
              <w:rPr>
                <w:rFonts w:asciiTheme="minorHAnsi" w:hAnsiTheme="minorHAnsi" w:cstheme="minorBidi"/>
                <w:sz w:val="18"/>
                <w:szCs w:val="18"/>
              </w:rPr>
              <w:t xml:space="preserve"> y GAD; encuestas a usuarios locales; análisis de datos desde plataformas digitales; verificación de acuerdos de cooperación y uso de herramientas digitales; revisión de la integración de la información en los sistemas de monitorización y gestión del conocimiento del proyecto. </w:t>
            </w:r>
          </w:p>
        </w:tc>
        <w:tc>
          <w:tcPr>
            <w:tcW w:w="2124" w:type="dxa"/>
            <w:shd w:val="clear" w:color="auto" w:fill="FFFFFF" w:themeFill="background1"/>
          </w:tcPr>
          <w:p w14:paraId="7FD94647" w14:textId="77777777"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Riesgos: Baja adopción y uso de herramientas digitales debido a limitaciones técnicas o de conectividad en las subcuencas; propiedad local débil.  </w:t>
            </w:r>
          </w:p>
          <w:p w14:paraId="796F3350" w14:textId="77777777" w:rsidR="00DB71AF" w:rsidRPr="00D830D9" w:rsidRDefault="00DB71AF" w:rsidP="00DB71AF">
            <w:pPr>
              <w:spacing w:after="60"/>
              <w:rPr>
                <w:rFonts w:asciiTheme="minorHAnsi" w:hAnsiTheme="minorHAnsi" w:cstheme="minorHAnsi"/>
                <w:sz w:val="18"/>
                <w:szCs w:val="18"/>
                <w:lang w:val="es-EC"/>
              </w:rPr>
            </w:pPr>
          </w:p>
          <w:p w14:paraId="11D8B072" w14:textId="4D6A1332"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Suposiciones: Se garantizarán la formación, la asistencia técnica y la sostenibilidad en el uso de herramientas digitales; Los </w:t>
            </w:r>
            <w:proofErr w:type="spellStart"/>
            <w:r w:rsidRPr="00A51E75">
              <w:rPr>
                <w:rFonts w:asciiTheme="minorHAnsi" w:hAnsiTheme="minorHAnsi" w:cstheme="minorHAnsi"/>
                <w:sz w:val="18"/>
                <w:szCs w:val="18"/>
              </w:rPr>
              <w:t>subcuencos</w:t>
            </w:r>
            <w:proofErr w:type="spellEnd"/>
            <w:r w:rsidRPr="00A51E75">
              <w:rPr>
                <w:rFonts w:asciiTheme="minorHAnsi" w:hAnsiTheme="minorHAnsi" w:cstheme="minorHAnsi"/>
                <w:sz w:val="18"/>
                <w:szCs w:val="18"/>
              </w:rPr>
              <w:t xml:space="preserve"> utilizarán la información generada para la toma de decisiones y alimentarán los sistemas de gestión del conocimiento y </w:t>
            </w:r>
            <w:r w:rsidRPr="00A51E75">
              <w:rPr>
                <w:rFonts w:asciiTheme="minorHAnsi" w:hAnsiTheme="minorHAnsi" w:cstheme="minorHAnsi"/>
                <w:sz w:val="18"/>
                <w:szCs w:val="18"/>
              </w:rPr>
              <w:lastRenderedPageBreak/>
              <w:t>monitorización del proyecto.</w:t>
            </w:r>
          </w:p>
        </w:tc>
      </w:tr>
      <w:tr w:rsidR="00DB71AF" w:rsidRPr="007D4F41" w14:paraId="2CEDE246" w14:textId="77777777" w:rsidTr="7CD6F03B">
        <w:trPr>
          <w:trHeight w:val="300"/>
        </w:trPr>
        <w:tc>
          <w:tcPr>
            <w:tcW w:w="1583" w:type="dxa"/>
          </w:tcPr>
          <w:p w14:paraId="31634ABB"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Resultados para lograr el Resultado 11</w:t>
            </w:r>
          </w:p>
        </w:tc>
        <w:tc>
          <w:tcPr>
            <w:tcW w:w="8884" w:type="dxa"/>
            <w:gridSpan w:val="9"/>
            <w:vAlign w:val="center"/>
          </w:tcPr>
          <w:p w14:paraId="51C3B906" w14:textId="1FD3C906" w:rsidR="00DB71AF" w:rsidRPr="00D830D9" w:rsidRDefault="23919315" w:rsidP="7CD6F03B">
            <w:pPr>
              <w:spacing w:after="60"/>
              <w:rPr>
                <w:rFonts w:asciiTheme="minorHAnsi" w:hAnsiTheme="minorHAnsi" w:cstheme="minorBidi"/>
                <w:sz w:val="18"/>
                <w:szCs w:val="18"/>
                <w:lang w:val="es-EC"/>
              </w:rPr>
            </w:pPr>
            <w:r w:rsidRPr="7CD6F03B">
              <w:rPr>
                <w:rFonts w:asciiTheme="minorHAnsi" w:hAnsiTheme="minorHAnsi" w:cstheme="minorBidi"/>
                <w:b/>
                <w:bCs/>
                <w:color w:val="000000"/>
                <w:sz w:val="18"/>
                <w:szCs w:val="18"/>
              </w:rPr>
              <w:t>1.1.1.</w:t>
            </w:r>
            <w:r w:rsidRPr="7CD6F03B">
              <w:rPr>
                <w:rFonts w:asciiTheme="minorHAnsi" w:hAnsiTheme="minorHAnsi" w:cstheme="minorBidi"/>
                <w:color w:val="000000"/>
                <w:sz w:val="18"/>
                <w:szCs w:val="18"/>
              </w:rPr>
              <w:t xml:space="preserve"> Implementación de políticas y regulaciones de planificación del uso del suelo y de Neutralidad de Degradación </w:t>
            </w:r>
            <w:r w:rsidR="00F64558">
              <w:rPr>
                <w:rFonts w:asciiTheme="minorHAnsi" w:hAnsiTheme="minorHAnsi" w:cstheme="minorBidi"/>
                <w:color w:val="000000"/>
                <w:sz w:val="18"/>
                <w:szCs w:val="18"/>
              </w:rPr>
              <w:t>de la Tierra</w:t>
            </w:r>
            <w:r w:rsidRPr="7CD6F03B">
              <w:rPr>
                <w:rFonts w:asciiTheme="minorHAnsi" w:hAnsiTheme="minorHAnsi" w:cstheme="minorBidi"/>
                <w:color w:val="000000"/>
                <w:sz w:val="18"/>
                <w:szCs w:val="18"/>
              </w:rPr>
              <w:t xml:space="preserve"> (</w:t>
            </w:r>
            <w:r w:rsidR="00F64558">
              <w:rPr>
                <w:rFonts w:asciiTheme="minorHAnsi" w:hAnsiTheme="minorHAnsi" w:cstheme="minorBidi"/>
                <w:color w:val="000000"/>
                <w:sz w:val="18"/>
                <w:szCs w:val="18"/>
              </w:rPr>
              <w:t>NDT</w:t>
            </w:r>
            <w:r w:rsidRPr="7CD6F03B">
              <w:rPr>
                <w:rFonts w:asciiTheme="minorHAnsi" w:hAnsiTheme="minorHAnsi" w:cstheme="minorBidi"/>
                <w:color w:val="000000"/>
                <w:sz w:val="18"/>
                <w:szCs w:val="18"/>
              </w:rPr>
              <w:t>), validadas tanto por hombres como por mujeres del territorio.</w:t>
            </w:r>
            <w:r w:rsidR="00DB71AF" w:rsidRPr="00A51E75">
              <w:rPr>
                <w:rFonts w:asciiTheme="minorHAnsi" w:hAnsiTheme="minorHAnsi" w:cstheme="minorHAnsi"/>
                <w:color w:val="000000"/>
                <w:sz w:val="18"/>
                <w:szCs w:val="18"/>
              </w:rPr>
              <w:br/>
            </w:r>
            <w:r w:rsidRPr="7CD6F03B">
              <w:rPr>
                <w:rFonts w:asciiTheme="minorHAnsi" w:hAnsiTheme="minorHAnsi" w:cstheme="minorBidi"/>
                <w:b/>
                <w:bCs/>
                <w:color w:val="000000"/>
                <w:sz w:val="18"/>
                <w:szCs w:val="18"/>
              </w:rPr>
              <w:t>1.1.2.</w:t>
            </w:r>
            <w:r w:rsidRPr="7CD6F03B">
              <w:rPr>
                <w:rFonts w:asciiTheme="minorHAnsi" w:hAnsiTheme="minorHAnsi" w:cstheme="minorBidi"/>
                <w:color w:val="000000"/>
                <w:sz w:val="18"/>
                <w:szCs w:val="18"/>
              </w:rPr>
              <w:t xml:space="preserve"> Acuerdos interinstitucionales de cogestión que promuevan la formulación conjunta de proyectos entre </w:t>
            </w:r>
            <w:r w:rsidR="009E221F" w:rsidRPr="7CD6F03B">
              <w:rPr>
                <w:rFonts w:asciiTheme="minorHAnsi" w:hAnsiTheme="minorHAnsi" w:cstheme="minorBidi"/>
                <w:color w:val="000000"/>
                <w:sz w:val="18"/>
                <w:szCs w:val="18"/>
              </w:rPr>
              <w:t>MAE</w:t>
            </w:r>
            <w:r w:rsidRPr="7CD6F03B">
              <w:rPr>
                <w:rFonts w:asciiTheme="minorHAnsi" w:hAnsiTheme="minorHAnsi" w:cstheme="minorBidi"/>
                <w:color w:val="000000"/>
                <w:sz w:val="18"/>
                <w:szCs w:val="18"/>
              </w:rPr>
              <w:t>, gobiernos locales y otros actores relevantes, incluidos grupos indígenas y organizaciones de mujeres.</w:t>
            </w:r>
            <w:r w:rsidR="00DB71AF" w:rsidRPr="00A51E75">
              <w:rPr>
                <w:rFonts w:asciiTheme="minorHAnsi" w:hAnsiTheme="minorHAnsi" w:cstheme="minorHAnsi"/>
                <w:color w:val="000000"/>
                <w:sz w:val="18"/>
                <w:szCs w:val="18"/>
              </w:rPr>
              <w:br/>
            </w:r>
            <w:r w:rsidRPr="7CD6F03B">
              <w:rPr>
                <w:rFonts w:asciiTheme="minorHAnsi" w:hAnsiTheme="minorHAnsi" w:cstheme="minorBidi"/>
                <w:b/>
                <w:bCs/>
                <w:color w:val="000000"/>
                <w:sz w:val="18"/>
                <w:szCs w:val="18"/>
              </w:rPr>
              <w:t>1.1.3.</w:t>
            </w:r>
            <w:r w:rsidRPr="7CD6F03B">
              <w:rPr>
                <w:rFonts w:asciiTheme="minorHAnsi" w:hAnsiTheme="minorHAnsi" w:cstheme="minorBidi"/>
                <w:color w:val="000000"/>
                <w:sz w:val="18"/>
                <w:szCs w:val="18"/>
              </w:rPr>
              <w:t xml:space="preserve"> Proyectos diseñados con criterios que contribuyan a la gestión integrada del paisaje y a la igualdad de género, recogidos en los Planes de Vida.</w:t>
            </w:r>
            <w:r w:rsidR="00DB71AF" w:rsidRPr="7CD6F03B">
              <w:rPr>
                <w:rFonts w:asciiTheme="minorHAnsi" w:hAnsiTheme="minorHAnsi" w:cstheme="minorBidi"/>
                <w:color w:val="000000"/>
                <w:sz w:val="18"/>
                <w:szCs w:val="18"/>
                <w:vertAlign w:val="superscript"/>
              </w:rPr>
              <w:footnoteReference w:id="14"/>
            </w:r>
            <w:r w:rsidRPr="7CD6F03B">
              <w:rPr>
                <w:rFonts w:asciiTheme="minorHAnsi" w:hAnsiTheme="minorHAnsi" w:cstheme="minorBidi"/>
                <w:color w:val="000000"/>
                <w:sz w:val="18"/>
                <w:szCs w:val="18"/>
              </w:rPr>
              <w:t xml:space="preserve"> </w:t>
            </w:r>
          </w:p>
        </w:tc>
        <w:tc>
          <w:tcPr>
            <w:tcW w:w="1798" w:type="dxa"/>
          </w:tcPr>
          <w:p w14:paraId="5C9DFADD" w14:textId="77777777" w:rsidR="00DB71AF" w:rsidRPr="00D830D9" w:rsidRDefault="00DB71AF" w:rsidP="00DB71AF">
            <w:pPr>
              <w:spacing w:after="60"/>
              <w:jc w:val="both"/>
              <w:rPr>
                <w:rFonts w:asciiTheme="minorHAnsi" w:hAnsiTheme="minorHAnsi" w:cstheme="minorHAnsi"/>
                <w:sz w:val="18"/>
                <w:szCs w:val="18"/>
                <w:lang w:val="es-EC"/>
              </w:rPr>
            </w:pPr>
          </w:p>
        </w:tc>
        <w:tc>
          <w:tcPr>
            <w:tcW w:w="2124" w:type="dxa"/>
          </w:tcPr>
          <w:p w14:paraId="33ADC867" w14:textId="77777777" w:rsidR="00DB71AF" w:rsidRPr="00D830D9" w:rsidRDefault="00DB71AF" w:rsidP="00DB71AF">
            <w:pPr>
              <w:spacing w:after="60"/>
              <w:jc w:val="both"/>
              <w:rPr>
                <w:rFonts w:asciiTheme="minorHAnsi" w:hAnsiTheme="minorHAnsi" w:cstheme="minorHAnsi"/>
                <w:sz w:val="18"/>
                <w:szCs w:val="18"/>
                <w:lang w:val="es-EC"/>
              </w:rPr>
            </w:pPr>
          </w:p>
        </w:tc>
      </w:tr>
      <w:tr w:rsidR="00DB71AF" w:rsidRPr="007D4F41" w14:paraId="7915D955" w14:textId="77777777" w:rsidTr="7CD6F03B">
        <w:trPr>
          <w:trHeight w:val="300"/>
        </w:trPr>
        <w:tc>
          <w:tcPr>
            <w:tcW w:w="1583" w:type="dxa"/>
            <w:shd w:val="clear" w:color="auto" w:fill="E7E6E6" w:themeFill="background2"/>
          </w:tcPr>
          <w:p w14:paraId="3D0E5C84"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 xml:space="preserve">Componente del proyecto 2 </w:t>
            </w:r>
          </w:p>
        </w:tc>
        <w:tc>
          <w:tcPr>
            <w:tcW w:w="12806" w:type="dxa"/>
            <w:gridSpan w:val="11"/>
            <w:shd w:val="clear" w:color="auto" w:fill="E7E6E6" w:themeFill="background2"/>
          </w:tcPr>
          <w:p w14:paraId="6AFFF98F" w14:textId="2BB8081A" w:rsidR="00DB71AF" w:rsidRPr="00D830D9" w:rsidRDefault="00DB71AF" w:rsidP="00DB71AF">
            <w:pPr>
              <w:spacing w:after="60"/>
              <w:jc w:val="both"/>
              <w:rPr>
                <w:rFonts w:asciiTheme="minorHAnsi" w:hAnsiTheme="minorHAnsi" w:cstheme="minorHAnsi"/>
                <w:sz w:val="18"/>
                <w:szCs w:val="18"/>
                <w:lang w:val="es-EC"/>
              </w:rPr>
            </w:pPr>
            <w:r w:rsidRPr="00A51E75">
              <w:rPr>
                <w:rFonts w:asciiTheme="minorHAnsi" w:hAnsiTheme="minorHAnsi" w:cstheme="minorHAnsi"/>
                <w:b/>
                <w:bCs/>
                <w:color w:val="000000"/>
                <w:sz w:val="18"/>
                <w:szCs w:val="18"/>
              </w:rPr>
              <w:t xml:space="preserve">2: Adopción de prácticas que contribuyan a la gestión integrada del paisaje para una </w:t>
            </w:r>
            <w:r w:rsidR="000A54C4">
              <w:rPr>
                <w:rFonts w:asciiTheme="minorHAnsi" w:hAnsiTheme="minorHAnsi" w:cstheme="minorHAnsi"/>
                <w:b/>
                <w:bCs/>
                <w:color w:val="000000"/>
                <w:sz w:val="18"/>
                <w:szCs w:val="18"/>
              </w:rPr>
              <w:t>Manejo Sostenible de la Tierra</w:t>
            </w:r>
            <w:r w:rsidRPr="00A51E75">
              <w:rPr>
                <w:rFonts w:asciiTheme="minorHAnsi" w:hAnsiTheme="minorHAnsi" w:cstheme="minorHAnsi"/>
                <w:b/>
                <w:bCs/>
                <w:color w:val="000000"/>
                <w:sz w:val="18"/>
                <w:szCs w:val="18"/>
              </w:rPr>
              <w:t xml:space="preserve"> y la conservación de la biodiversidad.</w:t>
            </w:r>
          </w:p>
        </w:tc>
      </w:tr>
      <w:tr w:rsidR="00DB71AF" w:rsidRPr="007D4F41" w14:paraId="731518EF" w14:textId="77777777" w:rsidTr="7CD6F03B">
        <w:trPr>
          <w:trHeight w:val="300"/>
        </w:trPr>
        <w:tc>
          <w:tcPr>
            <w:tcW w:w="1583" w:type="dxa"/>
            <w:vMerge w:val="restart"/>
          </w:tcPr>
          <w:p w14:paraId="563F91C8" w14:textId="77777777" w:rsidR="00DB71AF" w:rsidRPr="00D830D9" w:rsidRDefault="00DB71AF" w:rsidP="00DB71AF">
            <w:pPr>
              <w:spacing w:after="60"/>
              <w:jc w:val="both"/>
              <w:rPr>
                <w:rFonts w:asciiTheme="minorHAnsi" w:hAnsiTheme="minorHAnsi" w:cstheme="minorHAnsi"/>
                <w:b/>
                <w:sz w:val="18"/>
                <w:szCs w:val="18"/>
                <w:lang w:val="es-EC"/>
              </w:rPr>
            </w:pPr>
            <w:bookmarkStart w:id="26" w:name="_heading=h.ze2sycr0ap0t" w:colFirst="0" w:colLast="0"/>
            <w:bookmarkEnd w:id="26"/>
            <w:r w:rsidRPr="00A51E75">
              <w:rPr>
                <w:rFonts w:asciiTheme="minorHAnsi" w:hAnsiTheme="minorHAnsi" w:cstheme="minorHAnsi"/>
                <w:b/>
                <w:sz w:val="18"/>
                <w:szCs w:val="18"/>
              </w:rPr>
              <w:t>Resultado 2.1.</w:t>
            </w:r>
          </w:p>
          <w:p w14:paraId="2A2BF8AC" w14:textId="7041577E"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Bidi"/>
                <w:sz w:val="18"/>
                <w:szCs w:val="18"/>
                <w:lang w:val="es-EC"/>
              </w:rPr>
            </w:pPr>
            <w:r w:rsidRPr="00A51E75">
              <w:rPr>
                <w:rFonts w:asciiTheme="minorHAnsi" w:hAnsiTheme="minorHAnsi" w:cstheme="minorBidi"/>
                <w:sz w:val="18"/>
                <w:szCs w:val="18"/>
              </w:rPr>
              <w:t>Las áreas bajo mecanismos de conservación y protección, así como las zonas de protección del agua, se conservan de forma sostenible y se gestionan con un enfoque sensible al género.</w:t>
            </w:r>
          </w:p>
        </w:tc>
        <w:tc>
          <w:tcPr>
            <w:tcW w:w="2144" w:type="dxa"/>
            <w:gridSpan w:val="2"/>
          </w:tcPr>
          <w:p w14:paraId="12F20C4C" w14:textId="68A90743" w:rsidR="00DB71AF" w:rsidRPr="00D830D9" w:rsidRDefault="00DB71AF" w:rsidP="00DB71AF">
            <w:pPr>
              <w:spacing w:after="60"/>
              <w:rPr>
                <w:rFonts w:asciiTheme="minorHAnsi" w:hAnsiTheme="minorHAnsi" w:cstheme="minorBidi"/>
                <w:sz w:val="18"/>
                <w:szCs w:val="18"/>
                <w:lang w:val="es-EC"/>
              </w:rPr>
            </w:pPr>
            <w:r w:rsidRPr="00A51E75">
              <w:rPr>
                <w:rFonts w:asciiTheme="minorHAnsi" w:hAnsiTheme="minorHAnsi" w:cstheme="minorBidi"/>
                <w:sz w:val="18"/>
                <w:szCs w:val="18"/>
              </w:rPr>
              <w:t xml:space="preserve">Indicador 10: </w:t>
            </w:r>
            <w:r w:rsidRPr="00A51E75">
              <w:rPr>
                <w:rFonts w:ascii="Calibri" w:hAnsi="Calibri" w:cs="Calibri"/>
                <w:color w:val="000000"/>
                <w:sz w:val="18"/>
                <w:szCs w:val="18"/>
              </w:rPr>
              <w:t xml:space="preserve">Número de planes de gestión o territorios que implementan medidas de conservación para especies paraguas o amenazadas (por ejemplo, jaguar, tapir), con mecanismos locales de monitorización. </w:t>
            </w:r>
          </w:p>
          <w:p w14:paraId="714B139F" w14:textId="2747299F" w:rsidR="00DB71AF" w:rsidRPr="00D830D9" w:rsidRDefault="146556C5" w:rsidP="05DB8549">
            <w:pPr>
              <w:spacing w:after="60"/>
              <w:rPr>
                <w:rFonts w:asciiTheme="minorHAnsi" w:hAnsiTheme="minorHAnsi" w:cstheme="minorBidi"/>
                <w:sz w:val="18"/>
                <w:szCs w:val="18"/>
                <w:lang w:val="es-EC"/>
              </w:rPr>
            </w:pPr>
            <w:r w:rsidRPr="00A51E75">
              <w:rPr>
                <w:rFonts w:asciiTheme="minorHAnsi" w:hAnsiTheme="minorHAnsi" w:cstheme="minorBidi"/>
                <w:sz w:val="18"/>
                <w:szCs w:val="18"/>
              </w:rPr>
              <w:t>(</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4.1 del </w:t>
            </w:r>
            <w:r w:rsidR="00BC67C3">
              <w:rPr>
                <w:rFonts w:asciiTheme="minorHAnsi" w:hAnsiTheme="minorHAnsi" w:cstheme="minorBidi"/>
                <w:sz w:val="18"/>
                <w:szCs w:val="18"/>
              </w:rPr>
              <w:t>FMAM</w:t>
            </w:r>
            <w:r w:rsidRPr="00A51E75">
              <w:rPr>
                <w:rFonts w:asciiTheme="minorHAnsi" w:hAnsiTheme="minorHAnsi" w:cstheme="minorBidi"/>
                <w:sz w:val="18"/>
                <w:szCs w:val="18"/>
              </w:rPr>
              <w:t xml:space="preserve"> – Gestión sostenible para beneficios de biodiversidad) Contribuye al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 Subindicadores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11.1 e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11.2 (40% mujeres) </w:t>
            </w:r>
          </w:p>
          <w:p w14:paraId="0D30715E" w14:textId="6EF9A845" w:rsidR="00DB71AF" w:rsidRPr="00D830D9" w:rsidRDefault="00DB71AF" w:rsidP="05DB8549">
            <w:pPr>
              <w:spacing w:after="60"/>
              <w:rPr>
                <w:rFonts w:asciiTheme="minorHAnsi" w:hAnsiTheme="minorHAnsi" w:cstheme="minorBidi"/>
                <w:sz w:val="18"/>
                <w:szCs w:val="18"/>
                <w:lang w:val="es-EC"/>
              </w:rPr>
            </w:pPr>
          </w:p>
        </w:tc>
        <w:tc>
          <w:tcPr>
            <w:tcW w:w="1802" w:type="dxa"/>
            <w:gridSpan w:val="2"/>
          </w:tcPr>
          <w:p w14:paraId="1679D4D4" w14:textId="171D472E" w:rsidR="00DB71AF" w:rsidRPr="00D830D9" w:rsidRDefault="23919315" w:rsidP="7CD6F03B">
            <w:pPr>
              <w:contextualSpacing/>
              <w:rPr>
                <w:rFonts w:asciiTheme="minorHAnsi" w:hAnsiTheme="minorHAnsi" w:cstheme="minorBidi"/>
                <w:sz w:val="18"/>
                <w:szCs w:val="18"/>
                <w:lang w:val="es-EC"/>
              </w:rPr>
            </w:pPr>
            <w:r w:rsidRPr="7CD6F03B">
              <w:rPr>
                <w:rFonts w:ascii="Calibri" w:hAnsi="Calibri" w:cs="Calibri"/>
                <w:color w:val="000000" w:themeColor="text1"/>
                <w:sz w:val="18"/>
                <w:szCs w:val="18"/>
              </w:rPr>
              <w:t xml:space="preserve">Planes aprobados de gestión forestal; Planes de gestión y uso de las áreas de conservación; Planes de vida y documentos de planificación territorial (PDOT, PUGS); </w:t>
            </w:r>
            <w:r w:rsidR="009E221F" w:rsidRPr="7CD6F03B">
              <w:rPr>
                <w:rFonts w:ascii="Calibri" w:hAnsi="Calibri" w:cs="Calibri"/>
                <w:color w:val="000000" w:themeColor="text1"/>
                <w:sz w:val="18"/>
                <w:szCs w:val="18"/>
              </w:rPr>
              <w:t>MAE</w:t>
            </w:r>
            <w:r w:rsidRPr="7CD6F03B">
              <w:rPr>
                <w:rFonts w:ascii="Calibri" w:hAnsi="Calibri" w:cs="Calibri"/>
                <w:color w:val="000000" w:themeColor="text1"/>
                <w:sz w:val="18"/>
                <w:szCs w:val="18"/>
              </w:rPr>
              <w:t xml:space="preserve"> informa sobre especies amenazadas; registros de seguimiento comunitario; Informes técnicos del proyecto; Datos de sistemas participativos de monitoreo de la biodiversidad.</w:t>
            </w:r>
          </w:p>
        </w:tc>
        <w:tc>
          <w:tcPr>
            <w:tcW w:w="1213" w:type="dxa"/>
            <w:gridSpan w:val="2"/>
          </w:tcPr>
          <w:p w14:paraId="0412B679" w14:textId="0BCFBED7" w:rsidR="00DB71AF" w:rsidRPr="00A51E75" w:rsidRDefault="00DB71AF" w:rsidP="00DB71AF">
            <w:pPr>
              <w:contextualSpacing/>
              <w:rPr>
                <w:rFonts w:asciiTheme="minorHAnsi" w:hAnsiTheme="minorHAnsi" w:cstheme="minorHAnsi"/>
                <w:sz w:val="18"/>
                <w:szCs w:val="18"/>
              </w:rPr>
            </w:pPr>
            <w:r w:rsidRPr="00A51E75">
              <w:rPr>
                <w:rFonts w:ascii="Calibri" w:hAnsi="Calibri" w:cs="Calibri"/>
                <w:color w:val="000000"/>
                <w:sz w:val="18"/>
                <w:szCs w:val="18"/>
              </w:rPr>
              <w:t>0</w:t>
            </w:r>
          </w:p>
        </w:tc>
        <w:tc>
          <w:tcPr>
            <w:tcW w:w="1644" w:type="dxa"/>
          </w:tcPr>
          <w:p w14:paraId="74E866AB" w14:textId="1697BF43" w:rsidR="00DB71AF" w:rsidRPr="00D830D9" w:rsidRDefault="146556C5" w:rsidP="05DB8549">
            <w:pPr>
              <w:contextualSpacing/>
              <w:rPr>
                <w:rFonts w:asciiTheme="minorHAnsi" w:hAnsiTheme="minorHAnsi" w:cstheme="minorBidi"/>
                <w:sz w:val="18"/>
                <w:szCs w:val="18"/>
                <w:lang w:val="es-EC"/>
              </w:rPr>
            </w:pPr>
            <w:r w:rsidRPr="00A51E75">
              <w:rPr>
                <w:rFonts w:ascii="Calibri" w:hAnsi="Calibri" w:cs="Calibri"/>
                <w:color w:val="000000" w:themeColor="text1"/>
                <w:sz w:val="18"/>
                <w:szCs w:val="18"/>
              </w:rPr>
              <w:t>Al menos un plan o territorio con medidas de conservación y monitorización implementadas</w:t>
            </w:r>
          </w:p>
          <w:p w14:paraId="5CEEE160" w14:textId="0D547E5A" w:rsidR="00DB71AF" w:rsidRPr="00D830D9" w:rsidRDefault="00DB71AF" w:rsidP="05DB8549">
            <w:pPr>
              <w:contextualSpacing/>
              <w:rPr>
                <w:rFonts w:ascii="Calibri" w:hAnsi="Calibri" w:cs="Calibri"/>
                <w:color w:val="000000" w:themeColor="text1"/>
                <w:sz w:val="18"/>
                <w:szCs w:val="18"/>
                <w:lang w:val="es-EC"/>
              </w:rPr>
            </w:pPr>
          </w:p>
        </w:tc>
        <w:tc>
          <w:tcPr>
            <w:tcW w:w="2081" w:type="dxa"/>
            <w:gridSpan w:val="2"/>
          </w:tcPr>
          <w:p w14:paraId="0BF1E3A6" w14:textId="5379E820" w:rsidR="00DB71AF" w:rsidRPr="00D830D9" w:rsidRDefault="146556C5" w:rsidP="05DB8549">
            <w:pPr>
              <w:contextualSpacing/>
              <w:rPr>
                <w:rFonts w:asciiTheme="minorHAnsi" w:hAnsiTheme="minorHAnsi" w:cstheme="minorBidi"/>
                <w:sz w:val="18"/>
                <w:szCs w:val="18"/>
                <w:lang w:val="es-EC"/>
              </w:rPr>
            </w:pPr>
            <w:r w:rsidRPr="00A51E75">
              <w:rPr>
                <w:rFonts w:ascii="Calibri" w:hAnsi="Calibri" w:cs="Calibri"/>
                <w:color w:val="000000" w:themeColor="text1"/>
                <w:sz w:val="18"/>
                <w:szCs w:val="18"/>
              </w:rPr>
              <w:t xml:space="preserve">Al menos 2 planes o territorios con medidas de conservación y monitorización comunitaria </w:t>
            </w:r>
          </w:p>
          <w:p w14:paraId="34402F88" w14:textId="2E0BFC57" w:rsidR="00DB71AF" w:rsidRPr="00D830D9" w:rsidRDefault="00DB71AF" w:rsidP="05DB8549">
            <w:pPr>
              <w:contextualSpacing/>
              <w:rPr>
                <w:rFonts w:ascii="Calibri" w:hAnsi="Calibri" w:cs="Calibri"/>
                <w:color w:val="000000" w:themeColor="text1"/>
                <w:sz w:val="18"/>
                <w:szCs w:val="18"/>
                <w:lang w:val="es-EC"/>
              </w:rPr>
            </w:pPr>
          </w:p>
          <w:p w14:paraId="5348FA2A" w14:textId="498C8406" w:rsidR="00DB71AF" w:rsidRPr="00D830D9" w:rsidRDefault="00DB71AF" w:rsidP="05DB8549">
            <w:pPr>
              <w:contextualSpacing/>
              <w:rPr>
                <w:rFonts w:ascii="Calibri" w:hAnsi="Calibri" w:cs="Calibri"/>
                <w:color w:val="000000" w:themeColor="text1"/>
                <w:sz w:val="18"/>
                <w:szCs w:val="18"/>
                <w:lang w:val="es-EC"/>
              </w:rPr>
            </w:pPr>
          </w:p>
        </w:tc>
        <w:tc>
          <w:tcPr>
            <w:tcW w:w="1798" w:type="dxa"/>
          </w:tcPr>
          <w:p w14:paraId="31B1F261" w14:textId="75DE975F" w:rsidR="00DB71AF" w:rsidRPr="00D830D9" w:rsidRDefault="23919315" w:rsidP="7CD6F03B">
            <w:pPr>
              <w:contextualSpacing/>
              <w:rPr>
                <w:rFonts w:asciiTheme="minorHAnsi" w:hAnsiTheme="minorHAnsi" w:cstheme="minorBidi"/>
                <w:sz w:val="18"/>
                <w:szCs w:val="18"/>
                <w:lang w:val="es-EC"/>
              </w:rPr>
            </w:pPr>
            <w:r w:rsidRPr="7CD6F03B">
              <w:rPr>
                <w:rFonts w:ascii="Calibri" w:hAnsi="Calibri" w:cs="Calibri"/>
                <w:color w:val="000000" w:themeColor="text1"/>
                <w:sz w:val="18"/>
                <w:szCs w:val="18"/>
              </w:rPr>
              <w:t xml:space="preserve">Revisión de planes relevantes (por ejemplo, </w:t>
            </w:r>
            <w:proofErr w:type="spellStart"/>
            <w:r w:rsidRPr="7CD6F03B">
              <w:rPr>
                <w:rFonts w:ascii="Calibri" w:hAnsi="Calibri" w:cs="Calibri"/>
                <w:color w:val="000000" w:themeColor="text1"/>
                <w:sz w:val="18"/>
                <w:szCs w:val="18"/>
              </w:rPr>
              <w:t>PDOTs</w:t>
            </w:r>
            <w:proofErr w:type="spellEnd"/>
            <w:r w:rsidRPr="7CD6F03B">
              <w:rPr>
                <w:rFonts w:ascii="Calibri" w:hAnsi="Calibri" w:cs="Calibri"/>
                <w:color w:val="000000" w:themeColor="text1"/>
                <w:sz w:val="18"/>
                <w:szCs w:val="18"/>
              </w:rPr>
              <w:t xml:space="preserve">, Planes de Vida, </w:t>
            </w:r>
            <w:r w:rsidR="008459D1">
              <w:rPr>
                <w:rFonts w:ascii="Calibri" w:hAnsi="Calibri" w:cs="Calibri"/>
                <w:color w:val="000000" w:themeColor="text1"/>
                <w:sz w:val="18"/>
                <w:szCs w:val="18"/>
              </w:rPr>
              <w:t xml:space="preserve">Plan de Manejo Forestal - </w:t>
            </w:r>
            <w:r w:rsidRPr="7CD6F03B">
              <w:rPr>
                <w:rFonts w:ascii="Calibri" w:hAnsi="Calibri" w:cs="Calibri"/>
                <w:color w:val="000000" w:themeColor="text1"/>
                <w:sz w:val="18"/>
                <w:szCs w:val="18"/>
              </w:rPr>
              <w:t xml:space="preserve">PMF); Entrevistas con funcionarios de </w:t>
            </w:r>
            <w:r w:rsidR="009E221F" w:rsidRPr="7CD6F03B">
              <w:rPr>
                <w:rFonts w:ascii="Calibri" w:hAnsi="Calibri" w:cs="Calibri"/>
                <w:color w:val="000000" w:themeColor="text1"/>
                <w:sz w:val="18"/>
                <w:szCs w:val="18"/>
              </w:rPr>
              <w:t>MAE</w:t>
            </w:r>
            <w:r w:rsidRPr="7CD6F03B">
              <w:rPr>
                <w:rFonts w:ascii="Calibri" w:hAnsi="Calibri" w:cs="Calibri"/>
                <w:color w:val="000000" w:themeColor="text1"/>
                <w:sz w:val="18"/>
                <w:szCs w:val="18"/>
              </w:rPr>
              <w:t xml:space="preserve"> y GAD; Verificación de los registros de implementación y participación; visitas a los lugares para confirmar acciones centradas en la especie; Uso de protocolos de monitorización de la biodiversidad adaptados para su aplicación local.</w:t>
            </w:r>
          </w:p>
        </w:tc>
        <w:tc>
          <w:tcPr>
            <w:tcW w:w="2124" w:type="dxa"/>
          </w:tcPr>
          <w:p w14:paraId="5C9BFC17" w14:textId="77777777" w:rsidR="00DB71AF" w:rsidRPr="00D830D9" w:rsidRDefault="00DB71AF" w:rsidP="00DB71AF">
            <w:pPr>
              <w:contextualSpacing/>
              <w:rPr>
                <w:rFonts w:ascii="Calibri" w:hAnsi="Calibri" w:cs="Calibri"/>
                <w:color w:val="000000"/>
                <w:sz w:val="18"/>
                <w:szCs w:val="18"/>
                <w:lang w:val="es-EC"/>
              </w:rPr>
            </w:pPr>
            <w:r w:rsidRPr="00A51E75">
              <w:rPr>
                <w:rFonts w:ascii="Calibri" w:hAnsi="Calibri" w:cs="Calibri"/>
                <w:b/>
                <w:bCs/>
                <w:color w:val="000000"/>
                <w:sz w:val="18"/>
                <w:szCs w:val="18"/>
              </w:rPr>
              <w:t>Riesgos</w:t>
            </w:r>
            <w:r w:rsidRPr="00A51E75">
              <w:rPr>
                <w:rFonts w:ascii="Calibri" w:hAnsi="Calibri" w:cs="Calibri"/>
                <w:color w:val="000000"/>
                <w:sz w:val="18"/>
                <w:szCs w:val="18"/>
              </w:rPr>
              <w:t>: Falta de datos de referencia sobre poblaciones de especies; Baja capacidad local o interés en el monitoreo de especies; Coordinación institucional limitada. </w:t>
            </w:r>
          </w:p>
          <w:p w14:paraId="6722D9D7" w14:textId="77777777" w:rsidR="00DB71AF" w:rsidRPr="00D830D9" w:rsidRDefault="00DB71AF" w:rsidP="00DB71AF">
            <w:pPr>
              <w:contextualSpacing/>
              <w:rPr>
                <w:rFonts w:ascii="Calibri" w:hAnsi="Calibri" w:cs="Calibri"/>
                <w:color w:val="000000"/>
                <w:sz w:val="18"/>
                <w:szCs w:val="18"/>
                <w:lang w:val="es-EC"/>
              </w:rPr>
            </w:pPr>
          </w:p>
          <w:p w14:paraId="5D85DA50" w14:textId="0108D3D8" w:rsidR="00DB71AF" w:rsidRPr="00D830D9" w:rsidRDefault="00DB71AF" w:rsidP="00DB71AF">
            <w:pPr>
              <w:contextualSpacing/>
              <w:rPr>
                <w:rFonts w:asciiTheme="minorHAnsi" w:hAnsiTheme="minorHAnsi" w:cstheme="minorHAnsi"/>
                <w:sz w:val="18"/>
                <w:szCs w:val="18"/>
                <w:lang w:val="es-EC"/>
              </w:rPr>
            </w:pPr>
            <w:r w:rsidRPr="00A51E75">
              <w:rPr>
                <w:rFonts w:ascii="Calibri" w:hAnsi="Calibri" w:cs="Calibri"/>
                <w:b/>
                <w:bCs/>
                <w:color w:val="000000"/>
                <w:sz w:val="18"/>
                <w:szCs w:val="18"/>
              </w:rPr>
              <w:t>Suposiciones</w:t>
            </w:r>
            <w:r w:rsidRPr="00A51E75">
              <w:rPr>
                <w:rFonts w:ascii="Calibri" w:hAnsi="Calibri" w:cs="Calibri"/>
                <w:color w:val="000000"/>
                <w:sz w:val="18"/>
                <w:szCs w:val="18"/>
              </w:rPr>
              <w:t>: Las autoridades locales y nacionales priorizan la conservación de especies; Las comunidades participan en el monitoreo de la biodiversidad; Los recursos del proyecto permiten apoyo técnico y desarrollo de capacidades.</w:t>
            </w:r>
          </w:p>
        </w:tc>
      </w:tr>
      <w:tr w:rsidR="00DB71AF" w:rsidRPr="007D4F41" w14:paraId="7E4FA87B" w14:textId="77777777" w:rsidTr="7CD6F03B">
        <w:trPr>
          <w:trHeight w:val="300"/>
        </w:trPr>
        <w:tc>
          <w:tcPr>
            <w:tcW w:w="1583" w:type="dxa"/>
            <w:vMerge/>
          </w:tcPr>
          <w:p w14:paraId="0B6A7BEB"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5FDDB7CB" w14:textId="0DA598BF" w:rsidR="00DB71AF" w:rsidRPr="00D830D9" w:rsidRDefault="146556C5" w:rsidP="05DB8549">
            <w:pPr>
              <w:contextualSpacing/>
              <w:rPr>
                <w:rFonts w:asciiTheme="minorHAnsi" w:hAnsiTheme="minorHAnsi" w:cstheme="minorBidi"/>
                <w:sz w:val="18"/>
                <w:szCs w:val="18"/>
                <w:lang w:val="es-EC"/>
              </w:rPr>
            </w:pPr>
            <w:r w:rsidRPr="00A51E75">
              <w:rPr>
                <w:rFonts w:asciiTheme="minorHAnsi" w:hAnsiTheme="minorHAnsi" w:cstheme="minorBidi"/>
                <w:sz w:val="18"/>
                <w:szCs w:val="18"/>
              </w:rPr>
              <w:t xml:space="preserve">Indicador 11: </w:t>
            </w:r>
            <w:r w:rsidRPr="00A51E75">
              <w:rPr>
                <w:rFonts w:ascii="Calibri" w:hAnsi="Calibri" w:cs="Calibri"/>
                <w:color w:val="000000" w:themeColor="text1"/>
                <w:sz w:val="18"/>
                <w:szCs w:val="18"/>
              </w:rPr>
              <w:t>Número de corredores biológicos o áreas de conectividad de hábitat establecidas o reforzadas para apoyar el movimiento de especies amenazadas.</w:t>
            </w:r>
            <w:r w:rsidR="00DB71AF" w:rsidRPr="00A51E75">
              <w:br/>
            </w:r>
            <w:r w:rsidRPr="00A51E75">
              <w:rPr>
                <w:rFonts w:ascii="Calibri" w:hAnsi="Calibri" w:cs="Calibri"/>
                <w:color w:val="000000" w:themeColor="text1"/>
                <w:sz w:val="18"/>
                <w:szCs w:val="18"/>
              </w:rPr>
              <w:t>(</w:t>
            </w:r>
            <w:r w:rsidR="00A60D5B">
              <w:rPr>
                <w:rFonts w:ascii="Calibri" w:hAnsi="Calibri" w:cs="Calibri"/>
                <w:color w:val="000000" w:themeColor="text1"/>
                <w:sz w:val="18"/>
                <w:szCs w:val="18"/>
              </w:rPr>
              <w:t xml:space="preserve">IC </w:t>
            </w:r>
            <w:r w:rsidR="00BC67C3">
              <w:rPr>
                <w:rFonts w:ascii="Calibri" w:hAnsi="Calibri" w:cs="Calibri"/>
                <w:color w:val="000000" w:themeColor="text1"/>
                <w:sz w:val="18"/>
                <w:szCs w:val="18"/>
              </w:rPr>
              <w:t>FMAM</w:t>
            </w:r>
            <w:r w:rsidRPr="00A51E75">
              <w:rPr>
                <w:rFonts w:ascii="Calibri" w:hAnsi="Calibri" w:cs="Calibri"/>
                <w:color w:val="000000" w:themeColor="text1"/>
                <w:sz w:val="18"/>
                <w:szCs w:val="18"/>
              </w:rPr>
              <w:t xml:space="preserve"> 3.2 – Restauración ecológica; contribuye a </w:t>
            </w:r>
            <w:r w:rsidR="00A60D5B">
              <w:rPr>
                <w:rFonts w:ascii="Calibri" w:hAnsi="Calibri" w:cs="Calibri"/>
                <w:color w:val="000000" w:themeColor="text1"/>
                <w:sz w:val="18"/>
                <w:szCs w:val="18"/>
              </w:rPr>
              <w:t xml:space="preserve">IC </w:t>
            </w:r>
            <w:r w:rsidRPr="00A51E75">
              <w:rPr>
                <w:rFonts w:ascii="Calibri" w:hAnsi="Calibri" w:cs="Calibri"/>
                <w:color w:val="000000" w:themeColor="text1"/>
                <w:sz w:val="18"/>
                <w:szCs w:val="18"/>
              </w:rPr>
              <w:t xml:space="preserve">11.1 e </w:t>
            </w:r>
            <w:r w:rsidR="00A60D5B">
              <w:rPr>
                <w:rFonts w:ascii="Calibri" w:hAnsi="Calibri" w:cs="Calibri"/>
                <w:color w:val="000000" w:themeColor="text1"/>
                <w:sz w:val="18"/>
                <w:szCs w:val="18"/>
              </w:rPr>
              <w:lastRenderedPageBreak/>
              <w:t xml:space="preserve">IC </w:t>
            </w:r>
            <w:r w:rsidRPr="00A51E75">
              <w:rPr>
                <w:rFonts w:ascii="Calibri" w:hAnsi="Calibri" w:cs="Calibri"/>
                <w:color w:val="000000" w:themeColor="text1"/>
                <w:sz w:val="18"/>
                <w:szCs w:val="18"/>
              </w:rPr>
              <w:t xml:space="preserve">11.2: 40% mujeres beneficiarias </w:t>
            </w:r>
          </w:p>
          <w:p w14:paraId="0DFC4B3A" w14:textId="238F9AA7" w:rsidR="05DB8549" w:rsidRPr="00D830D9" w:rsidRDefault="05DB8549" w:rsidP="05DB8549">
            <w:pPr>
              <w:contextualSpacing/>
              <w:rPr>
                <w:rFonts w:ascii="Calibri" w:hAnsi="Calibri" w:cs="Calibri"/>
                <w:color w:val="000000" w:themeColor="text1"/>
                <w:sz w:val="18"/>
                <w:szCs w:val="18"/>
                <w:lang w:val="es-EC"/>
              </w:rPr>
            </w:pPr>
          </w:p>
          <w:p w14:paraId="7E43D04C" w14:textId="2B3F84B8" w:rsidR="05DB8549" w:rsidRPr="00D830D9" w:rsidRDefault="05DB8549" w:rsidP="05DB8549">
            <w:pPr>
              <w:contextualSpacing/>
              <w:rPr>
                <w:rFonts w:ascii="Calibri" w:hAnsi="Calibri" w:cs="Calibri"/>
                <w:color w:val="000000" w:themeColor="text1"/>
                <w:sz w:val="18"/>
                <w:szCs w:val="18"/>
                <w:lang w:val="es-EC"/>
              </w:rPr>
            </w:pPr>
          </w:p>
          <w:p w14:paraId="4DE98D41" w14:textId="47B7C779" w:rsidR="00DB71AF" w:rsidRPr="00D830D9" w:rsidRDefault="00DB71AF" w:rsidP="00DB71AF">
            <w:pPr>
              <w:contextualSpacing/>
              <w:rPr>
                <w:rFonts w:asciiTheme="minorHAnsi" w:hAnsiTheme="minorHAnsi" w:cstheme="minorHAnsi"/>
                <w:sz w:val="18"/>
                <w:szCs w:val="18"/>
                <w:lang w:val="es-EC"/>
              </w:rPr>
            </w:pPr>
          </w:p>
        </w:tc>
        <w:tc>
          <w:tcPr>
            <w:tcW w:w="1802" w:type="dxa"/>
            <w:gridSpan w:val="2"/>
          </w:tcPr>
          <w:p w14:paraId="13DCC4EB" w14:textId="7B968FCF" w:rsidR="00DB71AF" w:rsidRPr="00D830D9" w:rsidRDefault="23919315" w:rsidP="7CD6F03B">
            <w:pPr>
              <w:contextualSpacing/>
              <w:rPr>
                <w:rFonts w:asciiTheme="minorHAnsi" w:hAnsiTheme="minorHAnsi" w:cstheme="minorBidi"/>
                <w:sz w:val="18"/>
                <w:szCs w:val="18"/>
                <w:lang w:val="es-EC"/>
              </w:rPr>
            </w:pPr>
            <w:r w:rsidRPr="7CD6F03B">
              <w:rPr>
                <w:rFonts w:ascii="Calibri" w:hAnsi="Calibri" w:cs="Calibri"/>
                <w:color w:val="000000" w:themeColor="text1"/>
                <w:sz w:val="18"/>
                <w:szCs w:val="18"/>
              </w:rPr>
              <w:lastRenderedPageBreak/>
              <w:t xml:space="preserve">Información oficial de </w:t>
            </w:r>
            <w:r w:rsidR="009E221F" w:rsidRPr="7CD6F03B">
              <w:rPr>
                <w:rFonts w:ascii="Calibri" w:hAnsi="Calibri" w:cs="Calibri"/>
                <w:color w:val="000000" w:themeColor="text1"/>
                <w:sz w:val="18"/>
                <w:szCs w:val="18"/>
              </w:rPr>
              <w:t>MAE</w:t>
            </w:r>
            <w:r w:rsidRPr="7CD6F03B">
              <w:rPr>
                <w:rFonts w:ascii="Calibri" w:hAnsi="Calibri" w:cs="Calibri"/>
                <w:color w:val="000000" w:themeColor="text1"/>
                <w:sz w:val="18"/>
                <w:szCs w:val="18"/>
              </w:rPr>
              <w:t xml:space="preserve"> (PNRP, SIGMA, SAF); mapas actualizados de conectividad ecológica; planes de gestión de APH, PSB, ACUS y Bosques Protectores; acuerdos de cogestión con los GAD y socios de conservación; herramientas de priorización de </w:t>
            </w:r>
            <w:r w:rsidRPr="7CD6F03B">
              <w:rPr>
                <w:rFonts w:ascii="Calibri" w:hAnsi="Calibri" w:cs="Calibri"/>
                <w:color w:val="000000" w:themeColor="text1"/>
                <w:sz w:val="18"/>
                <w:szCs w:val="18"/>
              </w:rPr>
              <w:lastRenderedPageBreak/>
              <w:t xml:space="preserve">corredores de biodiversidad (por ejemplo, de SNAP, ProAmazonía o </w:t>
            </w:r>
            <w:r w:rsidR="009E221F" w:rsidRPr="7CD6F03B">
              <w:rPr>
                <w:rFonts w:ascii="Calibri" w:hAnsi="Calibri" w:cs="Calibri"/>
                <w:color w:val="000000" w:themeColor="text1"/>
                <w:sz w:val="18"/>
                <w:szCs w:val="18"/>
              </w:rPr>
              <w:t>MAE</w:t>
            </w:r>
            <w:r w:rsidRPr="7CD6F03B">
              <w:rPr>
                <w:rFonts w:ascii="Calibri" w:hAnsi="Calibri" w:cs="Calibri"/>
                <w:color w:val="000000" w:themeColor="text1"/>
                <w:sz w:val="18"/>
                <w:szCs w:val="18"/>
              </w:rPr>
              <w:t>-CTEA); Informes de seguimiento de campo.</w:t>
            </w:r>
          </w:p>
        </w:tc>
        <w:tc>
          <w:tcPr>
            <w:tcW w:w="1213" w:type="dxa"/>
            <w:gridSpan w:val="2"/>
          </w:tcPr>
          <w:p w14:paraId="177B17BB" w14:textId="05800ACD" w:rsidR="00DB71AF" w:rsidRPr="00A51E75" w:rsidRDefault="00DB71AF" w:rsidP="00DB71AF">
            <w:pPr>
              <w:contextualSpacing/>
              <w:rPr>
                <w:rFonts w:asciiTheme="minorHAnsi" w:hAnsiTheme="minorHAnsi" w:cstheme="minorHAnsi"/>
                <w:sz w:val="18"/>
                <w:szCs w:val="18"/>
              </w:rPr>
            </w:pPr>
            <w:r w:rsidRPr="00A51E75">
              <w:rPr>
                <w:rFonts w:ascii="Calibri" w:hAnsi="Calibri" w:cs="Calibri"/>
                <w:color w:val="000000"/>
                <w:sz w:val="18"/>
                <w:szCs w:val="18"/>
              </w:rPr>
              <w:lastRenderedPageBreak/>
              <w:t>0</w:t>
            </w:r>
          </w:p>
        </w:tc>
        <w:tc>
          <w:tcPr>
            <w:tcW w:w="1644" w:type="dxa"/>
          </w:tcPr>
          <w:p w14:paraId="684A28CA" w14:textId="3DFE370F" w:rsidR="00DB71AF" w:rsidRPr="00D830D9" w:rsidRDefault="146556C5" w:rsidP="05DB8549">
            <w:pPr>
              <w:contextualSpacing/>
              <w:rPr>
                <w:rFonts w:asciiTheme="minorHAnsi" w:hAnsiTheme="minorHAnsi" w:cstheme="minorBidi"/>
                <w:sz w:val="18"/>
                <w:szCs w:val="18"/>
                <w:lang w:val="es-EC"/>
              </w:rPr>
            </w:pPr>
            <w:r w:rsidRPr="00A51E75">
              <w:rPr>
                <w:rFonts w:ascii="Calibri" w:hAnsi="Calibri" w:cs="Calibri"/>
                <w:color w:val="000000" w:themeColor="text1"/>
                <w:sz w:val="18"/>
                <w:szCs w:val="18"/>
              </w:rPr>
              <w:t>Al menos un corredor o zona de conectividad identificada y comenzó la restauración inicial</w:t>
            </w:r>
          </w:p>
        </w:tc>
        <w:tc>
          <w:tcPr>
            <w:tcW w:w="2081" w:type="dxa"/>
            <w:gridSpan w:val="2"/>
          </w:tcPr>
          <w:p w14:paraId="000BAEA5" w14:textId="3BD6E889" w:rsidR="00DB71AF" w:rsidRPr="00D830D9" w:rsidRDefault="00DB71AF" w:rsidP="00DB71AF">
            <w:pPr>
              <w:contextualSpacing/>
              <w:rPr>
                <w:rFonts w:asciiTheme="minorHAnsi" w:hAnsiTheme="minorHAnsi" w:cstheme="minorHAnsi"/>
                <w:sz w:val="18"/>
                <w:szCs w:val="18"/>
                <w:lang w:val="es-EC"/>
              </w:rPr>
            </w:pPr>
            <w:r w:rsidRPr="00A51E75">
              <w:rPr>
                <w:rFonts w:ascii="Calibri" w:hAnsi="Calibri" w:cs="Calibri"/>
                <w:color w:val="000000"/>
                <w:sz w:val="18"/>
                <w:szCs w:val="18"/>
              </w:rPr>
              <w:t>Al menos 2 corredores o áreas de conectividad establecidos o reforzados con restauración activa o pasiva, e incluidos en herramientas de planificación territorial</w:t>
            </w:r>
          </w:p>
        </w:tc>
        <w:tc>
          <w:tcPr>
            <w:tcW w:w="1798" w:type="dxa"/>
          </w:tcPr>
          <w:p w14:paraId="5B379A93" w14:textId="54339E8D" w:rsidR="00DB71AF" w:rsidRPr="00D830D9" w:rsidRDefault="23919315" w:rsidP="7CD6F03B">
            <w:pPr>
              <w:contextualSpacing/>
              <w:rPr>
                <w:rFonts w:asciiTheme="minorHAnsi" w:hAnsiTheme="minorHAnsi" w:cstheme="minorBidi"/>
                <w:sz w:val="18"/>
                <w:szCs w:val="18"/>
                <w:lang w:val="es-EC"/>
              </w:rPr>
            </w:pPr>
            <w:r w:rsidRPr="7CD6F03B">
              <w:rPr>
                <w:rFonts w:ascii="Calibri" w:hAnsi="Calibri" w:cs="Calibri"/>
                <w:color w:val="000000" w:themeColor="text1"/>
                <w:sz w:val="18"/>
                <w:szCs w:val="18"/>
              </w:rPr>
              <w:t xml:space="preserve">Revisión de mapas de corredores y documentos técnicos; análisis de solapamiento con PNRP y SNAP; verificación de campo de las acciones de restauración de la conectividad; entrevistas semiestructuradas con </w:t>
            </w:r>
            <w:r w:rsidR="009E221F" w:rsidRPr="7CD6F03B">
              <w:rPr>
                <w:rFonts w:ascii="Calibri" w:hAnsi="Calibri" w:cs="Calibri"/>
                <w:color w:val="000000" w:themeColor="text1"/>
                <w:sz w:val="18"/>
                <w:szCs w:val="18"/>
              </w:rPr>
              <w:lastRenderedPageBreak/>
              <w:t>MAE</w:t>
            </w:r>
            <w:r w:rsidRPr="7CD6F03B">
              <w:rPr>
                <w:rFonts w:ascii="Calibri" w:hAnsi="Calibri" w:cs="Calibri"/>
                <w:color w:val="000000" w:themeColor="text1"/>
                <w:sz w:val="18"/>
                <w:szCs w:val="18"/>
              </w:rPr>
              <w:t xml:space="preserve">, </w:t>
            </w:r>
            <w:proofErr w:type="spellStart"/>
            <w:r w:rsidRPr="7CD6F03B">
              <w:rPr>
                <w:rFonts w:ascii="Calibri" w:hAnsi="Calibri" w:cs="Calibri"/>
                <w:color w:val="000000" w:themeColor="text1"/>
                <w:sz w:val="18"/>
                <w:szCs w:val="18"/>
              </w:rPr>
              <w:t>GADs</w:t>
            </w:r>
            <w:proofErr w:type="spellEnd"/>
            <w:r w:rsidRPr="7CD6F03B">
              <w:rPr>
                <w:rFonts w:ascii="Calibri" w:hAnsi="Calibri" w:cs="Calibri"/>
                <w:color w:val="000000" w:themeColor="text1"/>
                <w:sz w:val="18"/>
                <w:szCs w:val="18"/>
              </w:rPr>
              <w:t xml:space="preserve"> y comunidades; Informes técnicos de progreso</w:t>
            </w:r>
          </w:p>
        </w:tc>
        <w:tc>
          <w:tcPr>
            <w:tcW w:w="2124" w:type="dxa"/>
          </w:tcPr>
          <w:p w14:paraId="1E797268" w14:textId="77777777" w:rsidR="00DB71AF" w:rsidRPr="00D830D9" w:rsidRDefault="00DB71AF" w:rsidP="00DB71AF">
            <w:pPr>
              <w:contextualSpacing/>
              <w:rPr>
                <w:rFonts w:ascii="Calibri" w:hAnsi="Calibri" w:cs="Calibri"/>
                <w:color w:val="000000"/>
                <w:sz w:val="18"/>
                <w:szCs w:val="18"/>
                <w:lang w:val="es-EC"/>
              </w:rPr>
            </w:pPr>
            <w:r w:rsidRPr="00A51E75">
              <w:rPr>
                <w:rFonts w:ascii="Calibri" w:hAnsi="Calibri" w:cs="Calibri"/>
                <w:b/>
                <w:bCs/>
                <w:color w:val="000000"/>
                <w:sz w:val="18"/>
                <w:szCs w:val="18"/>
              </w:rPr>
              <w:lastRenderedPageBreak/>
              <w:t>Riesgos</w:t>
            </w:r>
            <w:r w:rsidRPr="00A51E75">
              <w:rPr>
                <w:rFonts w:ascii="Calibri" w:hAnsi="Calibri" w:cs="Calibri"/>
                <w:color w:val="000000"/>
                <w:sz w:val="18"/>
                <w:szCs w:val="18"/>
              </w:rPr>
              <w:t xml:space="preserve">: fragmentación institucional; coordinación intersectorial insuficiente; conflictos de tenencia de la tierra o falta de incentivos para los propietarios. </w:t>
            </w:r>
          </w:p>
          <w:p w14:paraId="2B6CC3A2" w14:textId="77777777" w:rsidR="00DB71AF" w:rsidRPr="00D830D9" w:rsidRDefault="00DB71AF" w:rsidP="00DB71AF">
            <w:pPr>
              <w:contextualSpacing/>
              <w:rPr>
                <w:rFonts w:ascii="Calibri" w:hAnsi="Calibri" w:cs="Calibri"/>
                <w:b/>
                <w:bCs/>
                <w:color w:val="000000"/>
                <w:sz w:val="18"/>
                <w:szCs w:val="18"/>
                <w:lang w:val="es-EC"/>
              </w:rPr>
            </w:pPr>
          </w:p>
          <w:p w14:paraId="47FE354D" w14:textId="6EA64679" w:rsidR="00DB71AF" w:rsidRPr="00D830D9" w:rsidRDefault="00DB71AF" w:rsidP="00DB71AF">
            <w:pPr>
              <w:contextualSpacing/>
              <w:rPr>
                <w:rFonts w:asciiTheme="minorHAnsi" w:hAnsiTheme="minorHAnsi" w:cstheme="minorHAnsi"/>
                <w:sz w:val="18"/>
                <w:szCs w:val="18"/>
                <w:lang w:val="es-EC"/>
              </w:rPr>
            </w:pPr>
            <w:r w:rsidRPr="00A51E75">
              <w:rPr>
                <w:rFonts w:ascii="Calibri" w:hAnsi="Calibri" w:cs="Calibri"/>
                <w:b/>
                <w:bCs/>
                <w:color w:val="000000"/>
                <w:sz w:val="18"/>
                <w:szCs w:val="18"/>
              </w:rPr>
              <w:t>Suposiciones</w:t>
            </w:r>
            <w:r w:rsidRPr="00A51E75">
              <w:rPr>
                <w:rFonts w:ascii="Calibri" w:hAnsi="Calibri" w:cs="Calibri"/>
                <w:color w:val="000000"/>
                <w:sz w:val="18"/>
                <w:szCs w:val="18"/>
              </w:rPr>
              <w:t xml:space="preserve">: Voluntad política para mantener o restaurar la conectividad; cofinanciación asegurada </w:t>
            </w:r>
            <w:r w:rsidRPr="00A51E75">
              <w:rPr>
                <w:rFonts w:ascii="Calibri" w:hAnsi="Calibri" w:cs="Calibri"/>
                <w:color w:val="000000"/>
                <w:sz w:val="18"/>
                <w:szCs w:val="18"/>
              </w:rPr>
              <w:lastRenderedPageBreak/>
              <w:t>a través de los GAD y socios; las comunidades reconocen los corredores de biodiversidad como activos valiosos.</w:t>
            </w:r>
          </w:p>
        </w:tc>
      </w:tr>
      <w:tr w:rsidR="00DB71AF" w:rsidRPr="007D4F41" w14:paraId="2F599ED4" w14:textId="77777777" w:rsidTr="7CD6F03B">
        <w:trPr>
          <w:trHeight w:val="300"/>
        </w:trPr>
        <w:tc>
          <w:tcPr>
            <w:tcW w:w="1583" w:type="dxa"/>
          </w:tcPr>
          <w:p w14:paraId="50FF6AE6"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Resultados para lograr el Resultado 2.1</w:t>
            </w:r>
          </w:p>
        </w:tc>
        <w:tc>
          <w:tcPr>
            <w:tcW w:w="8884" w:type="dxa"/>
            <w:gridSpan w:val="9"/>
          </w:tcPr>
          <w:p w14:paraId="68CD06A6" w14:textId="77777777"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2.1.1. Planes de gestión formulados y/o actualizados para áreas de protección del agua e implementación de medidas de gestión sostenible que contribuyan a prevenir la degradación de tierras y proteger los recursos hídricos en la cuenca alta del río Napo.</w:t>
            </w:r>
          </w:p>
          <w:p w14:paraId="1C84F1E3" w14:textId="77777777"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2.1.2. Programa de formación en restauración de tierras en zonas degradadas y deforestadas y gestión sostenible que promueva la participación de las mujeres mediante acciones afirmativas.</w:t>
            </w:r>
          </w:p>
          <w:p w14:paraId="7FB92FA1" w14:textId="5063B183"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2.1.3. Planes de gestión formulados y/o actualizados para bosques protectores u otras formas de protección, como bosques pertenecientes a comunidades indígenas y otros tipos de tenencia presentes en la cuenca baja del río Napo, incorporando medidas para la gestión forestal sostenible.</w:t>
            </w:r>
          </w:p>
        </w:tc>
        <w:tc>
          <w:tcPr>
            <w:tcW w:w="1798" w:type="dxa"/>
          </w:tcPr>
          <w:p w14:paraId="7E6527EC" w14:textId="77777777" w:rsidR="00DB71AF" w:rsidRPr="00D830D9" w:rsidRDefault="00DB71AF" w:rsidP="00DB71AF">
            <w:pPr>
              <w:spacing w:after="60"/>
              <w:jc w:val="both"/>
              <w:rPr>
                <w:rFonts w:asciiTheme="minorHAnsi" w:hAnsiTheme="minorHAnsi" w:cstheme="minorHAnsi"/>
                <w:sz w:val="18"/>
                <w:szCs w:val="18"/>
                <w:lang w:val="es-EC"/>
              </w:rPr>
            </w:pPr>
          </w:p>
        </w:tc>
        <w:tc>
          <w:tcPr>
            <w:tcW w:w="2124" w:type="dxa"/>
          </w:tcPr>
          <w:p w14:paraId="09B9936E" w14:textId="77777777" w:rsidR="00DB71AF" w:rsidRPr="00D830D9" w:rsidRDefault="00DB71AF" w:rsidP="00DB71AF">
            <w:pPr>
              <w:spacing w:after="60"/>
              <w:jc w:val="both"/>
              <w:rPr>
                <w:rFonts w:asciiTheme="minorHAnsi" w:hAnsiTheme="minorHAnsi" w:cstheme="minorHAnsi"/>
                <w:sz w:val="18"/>
                <w:szCs w:val="18"/>
                <w:lang w:val="es-EC"/>
              </w:rPr>
            </w:pPr>
          </w:p>
        </w:tc>
      </w:tr>
      <w:tr w:rsidR="00DB71AF" w:rsidRPr="007D4F41" w14:paraId="3BD0F900" w14:textId="77777777" w:rsidTr="7CD6F03B">
        <w:trPr>
          <w:trHeight w:val="300"/>
        </w:trPr>
        <w:tc>
          <w:tcPr>
            <w:tcW w:w="1583" w:type="dxa"/>
            <w:vMerge w:val="restart"/>
          </w:tcPr>
          <w:p w14:paraId="1C2F09E1" w14:textId="77777777" w:rsidR="00DB71AF" w:rsidRPr="00D830D9" w:rsidRDefault="00DB71AF" w:rsidP="00DB71AF">
            <w:pPr>
              <w:spacing w:after="60"/>
              <w:jc w:val="both"/>
              <w:rPr>
                <w:rFonts w:asciiTheme="minorHAnsi" w:hAnsiTheme="minorHAnsi" w:cstheme="minorHAnsi"/>
                <w:b/>
                <w:sz w:val="18"/>
                <w:szCs w:val="18"/>
                <w:lang w:val="es-EC"/>
              </w:rPr>
            </w:pPr>
            <w:bookmarkStart w:id="27" w:name="_heading=h.win2rat9edr" w:colFirst="0" w:colLast="0"/>
            <w:bookmarkEnd w:id="27"/>
            <w:r w:rsidRPr="00A51E75">
              <w:rPr>
                <w:rFonts w:asciiTheme="minorHAnsi" w:hAnsiTheme="minorHAnsi" w:cstheme="minorHAnsi"/>
                <w:b/>
                <w:sz w:val="18"/>
                <w:szCs w:val="18"/>
              </w:rPr>
              <w:t>Resultado 2.2</w:t>
            </w:r>
          </w:p>
          <w:p w14:paraId="7027C27F" w14:textId="56474CBC" w:rsidR="00DB71AF" w:rsidRPr="00D830D9" w:rsidRDefault="00DB71AF" w:rsidP="00DB71AF">
            <w:pPr>
              <w:spacing w:after="60"/>
              <w:jc w:val="both"/>
              <w:rPr>
                <w:rFonts w:asciiTheme="minorHAnsi" w:hAnsiTheme="minorHAnsi" w:cstheme="minorHAnsi"/>
                <w:sz w:val="18"/>
                <w:szCs w:val="18"/>
                <w:lang w:val="es-EC"/>
              </w:rPr>
            </w:pPr>
            <w:r w:rsidRPr="00A51E75">
              <w:rPr>
                <w:rFonts w:asciiTheme="minorHAnsi" w:hAnsiTheme="minorHAnsi" w:cstheme="minorHAnsi"/>
                <w:bCs/>
                <w:sz w:val="18"/>
                <w:szCs w:val="18"/>
              </w:rPr>
              <w:t>Los sistemas de producción agrícola sostenibles y eficientes aumentan los beneficios sociales, económicos y medioambientales.</w:t>
            </w:r>
          </w:p>
        </w:tc>
        <w:tc>
          <w:tcPr>
            <w:tcW w:w="2144" w:type="dxa"/>
            <w:gridSpan w:val="2"/>
          </w:tcPr>
          <w:p w14:paraId="68FAF80A" w14:textId="6000C9FD" w:rsidR="00DB71AF" w:rsidRPr="00D830D9" w:rsidRDefault="00DB71AF" w:rsidP="00DB71AF">
            <w:pPr>
              <w:rPr>
                <w:rFonts w:asciiTheme="minorHAnsi" w:hAnsiTheme="minorHAnsi" w:cstheme="minorBidi"/>
                <w:sz w:val="18"/>
                <w:szCs w:val="18"/>
                <w:lang w:val="es-EC"/>
              </w:rPr>
            </w:pPr>
            <w:r w:rsidRPr="00A51E75">
              <w:rPr>
                <w:rFonts w:asciiTheme="minorHAnsi" w:hAnsiTheme="minorHAnsi" w:cstheme="minorBidi"/>
                <w:sz w:val="18"/>
                <w:szCs w:val="18"/>
              </w:rPr>
              <w:t xml:space="preserve">Indicador 12: </w:t>
            </w:r>
            <w:r w:rsidRPr="00A51E75">
              <w:rPr>
                <w:rFonts w:ascii="Calibri" w:hAnsi="Calibri" w:cs="Calibri"/>
                <w:color w:val="000000"/>
                <w:sz w:val="18"/>
                <w:szCs w:val="18"/>
              </w:rPr>
              <w:t>Número de hogares que reportaron un aumento de la seguridad alimentaria como resultado de la implementación de prácticas de gestión de la vivienda (</w:t>
            </w:r>
            <w:r w:rsidR="00E26F5E">
              <w:rPr>
                <w:rFonts w:ascii="Calibri" w:hAnsi="Calibri" w:cs="Calibri"/>
                <w:color w:val="000000"/>
                <w:sz w:val="18"/>
                <w:szCs w:val="18"/>
              </w:rPr>
              <w:t>MST</w:t>
            </w:r>
            <w:r w:rsidRPr="00A51E75">
              <w:rPr>
                <w:rFonts w:ascii="Calibri" w:hAnsi="Calibri" w:cs="Calibri"/>
                <w:color w:val="000000"/>
                <w:sz w:val="18"/>
                <w:szCs w:val="18"/>
              </w:rPr>
              <w:t xml:space="preserve">) promovidas por el proyecto </w:t>
            </w:r>
          </w:p>
          <w:p w14:paraId="54084312" w14:textId="77777777" w:rsidR="00DB71AF" w:rsidRPr="00D830D9" w:rsidRDefault="00DB71AF" w:rsidP="00DB71AF">
            <w:pPr>
              <w:rPr>
                <w:rFonts w:asciiTheme="minorHAnsi" w:hAnsiTheme="minorHAnsi" w:cstheme="minorHAnsi"/>
                <w:sz w:val="18"/>
                <w:szCs w:val="18"/>
                <w:lang w:val="es-EC"/>
              </w:rPr>
            </w:pPr>
          </w:p>
          <w:p w14:paraId="1144E315" w14:textId="7BFACD8E"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Central 4: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4.3 – Gestión sostenible en sistemas de producción)</w:t>
            </w:r>
          </w:p>
          <w:p w14:paraId="1AC8464B" w14:textId="77777777" w:rsidR="00DB71AF" w:rsidRPr="00D830D9" w:rsidRDefault="00DB71AF" w:rsidP="00DB71AF">
            <w:pPr>
              <w:rPr>
                <w:rFonts w:asciiTheme="minorHAnsi" w:hAnsiTheme="minorHAnsi" w:cstheme="minorHAnsi"/>
                <w:sz w:val="18"/>
                <w:szCs w:val="18"/>
                <w:lang w:val="es-EC"/>
              </w:rPr>
            </w:pPr>
          </w:p>
          <w:p w14:paraId="238B825F" w14:textId="103D5E6D" w:rsidR="00DB71AF" w:rsidRPr="00A51E75" w:rsidRDefault="00DB71AF" w:rsidP="00DB71AF">
            <w:pPr>
              <w:rPr>
                <w:rFonts w:asciiTheme="minorHAnsi" w:hAnsiTheme="minorHAnsi" w:cstheme="minorHAnsi"/>
                <w:sz w:val="18"/>
                <w:szCs w:val="18"/>
                <w:lang w:val="en-US"/>
              </w:rPr>
            </w:pPr>
            <w:r w:rsidRPr="00A51E75">
              <w:rPr>
                <w:rFonts w:asciiTheme="minorHAnsi" w:hAnsiTheme="minorHAnsi" w:cstheme="minorHAnsi"/>
                <w:sz w:val="18"/>
                <w:szCs w:val="18"/>
              </w:rPr>
              <w:t xml:space="preserve">(Indicador Núcleo 11: 2.265 personas, 40% mujeres) </w:t>
            </w:r>
          </w:p>
        </w:tc>
        <w:tc>
          <w:tcPr>
            <w:tcW w:w="1802" w:type="dxa"/>
            <w:gridSpan w:val="2"/>
          </w:tcPr>
          <w:p w14:paraId="5AAD8CEC" w14:textId="0477A743" w:rsidR="00DB71AF" w:rsidRPr="00D830D9" w:rsidRDefault="00DB71AF" w:rsidP="00DB71AF">
            <w:pPr>
              <w:rPr>
                <w:rFonts w:asciiTheme="minorHAnsi" w:hAnsiTheme="minorHAnsi" w:cstheme="minorHAnsi"/>
                <w:sz w:val="18"/>
                <w:szCs w:val="18"/>
                <w:lang w:val="es-EC"/>
              </w:rPr>
            </w:pPr>
            <w:r w:rsidRPr="00A51E75">
              <w:rPr>
                <w:rFonts w:ascii="Calibri" w:hAnsi="Calibri" w:cs="Calibri"/>
                <w:color w:val="000000"/>
                <w:sz w:val="18"/>
                <w:szCs w:val="18"/>
              </w:rPr>
              <w:t>informes de seguimiento del proyecto; encuestas de seguridad alimentaria en hogares; entrevistas y grupos focales con familias beneficiarias; Registros de producción agrícola desglosados por hogar.</w:t>
            </w:r>
          </w:p>
        </w:tc>
        <w:tc>
          <w:tcPr>
            <w:tcW w:w="1213" w:type="dxa"/>
            <w:gridSpan w:val="2"/>
          </w:tcPr>
          <w:p w14:paraId="75204155" w14:textId="7D587553" w:rsidR="00DB71AF" w:rsidRPr="00A51E75" w:rsidRDefault="00DB71AF" w:rsidP="00DB71AF">
            <w:pPr>
              <w:rPr>
                <w:rFonts w:asciiTheme="minorHAnsi" w:hAnsiTheme="minorHAnsi" w:cstheme="minorHAnsi"/>
                <w:sz w:val="18"/>
                <w:szCs w:val="18"/>
              </w:rPr>
            </w:pPr>
            <w:r w:rsidRPr="00A51E75">
              <w:rPr>
                <w:rFonts w:ascii="Calibri" w:hAnsi="Calibri" w:cs="Calibri"/>
                <w:color w:val="000000"/>
                <w:sz w:val="18"/>
                <w:szCs w:val="18"/>
              </w:rPr>
              <w:t>0</w:t>
            </w:r>
          </w:p>
        </w:tc>
        <w:tc>
          <w:tcPr>
            <w:tcW w:w="1644" w:type="dxa"/>
          </w:tcPr>
          <w:p w14:paraId="71775A14" w14:textId="4599F600" w:rsidR="00DB71AF" w:rsidRPr="00A51E75" w:rsidRDefault="00DB71AF" w:rsidP="00DB71AF">
            <w:pPr>
              <w:rPr>
                <w:rFonts w:asciiTheme="minorHAnsi" w:hAnsiTheme="minorHAnsi" w:cstheme="minorHAnsi"/>
                <w:sz w:val="18"/>
                <w:szCs w:val="18"/>
              </w:rPr>
            </w:pPr>
            <w:r w:rsidRPr="00A51E75">
              <w:rPr>
                <w:rFonts w:ascii="Calibri" w:hAnsi="Calibri" w:cs="Calibri"/>
                <w:color w:val="000000"/>
                <w:sz w:val="18"/>
                <w:szCs w:val="18"/>
              </w:rPr>
              <w:t>Al menos 150 hogares</w:t>
            </w:r>
          </w:p>
        </w:tc>
        <w:tc>
          <w:tcPr>
            <w:tcW w:w="2081" w:type="dxa"/>
            <w:gridSpan w:val="2"/>
          </w:tcPr>
          <w:p w14:paraId="0AC7A961" w14:textId="3E7F39CA" w:rsidR="00DB71AF" w:rsidRPr="00A51E75" w:rsidRDefault="00DB71AF" w:rsidP="00DB71AF">
            <w:pPr>
              <w:rPr>
                <w:rFonts w:asciiTheme="minorHAnsi" w:hAnsiTheme="minorHAnsi" w:cstheme="minorHAnsi"/>
                <w:sz w:val="18"/>
                <w:szCs w:val="18"/>
              </w:rPr>
            </w:pPr>
            <w:r w:rsidRPr="00A51E75">
              <w:rPr>
                <w:rFonts w:ascii="Calibri" w:hAnsi="Calibri" w:cs="Calibri"/>
                <w:color w:val="000000"/>
                <w:sz w:val="18"/>
                <w:szCs w:val="18"/>
              </w:rPr>
              <w:t>Al menos 300 hogares</w:t>
            </w:r>
          </w:p>
        </w:tc>
        <w:tc>
          <w:tcPr>
            <w:tcW w:w="1798" w:type="dxa"/>
          </w:tcPr>
          <w:p w14:paraId="119EDE85" w14:textId="39859CCA" w:rsidR="00DB71AF" w:rsidRPr="00A51E75" w:rsidRDefault="00DB71AF" w:rsidP="00DB71AF">
            <w:pPr>
              <w:rPr>
                <w:rFonts w:asciiTheme="minorHAnsi" w:hAnsiTheme="minorHAnsi" w:cstheme="minorHAnsi"/>
                <w:sz w:val="18"/>
                <w:szCs w:val="18"/>
                <w:lang w:val="en-US"/>
              </w:rPr>
            </w:pPr>
            <w:r w:rsidRPr="00A51E75">
              <w:rPr>
                <w:rFonts w:ascii="Calibri" w:hAnsi="Calibri" w:cs="Calibri"/>
                <w:color w:val="000000"/>
                <w:sz w:val="18"/>
                <w:szCs w:val="18"/>
              </w:rPr>
              <w:t xml:space="preserve">Encuestas a nivel de hogares utilizando módulos estandarizados de seguridad alimentaria (por ejemplo, FIES o HFIAS), realizadas durante la </w:t>
            </w:r>
            <w:r w:rsidR="003057B2">
              <w:rPr>
                <w:rFonts w:ascii="Calibri" w:hAnsi="Calibri" w:cs="Calibri"/>
                <w:color w:val="000000"/>
                <w:sz w:val="18"/>
                <w:szCs w:val="18"/>
              </w:rPr>
              <w:t>RMT</w:t>
            </w:r>
            <w:r w:rsidRPr="00A51E75">
              <w:rPr>
                <w:rFonts w:ascii="Calibri" w:hAnsi="Calibri" w:cs="Calibri"/>
                <w:color w:val="000000"/>
                <w:sz w:val="18"/>
                <w:szCs w:val="18"/>
              </w:rPr>
              <w:t xml:space="preserve"> y la </w:t>
            </w:r>
            <w:r w:rsidR="00C15639">
              <w:rPr>
                <w:rFonts w:ascii="Calibri" w:hAnsi="Calibri" w:cs="Calibri"/>
                <w:color w:val="000000"/>
                <w:sz w:val="18"/>
                <w:szCs w:val="18"/>
              </w:rPr>
              <w:t>EFI</w:t>
            </w:r>
            <w:r w:rsidRPr="00A51E75">
              <w:rPr>
                <w:rFonts w:ascii="Calibri" w:hAnsi="Calibri" w:cs="Calibri"/>
                <w:color w:val="000000"/>
                <w:sz w:val="18"/>
                <w:szCs w:val="18"/>
              </w:rPr>
              <w:t xml:space="preserve">. Entrevistas con beneficiarios tanto mujeres como hombres. Registros de la producción agrícola doméstica. Verificación de campo de la implementación de </w:t>
            </w:r>
            <w:r w:rsidR="00E26F5E">
              <w:rPr>
                <w:rFonts w:ascii="Calibri" w:hAnsi="Calibri" w:cs="Calibri"/>
                <w:color w:val="000000"/>
                <w:sz w:val="18"/>
                <w:szCs w:val="18"/>
              </w:rPr>
              <w:t>MST</w:t>
            </w:r>
            <w:r w:rsidRPr="00A51E75">
              <w:rPr>
                <w:rFonts w:ascii="Calibri" w:hAnsi="Calibri" w:cs="Calibri"/>
                <w:color w:val="000000"/>
                <w:sz w:val="18"/>
                <w:szCs w:val="18"/>
              </w:rPr>
              <w:t>.</w:t>
            </w:r>
          </w:p>
        </w:tc>
        <w:tc>
          <w:tcPr>
            <w:tcW w:w="2124" w:type="dxa"/>
          </w:tcPr>
          <w:p w14:paraId="4D417C89" w14:textId="7633F2E8" w:rsidR="00DB71AF" w:rsidRPr="00D830D9" w:rsidRDefault="00DB71AF" w:rsidP="00DB71AF">
            <w:pPr>
              <w:rPr>
                <w:rFonts w:ascii="Calibri" w:hAnsi="Calibri" w:cs="Calibri"/>
                <w:color w:val="000000"/>
                <w:sz w:val="18"/>
                <w:szCs w:val="18"/>
                <w:lang w:val="es-EC"/>
              </w:rPr>
            </w:pPr>
            <w:r w:rsidRPr="00A51E75">
              <w:rPr>
                <w:rFonts w:ascii="Calibri" w:hAnsi="Calibri" w:cs="Calibri"/>
                <w:b/>
                <w:bCs/>
                <w:color w:val="000000"/>
                <w:sz w:val="18"/>
                <w:szCs w:val="18"/>
              </w:rPr>
              <w:t>Riesgos</w:t>
            </w:r>
            <w:r w:rsidRPr="00A51E75">
              <w:rPr>
                <w:rFonts w:ascii="Calibri" w:hAnsi="Calibri" w:cs="Calibri"/>
                <w:color w:val="000000"/>
                <w:sz w:val="18"/>
                <w:szCs w:val="18"/>
              </w:rPr>
              <w:t xml:space="preserve">: Adopción limitada del </w:t>
            </w:r>
            <w:r w:rsidR="00E26F5E">
              <w:rPr>
                <w:rFonts w:ascii="Calibri" w:hAnsi="Calibri" w:cs="Calibri"/>
                <w:color w:val="000000"/>
                <w:sz w:val="18"/>
                <w:szCs w:val="18"/>
              </w:rPr>
              <w:t>MST</w:t>
            </w:r>
            <w:r w:rsidRPr="00A51E75">
              <w:rPr>
                <w:rFonts w:ascii="Calibri" w:hAnsi="Calibri" w:cs="Calibri"/>
                <w:color w:val="000000"/>
                <w:sz w:val="18"/>
                <w:szCs w:val="18"/>
              </w:rPr>
              <w:t xml:space="preserve"> debido a la falta de incentivos, eventos meteorológicos extremos que afectan a la producción.  </w:t>
            </w:r>
          </w:p>
          <w:p w14:paraId="3E1B92A0" w14:textId="77777777" w:rsidR="00DB71AF" w:rsidRPr="00D830D9" w:rsidRDefault="00DB71AF" w:rsidP="00DB71AF">
            <w:pPr>
              <w:rPr>
                <w:rFonts w:ascii="Calibri" w:hAnsi="Calibri" w:cs="Calibri"/>
                <w:color w:val="000000"/>
                <w:sz w:val="18"/>
                <w:szCs w:val="18"/>
                <w:lang w:val="es-EC"/>
              </w:rPr>
            </w:pPr>
          </w:p>
          <w:p w14:paraId="7BE28338" w14:textId="7A6CB041" w:rsidR="00DB71AF" w:rsidRPr="00D830D9" w:rsidRDefault="00DB71AF" w:rsidP="00DB71AF">
            <w:pPr>
              <w:rPr>
                <w:rFonts w:asciiTheme="minorHAnsi" w:hAnsiTheme="minorHAnsi" w:cstheme="minorHAnsi"/>
                <w:sz w:val="18"/>
                <w:szCs w:val="18"/>
                <w:lang w:val="es-EC"/>
              </w:rPr>
            </w:pPr>
            <w:r w:rsidRPr="00A51E75">
              <w:rPr>
                <w:rFonts w:ascii="Calibri" w:hAnsi="Calibri" w:cs="Calibri"/>
                <w:b/>
                <w:bCs/>
                <w:color w:val="000000"/>
                <w:sz w:val="18"/>
                <w:szCs w:val="18"/>
              </w:rPr>
              <w:t>Suposiciones</w:t>
            </w:r>
            <w:r w:rsidRPr="00A51E75">
              <w:rPr>
                <w:rFonts w:ascii="Calibri" w:hAnsi="Calibri" w:cs="Calibri"/>
                <w:color w:val="000000"/>
                <w:sz w:val="18"/>
                <w:szCs w:val="18"/>
              </w:rPr>
              <w:t>: Los hogares aplican prácticas de gestión de la cultura que mejoran la diversidad y productividad de los cultivos. El proyecto proporciona un apoyo técnico y aportaciones adecuadas. Las mujeres y los grupos vulnerables participan de manera equitativa en la formación e implementación.</w:t>
            </w:r>
          </w:p>
        </w:tc>
      </w:tr>
      <w:tr w:rsidR="00DB71AF" w:rsidRPr="007D4F41" w14:paraId="3C7EDF93" w14:textId="77777777" w:rsidTr="7CD6F03B">
        <w:trPr>
          <w:trHeight w:val="300"/>
        </w:trPr>
        <w:tc>
          <w:tcPr>
            <w:tcW w:w="1583" w:type="dxa"/>
            <w:vMerge/>
          </w:tcPr>
          <w:p w14:paraId="5AED4000"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7B97DD45" w14:textId="36B2AB0B"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Indicador 13: El aumento en el número de empresas mejoró como resultado de la restauración de tierras agrícolas degradadas</w:t>
            </w:r>
          </w:p>
          <w:p w14:paraId="0C108BD1" w14:textId="77777777" w:rsidR="00DB71AF" w:rsidRPr="00D830D9" w:rsidRDefault="00DB71AF" w:rsidP="00DB71AF">
            <w:pPr>
              <w:rPr>
                <w:rFonts w:asciiTheme="minorHAnsi" w:hAnsiTheme="minorHAnsi" w:cstheme="minorHAnsi"/>
                <w:sz w:val="18"/>
                <w:szCs w:val="18"/>
                <w:lang w:val="es-EC"/>
              </w:rPr>
            </w:pPr>
          </w:p>
          <w:p w14:paraId="0496B5A8" w14:textId="035B40E4"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w:t>
            </w:r>
            <w:proofErr w:type="spellStart"/>
            <w:r w:rsidRPr="00A51E75">
              <w:rPr>
                <w:rFonts w:asciiTheme="minorHAnsi" w:hAnsiTheme="minorHAnsi" w:cstheme="minorHAnsi"/>
                <w:sz w:val="18"/>
                <w:szCs w:val="18"/>
              </w:rPr>
              <w:t>Co-beneficio</w:t>
            </w:r>
            <w:proofErr w:type="spellEnd"/>
            <w:r w:rsidRPr="00A51E75">
              <w:rPr>
                <w:rFonts w:asciiTheme="minorHAnsi" w:hAnsiTheme="minorHAnsi" w:cstheme="minorHAnsi"/>
                <w:sz w:val="18"/>
                <w:szCs w:val="18"/>
              </w:rPr>
              <w:t xml:space="preserve"> del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4: 3.020 ha en restauración) </w:t>
            </w:r>
          </w:p>
        </w:tc>
        <w:tc>
          <w:tcPr>
            <w:tcW w:w="1802" w:type="dxa"/>
            <w:gridSpan w:val="2"/>
          </w:tcPr>
          <w:p w14:paraId="7EFE1692" w14:textId="5C9E5752" w:rsidR="00DB71AF" w:rsidRPr="00D830D9" w:rsidRDefault="23919315" w:rsidP="7CD6F03B">
            <w:pPr>
              <w:rPr>
                <w:rFonts w:asciiTheme="minorHAnsi" w:hAnsiTheme="minorHAnsi" w:cstheme="minorBidi"/>
                <w:sz w:val="18"/>
                <w:szCs w:val="18"/>
                <w:lang w:val="es-EC"/>
              </w:rPr>
            </w:pPr>
            <w:r w:rsidRPr="7CD6F03B">
              <w:rPr>
                <w:rFonts w:asciiTheme="minorHAnsi" w:hAnsiTheme="minorHAnsi" w:cstheme="minorBidi"/>
                <w:sz w:val="18"/>
                <w:szCs w:val="18"/>
              </w:rPr>
              <w:t xml:space="preserve"> Mapeo de Empresas por la Confederación de Nacionalidades Indígenas de la Región Amazónica Ecuatoriana (CONFENIAE), Catálogo de Empresas de Amazon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n. 2022), Catálogo de Empresas "Compra con Propósito" (ONU), lista de propuestas empresariales presentadas a los </w:t>
            </w:r>
            <w:r w:rsidRPr="7CD6F03B">
              <w:rPr>
                <w:rFonts w:asciiTheme="minorHAnsi" w:hAnsiTheme="minorHAnsi" w:cstheme="minorBidi"/>
                <w:sz w:val="18"/>
                <w:szCs w:val="18"/>
              </w:rPr>
              <w:lastRenderedPageBreak/>
              <w:t>Premios Sacha, catálogo de especies de flora con potencial de uso (</w:t>
            </w:r>
            <w:r w:rsidR="009E221F" w:rsidRPr="7CD6F03B">
              <w:rPr>
                <w:rFonts w:asciiTheme="minorHAnsi" w:hAnsiTheme="minorHAnsi" w:cstheme="minorBidi"/>
                <w:sz w:val="18"/>
                <w:szCs w:val="18"/>
              </w:rPr>
              <w:t>MAGP</w:t>
            </w:r>
            <w:r w:rsidRPr="7CD6F03B">
              <w:rPr>
                <w:rFonts w:asciiTheme="minorHAnsi" w:hAnsiTheme="minorHAnsi" w:cstheme="minorBidi"/>
                <w:sz w:val="18"/>
                <w:szCs w:val="18"/>
              </w:rPr>
              <w:t xml:space="preserve">,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UTPL, 2022), empresas financiadas por la Instalación Forestal y Agrícola (FAO</w:t>
            </w:r>
            <w:proofErr w:type="gramStart"/>
            <w:r w:rsidRPr="7CD6F03B">
              <w:rPr>
                <w:rFonts w:asciiTheme="minorHAnsi" w:hAnsiTheme="minorHAnsi" w:cstheme="minorBidi"/>
                <w:sz w:val="18"/>
                <w:szCs w:val="18"/>
              </w:rPr>
              <w:t>),  Amazonia</w:t>
            </w:r>
            <w:proofErr w:type="gramEnd"/>
            <w:r w:rsidRPr="7CD6F03B">
              <w:rPr>
                <w:rFonts w:asciiTheme="minorHAnsi" w:hAnsiTheme="minorHAnsi" w:cstheme="minorBidi"/>
                <w:sz w:val="18"/>
                <w:szCs w:val="18"/>
              </w:rPr>
              <w:t xml:space="preserve"> Indígena - Cartera de Empresas de Derechos y Recursos (WWF) </w:t>
            </w:r>
          </w:p>
        </w:tc>
        <w:tc>
          <w:tcPr>
            <w:tcW w:w="1213" w:type="dxa"/>
            <w:gridSpan w:val="2"/>
          </w:tcPr>
          <w:p w14:paraId="74B4CCA8" w14:textId="429B9E71" w:rsidR="00DB71AF" w:rsidRPr="00A51E75" w:rsidRDefault="00DB71AF" w:rsidP="00DB71AF">
            <w:pPr>
              <w:rPr>
                <w:rFonts w:asciiTheme="minorHAnsi" w:hAnsiTheme="minorHAnsi" w:cstheme="minorHAnsi"/>
                <w:sz w:val="18"/>
                <w:szCs w:val="18"/>
              </w:rPr>
            </w:pPr>
            <w:r w:rsidRPr="00A51E75">
              <w:rPr>
                <w:rFonts w:asciiTheme="minorHAnsi" w:hAnsiTheme="minorHAnsi" w:cstheme="minorHAnsi"/>
                <w:sz w:val="18"/>
                <w:szCs w:val="18"/>
              </w:rPr>
              <w:lastRenderedPageBreak/>
              <w:t xml:space="preserve"> 91 </w:t>
            </w:r>
          </w:p>
        </w:tc>
        <w:tc>
          <w:tcPr>
            <w:tcW w:w="1644" w:type="dxa"/>
          </w:tcPr>
          <w:p w14:paraId="71B6E59D" w14:textId="671A29F1" w:rsidR="00DB71AF" w:rsidRPr="00A51E75" w:rsidRDefault="00DB71AF" w:rsidP="00DB71AF">
            <w:pPr>
              <w:rPr>
                <w:rFonts w:asciiTheme="minorHAnsi" w:hAnsiTheme="minorHAnsi" w:cstheme="minorBidi"/>
                <w:sz w:val="18"/>
                <w:szCs w:val="18"/>
              </w:rPr>
            </w:pPr>
            <w:r w:rsidRPr="00A51E75">
              <w:rPr>
                <w:rFonts w:asciiTheme="minorHAnsi" w:hAnsiTheme="minorHAnsi" w:cstheme="minorBidi"/>
                <w:sz w:val="18"/>
                <w:szCs w:val="18"/>
              </w:rPr>
              <w:t xml:space="preserve"> 101 (91 + 10) </w:t>
            </w:r>
          </w:p>
        </w:tc>
        <w:tc>
          <w:tcPr>
            <w:tcW w:w="2081" w:type="dxa"/>
            <w:gridSpan w:val="2"/>
          </w:tcPr>
          <w:p w14:paraId="0A52990D" w14:textId="71C7FB08" w:rsidR="00DB71AF" w:rsidRPr="00A51E75" w:rsidRDefault="00DB71AF" w:rsidP="00DB71AF">
            <w:pPr>
              <w:rPr>
                <w:rFonts w:asciiTheme="minorHAnsi" w:hAnsiTheme="minorHAnsi" w:cstheme="minorBidi"/>
                <w:sz w:val="18"/>
                <w:szCs w:val="18"/>
              </w:rPr>
            </w:pPr>
            <w:r w:rsidRPr="00A51E75">
              <w:rPr>
                <w:rFonts w:asciiTheme="minorHAnsi" w:hAnsiTheme="minorHAnsi" w:cstheme="minorBidi"/>
                <w:sz w:val="18"/>
                <w:szCs w:val="18"/>
              </w:rPr>
              <w:t xml:space="preserve"> 114 (91 + 25) </w:t>
            </w:r>
          </w:p>
        </w:tc>
        <w:tc>
          <w:tcPr>
            <w:tcW w:w="1798" w:type="dxa"/>
          </w:tcPr>
          <w:p w14:paraId="598EFD0D" w14:textId="589C558D" w:rsidR="00DB71AF" w:rsidRPr="00D830D9" w:rsidRDefault="146556C5" w:rsidP="05DB8549">
            <w:pPr>
              <w:rPr>
                <w:rFonts w:asciiTheme="minorHAnsi" w:hAnsiTheme="minorHAnsi" w:cstheme="minorBidi"/>
                <w:sz w:val="18"/>
                <w:szCs w:val="18"/>
                <w:lang w:val="es-EC"/>
              </w:rPr>
            </w:pPr>
            <w:r w:rsidRPr="00A51E75">
              <w:rPr>
                <w:rFonts w:asciiTheme="minorHAnsi" w:hAnsiTheme="minorHAnsi" w:cstheme="minorBidi"/>
                <w:sz w:val="18"/>
                <w:szCs w:val="18"/>
              </w:rPr>
              <w:t xml:space="preserve">Se registrarán las empresas existentes vinculadas a productores o comunidades involucradas en la restauración de tierras degradadas y su estatus inicial. Posteriormente, se registrarán las iniciativas reforzadas por el proyecto </w:t>
            </w:r>
            <w:r w:rsidRPr="00A51E75">
              <w:rPr>
                <w:rFonts w:asciiTheme="minorHAnsi" w:hAnsiTheme="minorHAnsi" w:cstheme="minorBidi"/>
                <w:sz w:val="18"/>
                <w:szCs w:val="18"/>
              </w:rPr>
              <w:lastRenderedPageBreak/>
              <w:t xml:space="preserve">vinculado a las áreas de restauración, así como detalles sobre su progreso. </w:t>
            </w:r>
          </w:p>
        </w:tc>
        <w:tc>
          <w:tcPr>
            <w:tcW w:w="2124" w:type="dxa"/>
          </w:tcPr>
          <w:p w14:paraId="159A7B0E" w14:textId="713E251C"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Riesgos: Los principales riesgos incluyen la limitada capacidad técnica y organizativa de las empresas rurales para escalar o mantener actividades, un vínculo débil con cadenas de valor diferenciadas y la falta de acceso a mercados, financiación o certificaciones. Además, puede existir barreras </w:t>
            </w:r>
            <w:r w:rsidRPr="00A51E75">
              <w:rPr>
                <w:rFonts w:asciiTheme="minorHAnsi" w:hAnsiTheme="minorHAnsi" w:cstheme="minorHAnsi"/>
                <w:sz w:val="18"/>
                <w:szCs w:val="18"/>
              </w:rPr>
              <w:lastRenderedPageBreak/>
              <w:t>administrativas o legales para formalizar las empresas comunitarias, así como una cultura débil de asociación o sostenibilidad empresarial en algunos territorios. Finalmente, la ausencia de soporte técnico posterior a la restauración podría poner en peligro la viabilidad de los modelos productivos promovidos.</w:t>
            </w:r>
          </w:p>
          <w:p w14:paraId="6DBE08A0" w14:textId="77777777" w:rsidR="00DB71AF" w:rsidRPr="00D830D9" w:rsidRDefault="00DB71AF" w:rsidP="00DB71AF">
            <w:pPr>
              <w:rPr>
                <w:rFonts w:asciiTheme="minorHAnsi" w:hAnsiTheme="minorHAnsi" w:cstheme="minorHAnsi"/>
                <w:sz w:val="18"/>
                <w:szCs w:val="18"/>
                <w:lang w:val="es-EC"/>
              </w:rPr>
            </w:pPr>
          </w:p>
          <w:p w14:paraId="0E0A4ED4" w14:textId="626F9543"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sz w:val="18"/>
                <w:szCs w:val="18"/>
              </w:rPr>
              <w:t>Suposiciones: Se asume que los productores y las comunidades implicadas mantendrán su compromiso con las actividades de restauración y estarán dispuestos a participar en empresas productivas y sostenibles. También se espera que el proyecto proporcione asistencia técnica, herramientas de gestión empresarial y facilite el acceso a mercados y financiación, fortaleciendo así las capacidades locales. Además, se espera interés por parte de actores públicos y privados en apoyar y ampliar las bioempresas vinculadas a la restauración.</w:t>
            </w:r>
          </w:p>
        </w:tc>
      </w:tr>
      <w:tr w:rsidR="00D82B8D" w:rsidRPr="007D4F41" w14:paraId="2677CBBD" w14:textId="77777777" w:rsidTr="7CD6F03B">
        <w:trPr>
          <w:trHeight w:val="300"/>
        </w:trPr>
        <w:tc>
          <w:tcPr>
            <w:tcW w:w="1583" w:type="dxa"/>
            <w:vMerge/>
          </w:tcPr>
          <w:p w14:paraId="7BDFE7A6"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57C6CE0E" w14:textId="437EE949" w:rsidR="00DB71AF" w:rsidRPr="00D830D9" w:rsidRDefault="00DB71AF" w:rsidP="00DB71AF">
            <w:pPr>
              <w:spacing w:after="60"/>
              <w:rPr>
                <w:rFonts w:asciiTheme="minorHAnsi" w:hAnsiTheme="minorHAnsi" w:cstheme="minorBidi"/>
                <w:sz w:val="18"/>
                <w:szCs w:val="18"/>
                <w:lang w:val="es-EC"/>
              </w:rPr>
            </w:pPr>
            <w:r w:rsidRPr="00A51E75">
              <w:rPr>
                <w:rFonts w:ascii="Calibri" w:hAnsi="Calibri" w:cs="Calibri"/>
                <w:color w:val="000000"/>
                <w:sz w:val="18"/>
                <w:szCs w:val="18"/>
              </w:rPr>
              <w:t xml:space="preserve">Indicador 14: Número de iniciativas de medios de vida sostenibles implementadas en áreas restauradas que promueven alternativas económicas como la silvicultura analógica, la silvicultura comercial, </w:t>
            </w:r>
            <w:r w:rsidRPr="00A51E75">
              <w:rPr>
                <w:rFonts w:ascii="Calibri" w:hAnsi="Calibri" w:cs="Calibri"/>
                <w:color w:val="000000"/>
                <w:sz w:val="18"/>
                <w:szCs w:val="18"/>
              </w:rPr>
              <w:lastRenderedPageBreak/>
              <w:t xml:space="preserve">los </w:t>
            </w:r>
            <w:r w:rsidR="00414574">
              <w:rPr>
                <w:rFonts w:ascii="Calibri" w:hAnsi="Calibri" w:cs="Calibri"/>
                <w:color w:val="000000"/>
                <w:sz w:val="18"/>
                <w:szCs w:val="18"/>
              </w:rPr>
              <w:t>PFNM</w:t>
            </w:r>
            <w:r w:rsidRPr="00A51E75">
              <w:rPr>
                <w:rFonts w:ascii="Calibri" w:hAnsi="Calibri" w:cs="Calibri"/>
                <w:color w:val="000000"/>
                <w:sz w:val="18"/>
                <w:szCs w:val="18"/>
              </w:rPr>
              <w:t xml:space="preserve"> o los mecanismos de compensación.</w:t>
            </w:r>
          </w:p>
        </w:tc>
        <w:tc>
          <w:tcPr>
            <w:tcW w:w="1802" w:type="dxa"/>
            <w:gridSpan w:val="2"/>
          </w:tcPr>
          <w:p w14:paraId="00DBC795" w14:textId="2F351C50"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lastRenderedPageBreak/>
              <w:t>Registros de campo de las áreas restauradas (</w:t>
            </w:r>
            <w:r w:rsidR="00A60D5B">
              <w:rPr>
                <w:rFonts w:ascii="Calibri" w:hAnsi="Calibri" w:cs="Calibri"/>
                <w:color w:val="000000"/>
                <w:sz w:val="18"/>
                <w:szCs w:val="18"/>
              </w:rPr>
              <w:t xml:space="preserve">IC </w:t>
            </w:r>
            <w:r w:rsidRPr="00A51E75">
              <w:rPr>
                <w:rFonts w:ascii="Calibri" w:hAnsi="Calibri" w:cs="Calibri"/>
                <w:color w:val="000000"/>
                <w:sz w:val="18"/>
                <w:szCs w:val="18"/>
              </w:rPr>
              <w:t xml:space="preserve">3); Informes de los socios implementadores; Inventarios y seguimiento de empresas y actividades económicas en zonas restauradas; Acuerdos </w:t>
            </w:r>
            <w:r w:rsidRPr="00A51E75">
              <w:rPr>
                <w:rFonts w:ascii="Calibri" w:hAnsi="Calibri" w:cs="Calibri"/>
                <w:color w:val="000000"/>
                <w:sz w:val="18"/>
                <w:szCs w:val="18"/>
              </w:rPr>
              <w:lastRenderedPageBreak/>
              <w:t xml:space="preserve">con los </w:t>
            </w:r>
            <w:proofErr w:type="spellStart"/>
            <w:r w:rsidRPr="00A51E75">
              <w:rPr>
                <w:rFonts w:ascii="Calibri" w:hAnsi="Calibri" w:cs="Calibri"/>
                <w:color w:val="000000"/>
                <w:sz w:val="18"/>
                <w:szCs w:val="18"/>
              </w:rPr>
              <w:t>GADs</w:t>
            </w:r>
            <w:proofErr w:type="spellEnd"/>
            <w:r w:rsidRPr="00A51E75">
              <w:rPr>
                <w:rFonts w:ascii="Calibri" w:hAnsi="Calibri" w:cs="Calibri"/>
                <w:color w:val="000000"/>
                <w:sz w:val="18"/>
                <w:szCs w:val="18"/>
              </w:rPr>
              <w:t xml:space="preserve"> y organizaciones locales.</w:t>
            </w:r>
          </w:p>
        </w:tc>
        <w:tc>
          <w:tcPr>
            <w:tcW w:w="1213" w:type="dxa"/>
            <w:gridSpan w:val="2"/>
          </w:tcPr>
          <w:p w14:paraId="0A84401A" w14:textId="3789BE75" w:rsidR="00DB71AF" w:rsidRPr="00A51E75" w:rsidRDefault="00DB71AF" w:rsidP="00DB71AF">
            <w:pPr>
              <w:spacing w:after="60"/>
              <w:rPr>
                <w:rFonts w:asciiTheme="minorHAnsi" w:hAnsiTheme="minorHAnsi" w:cstheme="minorHAnsi"/>
                <w:sz w:val="18"/>
                <w:szCs w:val="18"/>
                <w:lang w:val="en-US"/>
              </w:rPr>
            </w:pPr>
            <w:r w:rsidRPr="00A51E75">
              <w:rPr>
                <w:rFonts w:ascii="Calibri" w:hAnsi="Calibri" w:cs="Calibri"/>
                <w:color w:val="000000"/>
                <w:sz w:val="18"/>
                <w:szCs w:val="18"/>
              </w:rPr>
              <w:lastRenderedPageBreak/>
              <w:t>0</w:t>
            </w:r>
          </w:p>
        </w:tc>
        <w:tc>
          <w:tcPr>
            <w:tcW w:w="1644" w:type="dxa"/>
          </w:tcPr>
          <w:p w14:paraId="0E9BD5EE" w14:textId="3472A34C" w:rsidR="00DB71AF" w:rsidRPr="00A51E75" w:rsidRDefault="00DB71AF" w:rsidP="00DB71AF">
            <w:pPr>
              <w:spacing w:after="60"/>
              <w:rPr>
                <w:rFonts w:asciiTheme="minorHAnsi" w:hAnsiTheme="minorHAnsi" w:cstheme="minorHAnsi"/>
                <w:sz w:val="18"/>
                <w:szCs w:val="18"/>
                <w:lang w:val="en-US"/>
              </w:rPr>
            </w:pPr>
            <w:r w:rsidRPr="00A51E75">
              <w:rPr>
                <w:rFonts w:asciiTheme="minorHAnsi" w:hAnsiTheme="minorHAnsi" w:cstheme="minorHAnsi"/>
                <w:sz w:val="18"/>
                <w:szCs w:val="18"/>
              </w:rPr>
              <w:t>1</w:t>
            </w:r>
          </w:p>
        </w:tc>
        <w:tc>
          <w:tcPr>
            <w:tcW w:w="2081" w:type="dxa"/>
            <w:gridSpan w:val="2"/>
          </w:tcPr>
          <w:p w14:paraId="0B6AB816" w14:textId="7E5010EC" w:rsidR="00DB71AF" w:rsidRPr="00A51E75" w:rsidRDefault="00DB71AF" w:rsidP="00DB71AF">
            <w:pPr>
              <w:spacing w:after="60"/>
              <w:rPr>
                <w:rFonts w:asciiTheme="minorHAnsi" w:hAnsiTheme="minorHAnsi" w:cstheme="minorHAnsi"/>
                <w:sz w:val="18"/>
                <w:szCs w:val="18"/>
                <w:lang w:val="en-US"/>
              </w:rPr>
            </w:pPr>
            <w:r w:rsidRPr="00A51E75">
              <w:rPr>
                <w:rFonts w:asciiTheme="minorHAnsi" w:hAnsiTheme="minorHAnsi" w:cstheme="minorHAnsi"/>
                <w:sz w:val="18"/>
                <w:szCs w:val="18"/>
              </w:rPr>
              <w:t>3</w:t>
            </w:r>
          </w:p>
        </w:tc>
        <w:tc>
          <w:tcPr>
            <w:tcW w:w="1798" w:type="dxa"/>
          </w:tcPr>
          <w:p w14:paraId="1824CAB2" w14:textId="321FFFF0"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t xml:space="preserve">Revisión documental de acuerdos de cofinanciación y modelos de negocio; Encuestas y entrevistas con beneficiarios; Seguimiento de las actividades </w:t>
            </w:r>
            <w:r w:rsidRPr="00A51E75">
              <w:rPr>
                <w:rFonts w:ascii="Calibri" w:hAnsi="Calibri" w:cs="Calibri"/>
                <w:color w:val="000000"/>
                <w:sz w:val="18"/>
                <w:szCs w:val="18"/>
              </w:rPr>
              <w:lastRenderedPageBreak/>
              <w:t>productivas y vínculos con el mercado; Verificación de campo de iniciativas activas.</w:t>
            </w:r>
          </w:p>
        </w:tc>
        <w:tc>
          <w:tcPr>
            <w:tcW w:w="2124" w:type="dxa"/>
          </w:tcPr>
          <w:p w14:paraId="0639E4B6" w14:textId="77777777" w:rsidR="00DB71AF" w:rsidRPr="00D830D9" w:rsidRDefault="00DB71AF" w:rsidP="00DB71AF">
            <w:pPr>
              <w:spacing w:after="60"/>
              <w:rPr>
                <w:rFonts w:ascii="Calibri" w:hAnsi="Calibri" w:cs="Calibri"/>
                <w:color w:val="000000"/>
                <w:sz w:val="18"/>
                <w:szCs w:val="18"/>
                <w:lang w:val="es-EC"/>
              </w:rPr>
            </w:pPr>
            <w:r w:rsidRPr="00A51E75">
              <w:rPr>
                <w:rFonts w:ascii="Calibri" w:hAnsi="Calibri" w:cs="Calibri"/>
                <w:color w:val="000000"/>
                <w:sz w:val="18"/>
                <w:szCs w:val="18"/>
              </w:rPr>
              <w:lastRenderedPageBreak/>
              <w:t>Riesgos: Capacidad técnica o de mercado limitada; Vínculo débil con las cadenas de valor; Resistencia a adoptar nuevos modelos.</w:t>
            </w:r>
          </w:p>
          <w:p w14:paraId="5680CE51" w14:textId="7803BCBF"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t xml:space="preserve">Suposiciones: interés comunitario; Soporte técnico del proyecto; </w:t>
            </w:r>
            <w:r w:rsidRPr="00A51E75">
              <w:rPr>
                <w:rFonts w:ascii="Calibri" w:hAnsi="Calibri" w:cs="Calibri"/>
                <w:color w:val="000000"/>
                <w:sz w:val="18"/>
                <w:szCs w:val="18"/>
              </w:rPr>
              <w:lastRenderedPageBreak/>
              <w:t>Áreas de restauración funcionales; Compromiso con la pareja.</w:t>
            </w:r>
          </w:p>
        </w:tc>
      </w:tr>
      <w:tr w:rsidR="00DB71AF" w:rsidRPr="007D4F41" w14:paraId="048EB2B3" w14:textId="77777777" w:rsidTr="7CD6F03B">
        <w:trPr>
          <w:trHeight w:val="300"/>
        </w:trPr>
        <w:tc>
          <w:tcPr>
            <w:tcW w:w="1583" w:type="dxa"/>
          </w:tcPr>
          <w:p w14:paraId="4DEB48DA" w14:textId="54D160D1"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 xml:space="preserve">Resultados para lograr el Resultado </w:t>
            </w:r>
            <w:r w:rsidRPr="00A51E75">
              <w:rPr>
                <w:rFonts w:asciiTheme="minorHAnsi" w:hAnsiTheme="minorHAnsi" w:cstheme="minorBidi"/>
                <w:b/>
                <w:bCs/>
                <w:sz w:val="18"/>
                <w:szCs w:val="18"/>
              </w:rPr>
              <w:t>2.2</w:t>
            </w:r>
          </w:p>
        </w:tc>
        <w:tc>
          <w:tcPr>
            <w:tcW w:w="8884" w:type="dxa"/>
            <w:gridSpan w:val="9"/>
          </w:tcPr>
          <w:p w14:paraId="63C3D321" w14:textId="4D47DA93" w:rsidR="00DB71AF" w:rsidRPr="00D830D9" w:rsidRDefault="00DB71AF" w:rsidP="00DB71AF">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2.2.1. Programa de formación sobre Gestión Sostenible de Tierras (</w:t>
            </w:r>
            <w:r w:rsidR="00E26F5E">
              <w:rPr>
                <w:rFonts w:asciiTheme="minorHAnsi" w:hAnsiTheme="minorHAnsi" w:cstheme="minorHAnsi"/>
                <w:color w:val="000000"/>
                <w:sz w:val="18"/>
                <w:szCs w:val="18"/>
              </w:rPr>
              <w:t>MST</w:t>
            </w:r>
            <w:r w:rsidRPr="00A51E75">
              <w:rPr>
                <w:rFonts w:asciiTheme="minorHAnsi" w:hAnsiTheme="minorHAnsi" w:cstheme="minorHAnsi"/>
                <w:color w:val="000000"/>
                <w:sz w:val="18"/>
                <w:szCs w:val="18"/>
              </w:rPr>
              <w:t xml:space="preserve">) / </w:t>
            </w:r>
            <w:r w:rsidR="000A54C4">
              <w:rPr>
                <w:rFonts w:asciiTheme="minorHAnsi" w:hAnsiTheme="minorHAnsi" w:cstheme="minorHAnsi"/>
                <w:color w:val="000000"/>
                <w:sz w:val="18"/>
                <w:szCs w:val="18"/>
              </w:rPr>
              <w:t xml:space="preserve">Manejo Forestal Sostenible </w:t>
            </w:r>
            <w:r w:rsidRPr="00A51E75">
              <w:rPr>
                <w:rFonts w:asciiTheme="minorHAnsi" w:hAnsiTheme="minorHAnsi" w:cstheme="minorHAnsi"/>
                <w:color w:val="000000"/>
                <w:sz w:val="18"/>
                <w:szCs w:val="18"/>
              </w:rPr>
              <w:t>(</w:t>
            </w:r>
            <w:r w:rsidR="00E26F5E">
              <w:rPr>
                <w:rFonts w:asciiTheme="minorHAnsi" w:hAnsiTheme="minorHAnsi" w:cstheme="minorHAnsi"/>
                <w:color w:val="000000"/>
                <w:sz w:val="18"/>
                <w:szCs w:val="18"/>
              </w:rPr>
              <w:t>MFS</w:t>
            </w:r>
            <w:r w:rsidRPr="00A51E75">
              <w:rPr>
                <w:rFonts w:asciiTheme="minorHAnsi" w:hAnsiTheme="minorHAnsi" w:cstheme="minorHAnsi"/>
                <w:color w:val="000000"/>
                <w:sz w:val="18"/>
                <w:szCs w:val="18"/>
              </w:rPr>
              <w:t>) para productores agrícolas (hombres y mujeres y sus identidades interseccionales) en colaboración con los actores locales.</w:t>
            </w:r>
          </w:p>
          <w:p w14:paraId="6A8781E3" w14:textId="77777777" w:rsidR="00DB71AF" w:rsidRPr="00D830D9" w:rsidRDefault="00DB71AF" w:rsidP="00DB71AF">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2.2.2. Creación y fortalecimiento de empresas locales y/o modelos de negocio agrícola sostenible en los Centros de Colección, contribuyendo al desarrollo de habilidades administrativas de las mujeres en estos centros.</w:t>
            </w:r>
          </w:p>
          <w:p w14:paraId="6B8EC6B1" w14:textId="77777777" w:rsidR="00DB71AF" w:rsidRPr="00D830D9" w:rsidRDefault="00DB71AF" w:rsidP="00DB71AF">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2.2.3. Prácticas de restauración orientadas a la conservación en áreas liberadas de la producción dentro de las granjas.</w:t>
            </w:r>
          </w:p>
          <w:p w14:paraId="536975C5" w14:textId="14CDD120"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color w:val="000000"/>
                <w:sz w:val="18"/>
                <w:szCs w:val="18"/>
              </w:rPr>
              <w:t>2.2.4. Metodología para la recopilación de información que integra variables de género en la producción agrícola sostenible, contribuyendo a los mecanismos de trazabilidad de los Centros de Recogida.</w:t>
            </w:r>
          </w:p>
        </w:tc>
        <w:tc>
          <w:tcPr>
            <w:tcW w:w="1798" w:type="dxa"/>
          </w:tcPr>
          <w:p w14:paraId="0FD7F0BE" w14:textId="77777777" w:rsidR="00DB71AF" w:rsidRPr="00D830D9" w:rsidRDefault="00DB71AF" w:rsidP="00DB71AF">
            <w:pPr>
              <w:spacing w:after="60"/>
              <w:jc w:val="both"/>
              <w:rPr>
                <w:rFonts w:asciiTheme="minorHAnsi" w:hAnsiTheme="minorHAnsi" w:cstheme="minorHAnsi"/>
                <w:sz w:val="18"/>
                <w:szCs w:val="18"/>
                <w:lang w:val="es-EC"/>
              </w:rPr>
            </w:pPr>
          </w:p>
        </w:tc>
        <w:tc>
          <w:tcPr>
            <w:tcW w:w="2124" w:type="dxa"/>
          </w:tcPr>
          <w:p w14:paraId="6A3B6B42" w14:textId="77777777" w:rsidR="00DB71AF" w:rsidRPr="00D830D9" w:rsidRDefault="00DB71AF" w:rsidP="00DB71AF">
            <w:pPr>
              <w:spacing w:after="60"/>
              <w:jc w:val="both"/>
              <w:rPr>
                <w:rFonts w:asciiTheme="minorHAnsi" w:hAnsiTheme="minorHAnsi" w:cstheme="minorHAnsi"/>
                <w:sz w:val="18"/>
                <w:szCs w:val="18"/>
                <w:lang w:val="es-EC"/>
              </w:rPr>
            </w:pPr>
          </w:p>
        </w:tc>
      </w:tr>
      <w:tr w:rsidR="00DB71AF" w:rsidRPr="007D4F41" w14:paraId="26C80EF7" w14:textId="77777777" w:rsidTr="7CD6F03B">
        <w:trPr>
          <w:trHeight w:val="300"/>
        </w:trPr>
        <w:tc>
          <w:tcPr>
            <w:tcW w:w="1583" w:type="dxa"/>
            <w:shd w:val="clear" w:color="auto" w:fill="E7E6E6" w:themeFill="background2"/>
          </w:tcPr>
          <w:p w14:paraId="716A29D5"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 xml:space="preserve">Componente del proyecto 3 </w:t>
            </w:r>
          </w:p>
        </w:tc>
        <w:tc>
          <w:tcPr>
            <w:tcW w:w="12806" w:type="dxa"/>
            <w:gridSpan w:val="11"/>
            <w:shd w:val="clear" w:color="auto" w:fill="E7E6E6" w:themeFill="background2"/>
          </w:tcPr>
          <w:p w14:paraId="5644D1AD" w14:textId="19C782CD" w:rsidR="5D09FCDA" w:rsidRPr="00D830D9" w:rsidRDefault="5D09FCDA" w:rsidP="05DB8549">
            <w:pPr>
              <w:spacing w:before="150" w:after="150"/>
              <w:rPr>
                <w:rFonts w:asciiTheme="minorHAnsi" w:eastAsiaTheme="minorEastAsia" w:hAnsiTheme="minorHAnsi" w:cstheme="minorBidi"/>
                <w:b/>
                <w:bCs/>
                <w:sz w:val="18"/>
                <w:szCs w:val="18"/>
                <w:lang w:val="es-EC"/>
              </w:rPr>
            </w:pPr>
            <w:r w:rsidRPr="00A51E75">
              <w:rPr>
                <w:rFonts w:asciiTheme="minorHAnsi" w:eastAsiaTheme="minorEastAsia" w:hAnsiTheme="minorHAnsi" w:cstheme="minorBidi"/>
                <w:b/>
                <w:bCs/>
                <w:sz w:val="18"/>
                <w:szCs w:val="18"/>
              </w:rPr>
              <w:t>3: Acceso a mecanismos de financiación para ampliar acciones que contribuyan a la conservación de la biodiversidad, la Neutralidad de Degradación de</w:t>
            </w:r>
            <w:r w:rsidR="00F64558">
              <w:rPr>
                <w:rFonts w:asciiTheme="minorHAnsi" w:eastAsiaTheme="minorEastAsia" w:hAnsiTheme="minorHAnsi" w:cstheme="minorBidi"/>
                <w:b/>
                <w:bCs/>
                <w:sz w:val="18"/>
                <w:szCs w:val="18"/>
              </w:rPr>
              <w:t xml:space="preserve"> </w:t>
            </w:r>
            <w:r w:rsidRPr="00A51E75">
              <w:rPr>
                <w:rFonts w:asciiTheme="minorHAnsi" w:eastAsiaTheme="minorEastAsia" w:hAnsiTheme="minorHAnsi" w:cstheme="minorBidi"/>
                <w:b/>
                <w:bCs/>
                <w:sz w:val="18"/>
                <w:szCs w:val="18"/>
              </w:rPr>
              <w:t>l</w:t>
            </w:r>
            <w:r w:rsidR="00F64558">
              <w:rPr>
                <w:rFonts w:asciiTheme="minorHAnsi" w:eastAsiaTheme="minorEastAsia" w:hAnsiTheme="minorHAnsi" w:cstheme="minorBidi"/>
                <w:b/>
                <w:bCs/>
                <w:sz w:val="18"/>
                <w:szCs w:val="18"/>
              </w:rPr>
              <w:t>a</w:t>
            </w:r>
            <w:r w:rsidRPr="00A51E75">
              <w:rPr>
                <w:rFonts w:asciiTheme="minorHAnsi" w:eastAsiaTheme="minorEastAsia" w:hAnsiTheme="minorHAnsi" w:cstheme="minorBidi"/>
                <w:b/>
                <w:bCs/>
                <w:sz w:val="18"/>
                <w:szCs w:val="18"/>
              </w:rPr>
              <w:t xml:space="preserve"> </w:t>
            </w:r>
            <w:r w:rsidR="00F64558">
              <w:rPr>
                <w:rFonts w:asciiTheme="minorHAnsi" w:eastAsiaTheme="minorEastAsia" w:hAnsiTheme="minorHAnsi" w:cstheme="minorBidi"/>
                <w:b/>
                <w:bCs/>
                <w:sz w:val="18"/>
                <w:szCs w:val="18"/>
              </w:rPr>
              <w:t>Tierra</w:t>
            </w:r>
            <w:r w:rsidRPr="00A51E75">
              <w:rPr>
                <w:rFonts w:asciiTheme="minorHAnsi" w:eastAsiaTheme="minorEastAsia" w:hAnsiTheme="minorHAnsi" w:cstheme="minorBidi"/>
                <w:b/>
                <w:bCs/>
                <w:sz w:val="18"/>
                <w:szCs w:val="18"/>
              </w:rPr>
              <w:t xml:space="preserve"> (</w:t>
            </w:r>
            <w:r w:rsidR="00F64558">
              <w:rPr>
                <w:rFonts w:asciiTheme="minorHAnsi" w:eastAsiaTheme="minorEastAsia" w:hAnsiTheme="minorHAnsi" w:cstheme="minorBidi"/>
                <w:b/>
                <w:bCs/>
                <w:sz w:val="18"/>
                <w:szCs w:val="18"/>
              </w:rPr>
              <w:t>NDT</w:t>
            </w:r>
            <w:r w:rsidRPr="00A51E75">
              <w:rPr>
                <w:rFonts w:asciiTheme="minorHAnsi" w:eastAsiaTheme="minorEastAsia" w:hAnsiTheme="minorHAnsi" w:cstheme="minorBidi"/>
                <w:b/>
                <w:bCs/>
                <w:sz w:val="18"/>
                <w:szCs w:val="18"/>
              </w:rPr>
              <w:t>) y la mitigación del cambio climático</w:t>
            </w:r>
          </w:p>
          <w:p w14:paraId="4CFEA3AC" w14:textId="459E12DC" w:rsidR="05DB8549" w:rsidRPr="00D830D9" w:rsidRDefault="05DB8549" w:rsidP="05DB8549">
            <w:pPr>
              <w:rPr>
                <w:rFonts w:asciiTheme="minorHAnsi" w:hAnsiTheme="minorHAnsi" w:cstheme="minorBidi"/>
                <w:b/>
                <w:bCs/>
                <w:color w:val="000000" w:themeColor="text1"/>
                <w:sz w:val="18"/>
                <w:szCs w:val="18"/>
                <w:lang w:val="es-EC"/>
              </w:rPr>
            </w:pPr>
          </w:p>
          <w:p w14:paraId="10D3C20C" w14:textId="36DC6283" w:rsidR="00DB71AF" w:rsidRPr="00D830D9" w:rsidRDefault="00DB71AF" w:rsidP="00DB71AF">
            <w:pPr>
              <w:spacing w:after="60"/>
              <w:jc w:val="both"/>
              <w:rPr>
                <w:rFonts w:asciiTheme="minorHAnsi" w:hAnsiTheme="minorHAnsi" w:cstheme="minorHAnsi"/>
                <w:sz w:val="18"/>
                <w:szCs w:val="18"/>
                <w:lang w:val="es-EC"/>
              </w:rPr>
            </w:pPr>
          </w:p>
        </w:tc>
      </w:tr>
      <w:tr w:rsidR="00F13FD9" w:rsidRPr="007D4F41" w14:paraId="460F16CA" w14:textId="77777777" w:rsidTr="7CD6F03B">
        <w:trPr>
          <w:trHeight w:val="300"/>
        </w:trPr>
        <w:tc>
          <w:tcPr>
            <w:tcW w:w="1583" w:type="dxa"/>
            <w:vMerge w:val="restart"/>
          </w:tcPr>
          <w:p w14:paraId="63F2F3F1" w14:textId="77777777" w:rsidR="00F13FD9" w:rsidRPr="00D830D9" w:rsidRDefault="00F13FD9" w:rsidP="00F13FD9">
            <w:pPr>
              <w:spacing w:after="60"/>
              <w:jc w:val="both"/>
              <w:rPr>
                <w:rFonts w:asciiTheme="minorHAnsi" w:hAnsiTheme="minorHAnsi" w:cstheme="minorHAnsi"/>
                <w:b/>
                <w:sz w:val="18"/>
                <w:szCs w:val="18"/>
                <w:lang w:val="es-EC"/>
              </w:rPr>
            </w:pPr>
            <w:bookmarkStart w:id="28" w:name="_heading=h.dt4qnij7q7gn" w:colFirst="0" w:colLast="0"/>
            <w:bookmarkEnd w:id="28"/>
            <w:r w:rsidRPr="00A51E75">
              <w:rPr>
                <w:rFonts w:asciiTheme="minorHAnsi" w:hAnsiTheme="minorHAnsi" w:cstheme="minorHAnsi"/>
                <w:b/>
                <w:sz w:val="18"/>
                <w:szCs w:val="18"/>
              </w:rPr>
              <w:t>Resultado 3.1</w:t>
            </w:r>
          </w:p>
          <w:p w14:paraId="68B6A5F5" w14:textId="5183F4A0" w:rsidR="00F13FD9" w:rsidRPr="00D830D9" w:rsidRDefault="00F13FD9" w:rsidP="00F13FD9">
            <w:pPr>
              <w:spacing w:after="60"/>
              <w:rPr>
                <w:rFonts w:asciiTheme="minorHAnsi" w:hAnsiTheme="minorHAnsi" w:cstheme="minorHAnsi"/>
                <w:b/>
                <w:sz w:val="18"/>
                <w:szCs w:val="18"/>
                <w:lang w:val="es-EC"/>
              </w:rPr>
            </w:pPr>
            <w:r w:rsidRPr="00A51E75">
              <w:rPr>
                <w:rFonts w:asciiTheme="minorHAnsi" w:hAnsiTheme="minorHAnsi" w:cstheme="minorHAnsi"/>
                <w:b/>
                <w:sz w:val="18"/>
                <w:szCs w:val="18"/>
              </w:rPr>
              <w:t>Ampliar las medidas que contribuyen a la restauración de tierras y la conservación de la biodiversidad para mejorar la resiliencia climática de las comunidades mediante la financiación y el acceso al mercado.</w:t>
            </w:r>
          </w:p>
          <w:p w14:paraId="42099E9E" w14:textId="77777777" w:rsidR="00F13FD9" w:rsidRPr="00D830D9" w:rsidRDefault="00F13FD9" w:rsidP="00F13FD9">
            <w:pPr>
              <w:spacing w:after="60"/>
              <w:jc w:val="both"/>
              <w:rPr>
                <w:rFonts w:asciiTheme="minorHAnsi" w:hAnsiTheme="minorHAnsi" w:cstheme="minorHAnsi"/>
                <w:b/>
                <w:sz w:val="18"/>
                <w:szCs w:val="18"/>
                <w:lang w:val="es-EC"/>
              </w:rPr>
            </w:pPr>
          </w:p>
          <w:p w14:paraId="0616DB7C" w14:textId="77777777" w:rsidR="00F13FD9" w:rsidRPr="00D830D9" w:rsidRDefault="00F13FD9" w:rsidP="00F13FD9">
            <w:pPr>
              <w:spacing w:after="60"/>
              <w:jc w:val="both"/>
              <w:rPr>
                <w:rFonts w:asciiTheme="minorHAnsi" w:hAnsiTheme="minorHAnsi" w:cstheme="minorHAnsi"/>
                <w:b/>
                <w:sz w:val="18"/>
                <w:szCs w:val="18"/>
                <w:lang w:val="es-EC"/>
              </w:rPr>
            </w:pPr>
          </w:p>
        </w:tc>
        <w:tc>
          <w:tcPr>
            <w:tcW w:w="2144" w:type="dxa"/>
            <w:gridSpan w:val="2"/>
          </w:tcPr>
          <w:p w14:paraId="6001A05F" w14:textId="77777777" w:rsidR="00F13FD9" w:rsidRPr="00D830D9" w:rsidRDefault="00F13FD9" w:rsidP="00F13FD9">
            <w:pPr>
              <w:spacing w:after="60"/>
              <w:rPr>
                <w:rFonts w:ascii="Aptos Narrow" w:hAnsi="Aptos Narrow"/>
                <w:color w:val="000000"/>
                <w:sz w:val="18"/>
                <w:szCs w:val="18"/>
                <w:lang w:val="es-EC"/>
              </w:rPr>
            </w:pPr>
            <w:r w:rsidRPr="00A51E75">
              <w:rPr>
                <w:rFonts w:ascii="Aptos Narrow" w:hAnsi="Aptos Narrow"/>
                <w:color w:val="000000"/>
                <w:sz w:val="18"/>
                <w:szCs w:val="18"/>
              </w:rPr>
              <w:t>Indicador 15: Cantidad (USD) de financiación movilizada mediante mecanismos financieros (diseñados o reforzados por el proyecto) para apoyar la conservación, restauración y producción sostenible. Incluye líneas de crédito verde, pagos por servicios ecosistémicos (PES), fondos comunitarios rotativos y esquemas de conservación basados en incentivos.</w:t>
            </w:r>
          </w:p>
          <w:p w14:paraId="35EECD7C" w14:textId="2B3742E8" w:rsidR="00F13FD9" w:rsidRPr="00D830D9" w:rsidRDefault="00F13FD9" w:rsidP="00F13FD9">
            <w:pPr>
              <w:spacing w:after="60"/>
              <w:rPr>
                <w:rFonts w:asciiTheme="minorHAnsi" w:hAnsiTheme="minorHAnsi" w:cstheme="minorHAnsi"/>
                <w:strike/>
                <w:sz w:val="18"/>
                <w:szCs w:val="18"/>
                <w:lang w:val="es-EC"/>
              </w:rPr>
            </w:pPr>
            <w:r w:rsidRPr="00A51E75">
              <w:rPr>
                <w:rFonts w:ascii="Aptos Narrow" w:hAnsi="Aptos Narrow"/>
                <w:color w:val="000000"/>
                <w:sz w:val="18"/>
                <w:szCs w:val="18"/>
              </w:rPr>
              <w:t xml:space="preserve">Contribuye a </w:t>
            </w:r>
            <w:r w:rsidR="00A60D5B">
              <w:rPr>
                <w:rFonts w:ascii="Aptos Narrow" w:hAnsi="Aptos Narrow"/>
                <w:color w:val="000000"/>
                <w:sz w:val="18"/>
                <w:szCs w:val="18"/>
              </w:rPr>
              <w:t xml:space="preserve">IC </w:t>
            </w:r>
            <w:r w:rsidRPr="00A51E75">
              <w:rPr>
                <w:rFonts w:ascii="Aptos Narrow" w:hAnsi="Aptos Narrow"/>
                <w:color w:val="000000"/>
                <w:sz w:val="18"/>
                <w:szCs w:val="18"/>
              </w:rPr>
              <w:t xml:space="preserve">11.1 (beneficiarios directos) y </w:t>
            </w:r>
            <w:r w:rsidR="00A60D5B">
              <w:rPr>
                <w:rFonts w:ascii="Aptos Narrow" w:hAnsi="Aptos Narrow"/>
                <w:color w:val="000000"/>
                <w:sz w:val="18"/>
                <w:szCs w:val="18"/>
              </w:rPr>
              <w:t xml:space="preserve">IC </w:t>
            </w:r>
            <w:r w:rsidRPr="00A51E75">
              <w:rPr>
                <w:rFonts w:ascii="Aptos Narrow" w:hAnsi="Aptos Narrow"/>
                <w:color w:val="000000"/>
                <w:sz w:val="18"/>
                <w:szCs w:val="18"/>
              </w:rPr>
              <w:t>11.2 (al menos el 40% de las cuales son mujeres).</w:t>
            </w:r>
          </w:p>
        </w:tc>
        <w:tc>
          <w:tcPr>
            <w:tcW w:w="1802" w:type="dxa"/>
            <w:gridSpan w:val="2"/>
          </w:tcPr>
          <w:p w14:paraId="254DD2AF" w14:textId="3C94D4ED" w:rsidR="00F13FD9" w:rsidRPr="00D830D9" w:rsidRDefault="586568AB" w:rsidP="7CD6F03B">
            <w:pPr>
              <w:spacing w:after="60"/>
              <w:rPr>
                <w:rFonts w:asciiTheme="minorHAnsi" w:hAnsiTheme="minorHAnsi" w:cstheme="minorBidi"/>
                <w:strike/>
                <w:sz w:val="18"/>
                <w:szCs w:val="18"/>
                <w:lang w:val="es-EC"/>
              </w:rPr>
            </w:pPr>
            <w:r w:rsidRPr="7CD6F03B">
              <w:rPr>
                <w:rFonts w:ascii="Aptos Narrow" w:hAnsi="Aptos Narrow"/>
                <w:color w:val="000000" w:themeColor="text1"/>
                <w:sz w:val="18"/>
                <w:szCs w:val="18"/>
              </w:rPr>
              <w:t xml:space="preserve">Registros y reportes oficiales de </w:t>
            </w:r>
            <w:r w:rsidR="009E221F" w:rsidRPr="7CD6F03B">
              <w:rPr>
                <w:rFonts w:ascii="Aptos Narrow" w:hAnsi="Aptos Narrow"/>
                <w:color w:val="000000" w:themeColor="text1"/>
                <w:sz w:val="18"/>
                <w:szCs w:val="18"/>
              </w:rPr>
              <w:t>MAE</w:t>
            </w:r>
            <w:r w:rsidRPr="7CD6F03B">
              <w:rPr>
                <w:rFonts w:ascii="Aptos Narrow" w:hAnsi="Aptos Narrow"/>
                <w:color w:val="000000" w:themeColor="text1"/>
                <w:sz w:val="18"/>
                <w:szCs w:val="18"/>
              </w:rPr>
              <w:t xml:space="preserve">, BIOFIN, BanEcuador, CONAFIPS, MEF, </w:t>
            </w:r>
            <w:r w:rsidR="009E221F" w:rsidRPr="7CD6F03B">
              <w:rPr>
                <w:rFonts w:ascii="Aptos Narrow" w:hAnsi="Aptos Narrow"/>
                <w:color w:val="000000" w:themeColor="text1"/>
                <w:sz w:val="18"/>
                <w:szCs w:val="18"/>
              </w:rPr>
              <w:t>MAGP</w:t>
            </w:r>
            <w:r w:rsidRPr="7CD6F03B">
              <w:rPr>
                <w:rFonts w:ascii="Aptos Narrow" w:hAnsi="Aptos Narrow"/>
                <w:color w:val="000000" w:themeColor="text1"/>
                <w:sz w:val="18"/>
                <w:szCs w:val="18"/>
              </w:rPr>
              <w:t xml:space="preserve"> y socios implementadores; acuerdos financieros; cartas de cofinanciación; registros de beneficiarios y datos desagregados por género procedentes de mecanismos apoyados por proyectos.</w:t>
            </w:r>
          </w:p>
        </w:tc>
        <w:tc>
          <w:tcPr>
            <w:tcW w:w="1213" w:type="dxa"/>
            <w:gridSpan w:val="2"/>
          </w:tcPr>
          <w:p w14:paraId="359845BD" w14:textId="51C2D8BB" w:rsidR="00F13FD9" w:rsidRPr="00D830D9" w:rsidRDefault="00F13FD9" w:rsidP="00F13FD9">
            <w:pPr>
              <w:spacing w:after="60"/>
              <w:rPr>
                <w:rFonts w:asciiTheme="minorHAnsi" w:hAnsiTheme="minorHAnsi" w:cstheme="minorHAnsi"/>
                <w:strike/>
                <w:sz w:val="18"/>
                <w:szCs w:val="18"/>
                <w:lang w:val="es-EC"/>
              </w:rPr>
            </w:pPr>
            <w:r w:rsidRPr="00A51E75">
              <w:rPr>
                <w:rFonts w:ascii="Aptos Narrow" w:hAnsi="Aptos Narrow"/>
                <w:color w:val="000000"/>
                <w:sz w:val="18"/>
                <w:szCs w:val="18"/>
              </w:rPr>
              <w:t>0 (sin mecanismos actualmente que movilizan recursos bajo el alcance del proyecto; no se han reportado beneficiarios)</w:t>
            </w:r>
          </w:p>
        </w:tc>
        <w:tc>
          <w:tcPr>
            <w:tcW w:w="1644" w:type="dxa"/>
          </w:tcPr>
          <w:p w14:paraId="2DB8260C" w14:textId="3DD055C2" w:rsidR="00F13FD9" w:rsidRPr="00D830D9" w:rsidRDefault="00F13FD9" w:rsidP="00F13FD9">
            <w:pPr>
              <w:rPr>
                <w:rFonts w:asciiTheme="minorHAnsi" w:hAnsiTheme="minorHAnsi" w:cstheme="minorBidi"/>
                <w:strike/>
                <w:sz w:val="18"/>
                <w:szCs w:val="18"/>
                <w:lang w:val="es-EC"/>
              </w:rPr>
            </w:pPr>
            <w:r w:rsidRPr="00A51E75">
              <w:rPr>
                <w:rFonts w:ascii="Aptos Narrow" w:hAnsi="Aptos Narrow"/>
                <w:color w:val="000000"/>
                <w:sz w:val="18"/>
                <w:szCs w:val="18"/>
              </w:rPr>
              <w:t>Al menos 500.000 USD movilizados mediante mecanismos financieros, con un mínimo del 40% de los beneficiarios directos siendo mujeres.</w:t>
            </w:r>
          </w:p>
        </w:tc>
        <w:tc>
          <w:tcPr>
            <w:tcW w:w="2081" w:type="dxa"/>
            <w:gridSpan w:val="2"/>
          </w:tcPr>
          <w:p w14:paraId="0C9871A8" w14:textId="7719B796" w:rsidR="00F13FD9" w:rsidRPr="00D830D9" w:rsidRDefault="739E7892" w:rsidP="05DB8549">
            <w:pPr>
              <w:rPr>
                <w:rFonts w:asciiTheme="minorHAnsi" w:hAnsiTheme="minorHAnsi" w:cstheme="minorBidi"/>
                <w:strike/>
                <w:sz w:val="18"/>
                <w:szCs w:val="18"/>
                <w:lang w:val="es-EC"/>
              </w:rPr>
            </w:pPr>
            <w:r w:rsidRPr="00A51E75">
              <w:rPr>
                <w:rFonts w:ascii="Aptos Narrow" w:hAnsi="Aptos Narrow"/>
                <w:color w:val="000000" w:themeColor="text1"/>
                <w:sz w:val="18"/>
                <w:szCs w:val="18"/>
              </w:rPr>
              <w:t>Al menos 2.000.000 USD movilizados mediante mecanismos financieros, con al menos un 40% de mujeres entre el total de beneficiarios directos.</w:t>
            </w:r>
          </w:p>
        </w:tc>
        <w:tc>
          <w:tcPr>
            <w:tcW w:w="1798" w:type="dxa"/>
          </w:tcPr>
          <w:p w14:paraId="4F4CDE98" w14:textId="21731F12" w:rsidR="00F13FD9" w:rsidRPr="00D830D9" w:rsidRDefault="00F13FD9" w:rsidP="00F13FD9">
            <w:pPr>
              <w:spacing w:after="60"/>
              <w:rPr>
                <w:rFonts w:asciiTheme="minorHAnsi" w:hAnsiTheme="minorHAnsi" w:cstheme="minorHAnsi"/>
                <w:strike/>
                <w:sz w:val="18"/>
                <w:szCs w:val="18"/>
                <w:lang w:val="es-EC"/>
              </w:rPr>
            </w:pPr>
            <w:r w:rsidRPr="00A51E75">
              <w:rPr>
                <w:rFonts w:ascii="Aptos Narrow" w:hAnsi="Aptos Narrow"/>
                <w:color w:val="000000"/>
                <w:sz w:val="18"/>
                <w:szCs w:val="18"/>
              </w:rPr>
              <w:t>Revisión de acuerdos financieros e informes de desembolso; seguimiento y verificación de datos de beneficiarios desagregados por género provenientes de mecanismos apoyados; análisis periódico del sistema de M&amp;E del proyecto; entrevistas con entidades implementadoras y usuarios finales.</w:t>
            </w:r>
          </w:p>
        </w:tc>
        <w:tc>
          <w:tcPr>
            <w:tcW w:w="2124" w:type="dxa"/>
          </w:tcPr>
          <w:p w14:paraId="1C5A6141" w14:textId="77777777" w:rsidR="00F13FD9" w:rsidRPr="00D830D9" w:rsidRDefault="00F13FD9" w:rsidP="00F13FD9">
            <w:pPr>
              <w:spacing w:after="60"/>
              <w:rPr>
                <w:rFonts w:ascii="Aptos Narrow" w:hAnsi="Aptos Narrow"/>
                <w:color w:val="000000"/>
                <w:sz w:val="18"/>
                <w:szCs w:val="18"/>
                <w:lang w:val="es-EC"/>
              </w:rPr>
            </w:pPr>
            <w:r w:rsidRPr="00A51E75">
              <w:rPr>
                <w:rFonts w:ascii="Aptos Narrow" w:hAnsi="Aptos Narrow"/>
                <w:color w:val="000000"/>
                <w:sz w:val="18"/>
                <w:szCs w:val="18"/>
              </w:rPr>
              <w:t>Riesgos: Débil capacidad para rastrear e informar sobre datos de género; acceso limitado a servicios financieros entre mujeres o grupos marginados; Baja adopción de instrumentos financieros.</w:t>
            </w:r>
          </w:p>
          <w:p w14:paraId="69D5B1B3" w14:textId="5251C671" w:rsidR="00F13FD9" w:rsidRPr="00D830D9" w:rsidRDefault="00F13FD9" w:rsidP="00F13FD9">
            <w:pPr>
              <w:spacing w:after="60"/>
              <w:rPr>
                <w:rFonts w:asciiTheme="minorHAnsi" w:hAnsiTheme="minorHAnsi" w:cstheme="minorHAnsi"/>
                <w:strike/>
                <w:sz w:val="18"/>
                <w:szCs w:val="18"/>
                <w:lang w:val="es-EC"/>
              </w:rPr>
            </w:pPr>
            <w:r w:rsidRPr="00A51E75">
              <w:rPr>
                <w:rFonts w:ascii="Aptos Narrow" w:hAnsi="Aptos Narrow"/>
                <w:color w:val="000000"/>
                <w:sz w:val="18"/>
                <w:szCs w:val="18"/>
              </w:rPr>
              <w:t>Suposiciones: Diseño sensible al género de los mecanismos financieros; las estrategias de alcance se dirigen eficazmente a mujeres y grupos vulnerables; Colaboración sólida con instituciones comprometidas con la inclusión.</w:t>
            </w:r>
          </w:p>
        </w:tc>
      </w:tr>
      <w:tr w:rsidR="00DB71AF" w:rsidRPr="007D4F41" w14:paraId="6EE36FF2" w14:textId="77777777" w:rsidTr="7CD6F03B">
        <w:trPr>
          <w:trHeight w:val="300"/>
        </w:trPr>
        <w:tc>
          <w:tcPr>
            <w:tcW w:w="1583" w:type="dxa"/>
            <w:vMerge/>
          </w:tcPr>
          <w:p w14:paraId="4BEA1966"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29" w:name="_Hlk193737738"/>
          </w:p>
        </w:tc>
        <w:tc>
          <w:tcPr>
            <w:tcW w:w="2144" w:type="dxa"/>
            <w:gridSpan w:val="2"/>
          </w:tcPr>
          <w:p w14:paraId="3000680D" w14:textId="77777777"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16: Número de proyectos productivos y sostenibles implementados y </w:t>
            </w:r>
            <w:r w:rsidRPr="00A51E75">
              <w:rPr>
                <w:rFonts w:asciiTheme="minorHAnsi" w:hAnsiTheme="minorHAnsi" w:cstheme="minorHAnsi"/>
                <w:sz w:val="18"/>
                <w:szCs w:val="18"/>
              </w:rPr>
              <w:lastRenderedPageBreak/>
              <w:t xml:space="preserve">financiados, alineados con los Planes de Vida de los pueblos y nacionalidades indígenas, priorizando iniciativas lideradas por mujeres y jóvenes </w:t>
            </w:r>
          </w:p>
          <w:p w14:paraId="525B5B85" w14:textId="65EF4EB5" w:rsidR="00DB71AF" w:rsidRPr="00895463"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Contribuye a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 Subindicadores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11.1 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11.2: 40% mujeres </w:t>
            </w:r>
          </w:p>
        </w:tc>
        <w:tc>
          <w:tcPr>
            <w:tcW w:w="1802" w:type="dxa"/>
            <w:gridSpan w:val="2"/>
          </w:tcPr>
          <w:p w14:paraId="15D2F129" w14:textId="7D804A2D"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 sistema de información del Fondo Común CTEA, FODESNA, BIOFIN, BanEcuador, CONAFIPS; informes de proyectos </w:t>
            </w:r>
            <w:r w:rsidRPr="00A51E75">
              <w:rPr>
                <w:rFonts w:asciiTheme="minorHAnsi" w:hAnsiTheme="minorHAnsi" w:cstheme="minorHAnsi"/>
                <w:sz w:val="18"/>
                <w:szCs w:val="18"/>
              </w:rPr>
              <w:lastRenderedPageBreak/>
              <w:t xml:space="preserve">gestionados por </w:t>
            </w:r>
            <w:proofErr w:type="spellStart"/>
            <w:r w:rsidRPr="00A51E75">
              <w:rPr>
                <w:rFonts w:asciiTheme="minorHAnsi" w:hAnsiTheme="minorHAnsi" w:cstheme="minorHAnsi"/>
                <w:sz w:val="18"/>
                <w:szCs w:val="18"/>
              </w:rPr>
              <w:t>GADs</w:t>
            </w:r>
            <w:proofErr w:type="spellEnd"/>
            <w:r w:rsidRPr="00A51E75">
              <w:rPr>
                <w:rFonts w:asciiTheme="minorHAnsi" w:hAnsiTheme="minorHAnsi" w:cstheme="minorHAnsi"/>
                <w:sz w:val="18"/>
                <w:szCs w:val="18"/>
              </w:rPr>
              <w:t xml:space="preserve">, ONG y organizaciones internacionales; Actas de aprobaciones de financiación e informes de ejecución. </w:t>
            </w:r>
          </w:p>
        </w:tc>
        <w:tc>
          <w:tcPr>
            <w:tcW w:w="1213" w:type="dxa"/>
            <w:gridSpan w:val="2"/>
          </w:tcPr>
          <w:p w14:paraId="587A5E53" w14:textId="52E7351C" w:rsidR="00DB71AF" w:rsidRPr="00A51E75" w:rsidRDefault="00DB71AF" w:rsidP="00DB71AF">
            <w:pPr>
              <w:spacing w:after="60"/>
              <w:rPr>
                <w:rFonts w:asciiTheme="minorHAnsi" w:hAnsiTheme="minorHAnsi" w:cstheme="minorHAnsi"/>
                <w:sz w:val="18"/>
                <w:szCs w:val="18"/>
              </w:rPr>
            </w:pPr>
            <w:r w:rsidRPr="00A51E75">
              <w:rPr>
                <w:rFonts w:asciiTheme="minorHAnsi" w:hAnsiTheme="minorHAnsi" w:cstheme="minorHAnsi"/>
                <w:sz w:val="18"/>
                <w:szCs w:val="18"/>
              </w:rPr>
              <w:lastRenderedPageBreak/>
              <w:t xml:space="preserve"> 0 </w:t>
            </w:r>
          </w:p>
        </w:tc>
        <w:tc>
          <w:tcPr>
            <w:tcW w:w="1644" w:type="dxa"/>
          </w:tcPr>
          <w:p w14:paraId="69818B57" w14:textId="4FBB3AB7"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3 (al menos 1 liderado por mujeres) </w:t>
            </w:r>
          </w:p>
        </w:tc>
        <w:tc>
          <w:tcPr>
            <w:tcW w:w="2081" w:type="dxa"/>
            <w:gridSpan w:val="2"/>
          </w:tcPr>
          <w:p w14:paraId="29CB65BE" w14:textId="0C3BFB9D"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7 (al menos 3 liderados por mujeres) </w:t>
            </w:r>
          </w:p>
        </w:tc>
        <w:tc>
          <w:tcPr>
            <w:tcW w:w="1798" w:type="dxa"/>
          </w:tcPr>
          <w:p w14:paraId="7B0AFB64" w14:textId="7EE5486D"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Registro de acuerdos de financiación y cofinanciación, actas y registros; informes de desembolso e </w:t>
            </w:r>
            <w:r w:rsidRPr="00A51E75">
              <w:rPr>
                <w:rFonts w:asciiTheme="minorHAnsi" w:hAnsiTheme="minorHAnsi" w:cstheme="minorHAnsi"/>
                <w:sz w:val="18"/>
                <w:szCs w:val="18"/>
              </w:rPr>
              <w:lastRenderedPageBreak/>
              <w:t xml:space="preserve">implementación; entrevistas y encuestas con beneficiarios; visitas de verificación de campo; Revisión de indicadores sobre la participación y liderazgo de mujeres y jóvenes. </w:t>
            </w:r>
          </w:p>
        </w:tc>
        <w:tc>
          <w:tcPr>
            <w:tcW w:w="2124" w:type="dxa"/>
          </w:tcPr>
          <w:p w14:paraId="192300D3" w14:textId="6C4659C2"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 Riesgos: Reducción de la financiación debido a cambios en las políticas, conflictos o restricciones presupuestarias. Barreras </w:t>
            </w:r>
            <w:r w:rsidRPr="00A51E75">
              <w:rPr>
                <w:rFonts w:asciiTheme="minorHAnsi" w:hAnsiTheme="minorHAnsi" w:cstheme="minorHAnsi"/>
                <w:sz w:val="18"/>
                <w:szCs w:val="18"/>
              </w:rPr>
              <w:lastRenderedPageBreak/>
              <w:t>persistentes para las mujeres y jóvenes indígenas en el acceso a financiamiento.  Suposiciones: El proyecto facilita la coordinación y la asistencia técnica para el acceso a la financiación. Los mecanismos priorizan la equidad de género y la inclusión indígena. Las condiciones del mercado se fortalecen para la sostenibilidad de los proyectos productivos.</w:t>
            </w:r>
          </w:p>
        </w:tc>
      </w:tr>
      <w:bookmarkEnd w:id="29"/>
      <w:tr w:rsidR="00DB71AF" w:rsidRPr="007D4F41" w14:paraId="0B64C360" w14:textId="77777777" w:rsidTr="7CD6F03B">
        <w:trPr>
          <w:trHeight w:val="300"/>
        </w:trPr>
        <w:tc>
          <w:tcPr>
            <w:tcW w:w="1583" w:type="dxa"/>
          </w:tcPr>
          <w:p w14:paraId="264A9A31"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Resultados para lograr el Resultado 3.1</w:t>
            </w:r>
          </w:p>
        </w:tc>
        <w:tc>
          <w:tcPr>
            <w:tcW w:w="8884" w:type="dxa"/>
            <w:gridSpan w:val="9"/>
          </w:tcPr>
          <w:p w14:paraId="042B7AD1" w14:textId="191EB71F"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color w:val="000000"/>
                <w:sz w:val="18"/>
                <w:szCs w:val="18"/>
              </w:rPr>
              <w:t>3.1.1. Programa de formación sobre mecanismos financieros para gobiernos locales y/o asociaciones públicas que enfatiza la importancia de la igualdad de género y les permite solicitar programas de incentivos para acceder a financiación. 3.1.2. Mecanismos de sostenibilidad financiera identificados y promovidos por mujeres y hombres para la protección y conservación de áreas seleccionadas y zonas de protección del agua. 3.1.3. Proyectos financiados vinculados a los Planes de Vida de pueblos indígenas y nacionalidades que apoyan la igualdad de género. 3.1.4. Expansión y promoción de productos y servicios financieros que apoyen la igualdad de género a través de instituciones financieras y partes interesadas locales. 3.1.5. Acuerdos comerciales nacionales e internacionales que favorecen productos de producción sostenibles y liderados por mujeres.</w:t>
            </w:r>
          </w:p>
        </w:tc>
        <w:tc>
          <w:tcPr>
            <w:tcW w:w="1798" w:type="dxa"/>
          </w:tcPr>
          <w:p w14:paraId="13135A67" w14:textId="77777777" w:rsidR="00DB71AF" w:rsidRPr="00D830D9" w:rsidRDefault="00DB71AF" w:rsidP="00DB71AF">
            <w:pPr>
              <w:spacing w:after="60"/>
              <w:jc w:val="both"/>
              <w:rPr>
                <w:rFonts w:asciiTheme="minorHAnsi" w:hAnsiTheme="minorHAnsi" w:cstheme="minorHAnsi"/>
                <w:sz w:val="18"/>
                <w:szCs w:val="18"/>
                <w:lang w:val="es-EC"/>
              </w:rPr>
            </w:pPr>
          </w:p>
        </w:tc>
        <w:tc>
          <w:tcPr>
            <w:tcW w:w="2124" w:type="dxa"/>
          </w:tcPr>
          <w:p w14:paraId="687FD6EA" w14:textId="77777777" w:rsidR="00DB71AF" w:rsidRPr="00D830D9" w:rsidRDefault="00DB71AF" w:rsidP="00DB71AF">
            <w:pPr>
              <w:spacing w:after="60"/>
              <w:jc w:val="both"/>
              <w:rPr>
                <w:rFonts w:asciiTheme="minorHAnsi" w:hAnsiTheme="minorHAnsi" w:cstheme="minorHAnsi"/>
                <w:sz w:val="18"/>
                <w:szCs w:val="18"/>
                <w:lang w:val="es-EC"/>
              </w:rPr>
            </w:pPr>
          </w:p>
        </w:tc>
      </w:tr>
      <w:tr w:rsidR="00DB71AF" w:rsidRPr="007D4F41" w14:paraId="196FF79F" w14:textId="77777777" w:rsidTr="7CD6F03B">
        <w:trPr>
          <w:trHeight w:val="300"/>
        </w:trPr>
        <w:tc>
          <w:tcPr>
            <w:tcW w:w="1583" w:type="dxa"/>
            <w:shd w:val="clear" w:color="auto" w:fill="E7E6E6" w:themeFill="background2"/>
          </w:tcPr>
          <w:p w14:paraId="33A7F0B9"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Componente 4 del proyecto</w:t>
            </w:r>
          </w:p>
        </w:tc>
        <w:tc>
          <w:tcPr>
            <w:tcW w:w="12806" w:type="dxa"/>
            <w:gridSpan w:val="11"/>
            <w:shd w:val="clear" w:color="auto" w:fill="E7E6E6" w:themeFill="background2"/>
          </w:tcPr>
          <w:p w14:paraId="4CCAC18C" w14:textId="302E617E"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b/>
                <w:bCs/>
                <w:color w:val="000000"/>
                <w:sz w:val="18"/>
                <w:szCs w:val="18"/>
              </w:rPr>
              <w:t>4: Gestión del conocimiento a través del desarrollo de capacidades y la comunicación</w:t>
            </w:r>
          </w:p>
        </w:tc>
      </w:tr>
      <w:tr w:rsidR="00DB71AF" w:rsidRPr="007D4F41" w14:paraId="209F16AB" w14:textId="77777777" w:rsidTr="7CD6F03B">
        <w:trPr>
          <w:trHeight w:val="300"/>
        </w:trPr>
        <w:tc>
          <w:tcPr>
            <w:tcW w:w="1583" w:type="dxa"/>
            <w:vMerge w:val="restart"/>
          </w:tcPr>
          <w:p w14:paraId="777B477B" w14:textId="77777777" w:rsidR="00DB71AF" w:rsidRPr="00D830D9" w:rsidRDefault="00DB71AF" w:rsidP="00DB71AF">
            <w:pPr>
              <w:spacing w:after="60"/>
              <w:jc w:val="both"/>
              <w:rPr>
                <w:rFonts w:asciiTheme="minorHAnsi" w:hAnsiTheme="minorHAnsi" w:cstheme="minorHAnsi"/>
                <w:b/>
                <w:sz w:val="18"/>
                <w:szCs w:val="18"/>
                <w:lang w:val="es-EC"/>
              </w:rPr>
            </w:pPr>
            <w:bookmarkStart w:id="30" w:name="_heading=h.vqqh0nee5s77" w:colFirst="0" w:colLast="0"/>
            <w:bookmarkEnd w:id="30"/>
            <w:r w:rsidRPr="00A51E75">
              <w:rPr>
                <w:rFonts w:asciiTheme="minorHAnsi" w:hAnsiTheme="minorHAnsi" w:cstheme="minorHAnsi"/>
                <w:b/>
                <w:sz w:val="18"/>
                <w:szCs w:val="18"/>
              </w:rPr>
              <w:t>Resultado 4.1</w:t>
            </w:r>
          </w:p>
          <w:p w14:paraId="69468C1D" w14:textId="090BBB38" w:rsidR="00DB71AF" w:rsidRPr="00D830D9" w:rsidRDefault="00DB71AF" w:rsidP="00DB71AF">
            <w:pPr>
              <w:spacing w:after="60"/>
              <w:rPr>
                <w:rFonts w:asciiTheme="minorHAnsi" w:hAnsiTheme="minorHAnsi" w:cstheme="minorHAnsi"/>
                <w:b/>
                <w:sz w:val="18"/>
                <w:szCs w:val="18"/>
                <w:lang w:val="es-EC"/>
              </w:rPr>
            </w:pPr>
            <w:r w:rsidRPr="00A51E75">
              <w:rPr>
                <w:rFonts w:asciiTheme="minorHAnsi" w:hAnsiTheme="minorHAnsi" w:cstheme="minorHAnsi"/>
                <w:b/>
                <w:sz w:val="18"/>
                <w:szCs w:val="18"/>
              </w:rPr>
              <w:t>Una mejor gestión del conocimiento fortalece la toma de decisiones y el empoderamiento de los principales interesados.</w:t>
            </w:r>
          </w:p>
        </w:tc>
        <w:tc>
          <w:tcPr>
            <w:tcW w:w="2144" w:type="dxa"/>
            <w:gridSpan w:val="2"/>
          </w:tcPr>
          <w:p w14:paraId="527A1CFC" w14:textId="7FFBDE63"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Indicador 17: </w:t>
            </w:r>
            <w:r w:rsidRPr="00A51E75">
              <w:rPr>
                <w:rFonts w:ascii="Calibri" w:hAnsi="Calibri" w:cs="Calibri"/>
                <w:color w:val="000000"/>
                <w:sz w:val="18"/>
                <w:szCs w:val="18"/>
              </w:rPr>
              <w:t>Número de sistemas de monitorización territorial (por unidad hidrográfica) implementados</w:t>
            </w:r>
            <w:r w:rsidRPr="00A51E75">
              <w:rPr>
                <w:rFonts w:asciiTheme="minorHAnsi" w:hAnsiTheme="minorHAnsi" w:cstheme="minorHAnsi"/>
                <w:sz w:val="18"/>
                <w:szCs w:val="18"/>
              </w:rPr>
              <w:t xml:space="preserve"> para apoyar la toma de decisiones en conservación y gestión de tierras, con datos desagregados por género, edad y etnia Contribuye a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 Subindicadores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11.1 e </w:t>
            </w:r>
            <w:r w:rsidR="00A60D5B">
              <w:rPr>
                <w:rFonts w:asciiTheme="minorHAnsi" w:hAnsiTheme="minorHAnsi" w:cstheme="minorHAnsi"/>
                <w:sz w:val="18"/>
                <w:szCs w:val="18"/>
              </w:rPr>
              <w:t xml:space="preserve">IC </w:t>
            </w:r>
            <w:r w:rsidRPr="00A51E75">
              <w:rPr>
                <w:rFonts w:asciiTheme="minorHAnsi" w:hAnsiTheme="minorHAnsi" w:cstheme="minorHAnsi"/>
                <w:sz w:val="18"/>
                <w:szCs w:val="18"/>
              </w:rPr>
              <w:t xml:space="preserve">11.2: 1.100 personas, 40% mujeres </w:t>
            </w:r>
          </w:p>
        </w:tc>
        <w:tc>
          <w:tcPr>
            <w:tcW w:w="1802" w:type="dxa"/>
            <w:gridSpan w:val="2"/>
          </w:tcPr>
          <w:p w14:paraId="31B6D154" w14:textId="4B794D2F"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Informes y boletines de INAMHI, normativas ARCA, directrices técnicas de balance hídrico, planes de gestión, registros de datos de calidad y disponibilidad del agua, informes IRD/OTCA/ORA. </w:t>
            </w:r>
          </w:p>
        </w:tc>
        <w:tc>
          <w:tcPr>
            <w:tcW w:w="1213" w:type="dxa"/>
            <w:gridSpan w:val="2"/>
          </w:tcPr>
          <w:p w14:paraId="2A0B9B04" w14:textId="6A19204D"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t>1 unidad hidrográfica con cobertura parcial</w:t>
            </w:r>
          </w:p>
        </w:tc>
        <w:tc>
          <w:tcPr>
            <w:tcW w:w="1644" w:type="dxa"/>
          </w:tcPr>
          <w:p w14:paraId="1A46B808" w14:textId="60F908FB"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t>2 unidades hidrográficas con sistemas territoriales funcionales</w:t>
            </w:r>
          </w:p>
        </w:tc>
        <w:tc>
          <w:tcPr>
            <w:tcW w:w="2081" w:type="dxa"/>
            <w:gridSpan w:val="2"/>
          </w:tcPr>
          <w:p w14:paraId="1E1ACDBE" w14:textId="460C8B62" w:rsidR="00DB71AF" w:rsidRPr="00D830D9" w:rsidRDefault="146556C5" w:rsidP="05DB8549">
            <w:pPr>
              <w:spacing w:after="60"/>
              <w:rPr>
                <w:rFonts w:asciiTheme="minorHAnsi" w:hAnsiTheme="minorHAnsi" w:cstheme="minorBidi"/>
                <w:sz w:val="18"/>
                <w:szCs w:val="18"/>
                <w:lang w:val="es-EC"/>
              </w:rPr>
            </w:pPr>
            <w:r w:rsidRPr="00A51E75">
              <w:rPr>
                <w:rFonts w:asciiTheme="minorHAnsi" w:hAnsiTheme="minorHAnsi" w:cstheme="minorBidi"/>
                <w:sz w:val="18"/>
                <w:szCs w:val="18"/>
              </w:rPr>
              <w:t xml:space="preserve"> 3 </w:t>
            </w:r>
            <w:r w:rsidRPr="00A51E75">
              <w:rPr>
                <w:rFonts w:ascii="Calibri" w:hAnsi="Calibri" w:cs="Calibri"/>
                <w:color w:val="000000" w:themeColor="text1"/>
                <w:sz w:val="18"/>
                <w:szCs w:val="18"/>
              </w:rPr>
              <w:t xml:space="preserve">unidades hidrográficas con sistemas de monitorización totalmente integrados </w:t>
            </w:r>
          </w:p>
        </w:tc>
        <w:tc>
          <w:tcPr>
            <w:tcW w:w="1798" w:type="dxa"/>
          </w:tcPr>
          <w:p w14:paraId="0553B34A" w14:textId="1BF357AB" w:rsidR="00DB71AF" w:rsidRPr="00D830D9" w:rsidRDefault="23919315" w:rsidP="7CD6F03B">
            <w:pPr>
              <w:spacing w:after="60"/>
              <w:rPr>
                <w:rFonts w:asciiTheme="minorHAnsi" w:hAnsiTheme="minorHAnsi" w:cstheme="minorBidi"/>
                <w:sz w:val="18"/>
                <w:szCs w:val="18"/>
                <w:lang w:val="es-EC"/>
              </w:rPr>
            </w:pPr>
            <w:r w:rsidRPr="7CD6F03B">
              <w:rPr>
                <w:rFonts w:asciiTheme="minorHAnsi" w:hAnsiTheme="minorHAnsi" w:cstheme="minorBidi"/>
                <w:sz w:val="18"/>
                <w:szCs w:val="18"/>
              </w:rPr>
              <w:t xml:space="preserve"> Revisión de informes institucionales, bases de datos integradas entre INAMHI, ARCA y </w:t>
            </w:r>
            <w:r w:rsidR="009E221F" w:rsidRPr="7CD6F03B">
              <w:rPr>
                <w:rFonts w:asciiTheme="minorHAnsi" w:hAnsiTheme="minorHAnsi" w:cstheme="minorBidi"/>
                <w:sz w:val="18"/>
                <w:szCs w:val="18"/>
              </w:rPr>
              <w:t>MAE</w:t>
            </w:r>
            <w:r w:rsidRPr="7CD6F03B">
              <w:rPr>
                <w:rFonts w:asciiTheme="minorHAnsi" w:hAnsiTheme="minorHAnsi" w:cstheme="minorBidi"/>
                <w:sz w:val="18"/>
                <w:szCs w:val="18"/>
              </w:rPr>
              <w:t xml:space="preserve">; verificación de la funcionalidad de las plataformas digitales; entrevistas con técnicos y beneficiarios; Registros de asistencia a los eventos de entrenamiento. </w:t>
            </w:r>
          </w:p>
        </w:tc>
        <w:tc>
          <w:tcPr>
            <w:tcW w:w="2124" w:type="dxa"/>
          </w:tcPr>
          <w:p w14:paraId="2E1CC42F" w14:textId="76FC2AAF"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Riesgos: Falta de coordinación interinstitucional; baja participación local; deficiencias en infraestructuras y conectividad. Suposiciones: Disponibilidad de datos de referencia y cooperación institucional; formación eficaz para actores locales; sostenibilidad técnica y operativa de los sistemas implementados.</w:t>
            </w:r>
          </w:p>
        </w:tc>
      </w:tr>
      <w:tr w:rsidR="00DB71AF" w:rsidRPr="007D4F41" w14:paraId="341221A7" w14:textId="77777777" w:rsidTr="7CD6F03B">
        <w:trPr>
          <w:trHeight w:val="300"/>
        </w:trPr>
        <w:tc>
          <w:tcPr>
            <w:tcW w:w="1583" w:type="dxa"/>
            <w:vMerge/>
          </w:tcPr>
          <w:p w14:paraId="12355E90" w14:textId="77777777" w:rsidR="00DB71AF" w:rsidRPr="00D830D9" w:rsidRDefault="00DB71AF" w:rsidP="00DB71AF">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2144" w:type="dxa"/>
            <w:gridSpan w:val="2"/>
          </w:tcPr>
          <w:p w14:paraId="247975E2" w14:textId="5DD11634" w:rsidR="00DB71AF" w:rsidRPr="00D830D9" w:rsidRDefault="00DB71AF" w:rsidP="00DB71AF">
            <w:pPr>
              <w:spacing w:after="60"/>
              <w:rPr>
                <w:rFonts w:asciiTheme="minorHAnsi" w:hAnsiTheme="minorHAnsi" w:cstheme="minorBidi"/>
                <w:sz w:val="18"/>
                <w:szCs w:val="18"/>
                <w:lang w:val="es-EC"/>
              </w:rPr>
            </w:pPr>
            <w:r w:rsidRPr="00A51E75">
              <w:rPr>
                <w:rFonts w:asciiTheme="minorHAnsi" w:hAnsiTheme="minorHAnsi" w:cstheme="minorBidi"/>
                <w:sz w:val="18"/>
                <w:szCs w:val="18"/>
              </w:rPr>
              <w:t xml:space="preserve">Indicador 18: Número de productos de comunicación y gestión del conocimiento desarrollados y adaptados a públicos </w:t>
            </w:r>
            <w:r w:rsidRPr="00A51E75">
              <w:rPr>
                <w:rFonts w:asciiTheme="minorHAnsi" w:hAnsiTheme="minorHAnsi" w:cstheme="minorBidi"/>
                <w:sz w:val="18"/>
                <w:szCs w:val="18"/>
              </w:rPr>
              <w:lastRenderedPageBreak/>
              <w:t xml:space="preserve">clave, y orientados a la </w:t>
            </w:r>
            <w:r w:rsidR="000A54C4">
              <w:rPr>
                <w:rFonts w:asciiTheme="minorHAnsi" w:hAnsiTheme="minorHAnsi" w:cstheme="minorBidi"/>
                <w:sz w:val="18"/>
                <w:szCs w:val="18"/>
              </w:rPr>
              <w:t>Manejo Sostenible de la Tierra</w:t>
            </w:r>
            <w:r w:rsidRPr="00A51E75">
              <w:rPr>
                <w:rFonts w:asciiTheme="minorHAnsi" w:hAnsiTheme="minorHAnsi" w:cstheme="minorBidi"/>
                <w:sz w:val="18"/>
                <w:szCs w:val="18"/>
              </w:rPr>
              <w:t xml:space="preserve"> y la equidad de género Contribuye a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 Subindicadores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11.1 e </w:t>
            </w:r>
            <w:r w:rsidR="00A60D5B">
              <w:rPr>
                <w:rFonts w:asciiTheme="minorHAnsi" w:hAnsiTheme="minorHAnsi" w:cstheme="minorBidi"/>
                <w:sz w:val="18"/>
                <w:szCs w:val="18"/>
              </w:rPr>
              <w:t xml:space="preserve">IC </w:t>
            </w:r>
            <w:r w:rsidRPr="00A51E75">
              <w:rPr>
                <w:rFonts w:asciiTheme="minorHAnsi" w:hAnsiTheme="minorHAnsi" w:cstheme="minorBidi"/>
                <w:sz w:val="18"/>
                <w:szCs w:val="18"/>
              </w:rPr>
              <w:t xml:space="preserve">11.2: 40% mujeres </w:t>
            </w:r>
          </w:p>
        </w:tc>
        <w:tc>
          <w:tcPr>
            <w:tcW w:w="1802" w:type="dxa"/>
            <w:gridSpan w:val="2"/>
          </w:tcPr>
          <w:p w14:paraId="62AC2216" w14:textId="2B01CCCE" w:rsidR="00DB71AF" w:rsidRPr="00A51E75" w:rsidRDefault="00DB71AF" w:rsidP="00DB71AF">
            <w:pPr>
              <w:spacing w:after="60"/>
              <w:rPr>
                <w:rFonts w:asciiTheme="minorHAnsi" w:hAnsiTheme="minorHAnsi" w:cstheme="minorHAnsi"/>
                <w:sz w:val="18"/>
                <w:szCs w:val="18"/>
              </w:rPr>
            </w:pPr>
            <w:r w:rsidRPr="00A51E75">
              <w:rPr>
                <w:rFonts w:asciiTheme="minorHAnsi" w:hAnsiTheme="minorHAnsi" w:cstheme="minorHAnsi"/>
                <w:sz w:val="18"/>
                <w:szCs w:val="18"/>
              </w:rPr>
              <w:lastRenderedPageBreak/>
              <w:t xml:space="preserve"> Documentos oficiales de proyectos, informes de implementación, materiales de comunicación (manuales, vídeos, </w:t>
            </w:r>
            <w:r w:rsidRPr="00A51E75">
              <w:rPr>
                <w:rFonts w:asciiTheme="minorHAnsi" w:hAnsiTheme="minorHAnsi" w:cstheme="minorHAnsi"/>
                <w:sz w:val="18"/>
                <w:szCs w:val="18"/>
              </w:rPr>
              <w:lastRenderedPageBreak/>
              <w:t xml:space="preserve">infografías), registros de plataformas de aprendizaje virtual, informes de eventos participativos. Estrategia de comunicación diseñada. </w:t>
            </w:r>
          </w:p>
        </w:tc>
        <w:tc>
          <w:tcPr>
            <w:tcW w:w="1213" w:type="dxa"/>
            <w:gridSpan w:val="2"/>
          </w:tcPr>
          <w:p w14:paraId="00A48EAC" w14:textId="422190BF" w:rsidR="00DB71AF" w:rsidRPr="00A51E75" w:rsidRDefault="00DB71AF" w:rsidP="00DB71AF">
            <w:pPr>
              <w:spacing w:after="60"/>
              <w:rPr>
                <w:rFonts w:asciiTheme="minorHAnsi" w:hAnsiTheme="minorHAnsi" w:cstheme="minorHAnsi"/>
                <w:sz w:val="18"/>
                <w:szCs w:val="18"/>
              </w:rPr>
            </w:pPr>
            <w:r w:rsidRPr="00A51E75">
              <w:rPr>
                <w:rFonts w:asciiTheme="minorHAnsi" w:hAnsiTheme="minorHAnsi" w:cstheme="minorHAnsi"/>
                <w:sz w:val="18"/>
                <w:szCs w:val="18"/>
              </w:rPr>
              <w:lastRenderedPageBreak/>
              <w:t xml:space="preserve"> 0 </w:t>
            </w:r>
          </w:p>
        </w:tc>
        <w:tc>
          <w:tcPr>
            <w:tcW w:w="1644" w:type="dxa"/>
          </w:tcPr>
          <w:p w14:paraId="44020672" w14:textId="58B3DA91"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Al menos 5 productos de comunicación y gestión del conocimiento desarrollados y </w:t>
            </w:r>
            <w:r w:rsidRPr="00A51E75">
              <w:rPr>
                <w:rFonts w:asciiTheme="minorHAnsi" w:hAnsiTheme="minorHAnsi" w:cstheme="minorHAnsi"/>
                <w:sz w:val="18"/>
                <w:szCs w:val="18"/>
              </w:rPr>
              <w:lastRenderedPageBreak/>
              <w:t xml:space="preserve">adaptados a públicos clave (por ejemplo, 2 vídeos, 1 manual, 1 infografía, 1 boletín técnico) que promueven la </w:t>
            </w:r>
            <w:r w:rsidR="000A54C4">
              <w:rPr>
                <w:rFonts w:asciiTheme="minorHAnsi" w:hAnsiTheme="minorHAnsi" w:cstheme="minorHAnsi"/>
                <w:sz w:val="18"/>
                <w:szCs w:val="18"/>
              </w:rPr>
              <w:t>Manejo Sostenible de la Tierra</w:t>
            </w:r>
            <w:r w:rsidRPr="00A51E75">
              <w:rPr>
                <w:rFonts w:asciiTheme="minorHAnsi" w:hAnsiTheme="minorHAnsi" w:cstheme="minorHAnsi"/>
                <w:sz w:val="18"/>
                <w:szCs w:val="18"/>
              </w:rPr>
              <w:t xml:space="preserve"> y la equidad de género.</w:t>
            </w:r>
          </w:p>
        </w:tc>
        <w:tc>
          <w:tcPr>
            <w:tcW w:w="2081" w:type="dxa"/>
            <w:gridSpan w:val="2"/>
          </w:tcPr>
          <w:p w14:paraId="0DBD0848" w14:textId="22B2F7FF" w:rsidR="00DB71AF" w:rsidRPr="00D830D9" w:rsidRDefault="146556C5" w:rsidP="05DB8549">
            <w:pPr>
              <w:spacing w:after="60"/>
              <w:rPr>
                <w:rFonts w:asciiTheme="minorHAnsi" w:hAnsiTheme="minorHAnsi" w:cstheme="minorBidi"/>
                <w:sz w:val="18"/>
                <w:szCs w:val="18"/>
                <w:lang w:val="es-EC"/>
              </w:rPr>
            </w:pPr>
            <w:r w:rsidRPr="00A51E75">
              <w:rPr>
                <w:rFonts w:asciiTheme="minorHAnsi" w:hAnsiTheme="minorHAnsi" w:cstheme="minorBidi"/>
                <w:sz w:val="18"/>
                <w:szCs w:val="18"/>
              </w:rPr>
              <w:lastRenderedPageBreak/>
              <w:t xml:space="preserve">Al menos 12 productos de comunicación y gestión del conocimiento desarrollados y </w:t>
            </w:r>
            <w:r w:rsidRPr="00A51E75">
              <w:rPr>
                <w:rFonts w:asciiTheme="minorHAnsi" w:hAnsiTheme="minorHAnsi" w:cstheme="minorBidi"/>
                <w:sz w:val="18"/>
                <w:szCs w:val="18"/>
              </w:rPr>
              <w:lastRenderedPageBreak/>
              <w:t xml:space="preserve">adaptados a públicos clave (por ejemplo, al menos 3 vídeos, 3 manuales/guías, 3 infografías o materiales visuales, 3 documentos de sistematización o historias de éxito), con el 40% de los beneficiarios siendo mujeres. </w:t>
            </w:r>
          </w:p>
          <w:p w14:paraId="1CBE1278" w14:textId="33B6F73E" w:rsidR="00DB71AF" w:rsidRPr="00D830D9" w:rsidRDefault="00DB71AF" w:rsidP="05DB8549">
            <w:pPr>
              <w:spacing w:after="60"/>
              <w:rPr>
                <w:rFonts w:asciiTheme="minorHAnsi" w:hAnsiTheme="minorHAnsi" w:cstheme="minorBidi"/>
                <w:sz w:val="18"/>
                <w:szCs w:val="18"/>
                <w:lang w:val="es-EC"/>
              </w:rPr>
            </w:pPr>
          </w:p>
        </w:tc>
        <w:tc>
          <w:tcPr>
            <w:tcW w:w="1798" w:type="dxa"/>
          </w:tcPr>
          <w:p w14:paraId="42D7365F" w14:textId="5988B50E"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 Seguimiento de actividades y productos entregados; análisis del uso de plataformas; encuestas de </w:t>
            </w:r>
            <w:r w:rsidRPr="00A51E75">
              <w:rPr>
                <w:rFonts w:asciiTheme="minorHAnsi" w:hAnsiTheme="minorHAnsi" w:cstheme="minorHAnsi"/>
                <w:sz w:val="18"/>
                <w:szCs w:val="18"/>
              </w:rPr>
              <w:lastRenderedPageBreak/>
              <w:t xml:space="preserve">percepción; entrevistas con los principales interesados; sistematización de experiencias y lecciones aprendidas. </w:t>
            </w:r>
          </w:p>
        </w:tc>
        <w:tc>
          <w:tcPr>
            <w:tcW w:w="2124" w:type="dxa"/>
          </w:tcPr>
          <w:p w14:paraId="63E4D4DC" w14:textId="77777777" w:rsidR="00D82B8D"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 Riesgos: baja apropiación de los productos; barreras tecnológicas, culturales o lingüísticas dificultan el acceso. </w:t>
            </w:r>
          </w:p>
          <w:p w14:paraId="2279C1F2" w14:textId="46FC9B76"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lastRenderedPageBreak/>
              <w:t xml:space="preserve">Supuestos: La estrategia de comunicación se adapta a contextos locales y culturales; se garantiza la accesibilidad lingüística; Existe una </w:t>
            </w:r>
            <w:proofErr w:type="gramStart"/>
            <w:r w:rsidRPr="00A51E75">
              <w:rPr>
                <w:rFonts w:asciiTheme="minorHAnsi" w:hAnsiTheme="minorHAnsi" w:cstheme="minorHAnsi"/>
                <w:sz w:val="18"/>
                <w:szCs w:val="18"/>
              </w:rPr>
              <w:t>participación activa</w:t>
            </w:r>
            <w:proofErr w:type="gramEnd"/>
            <w:r w:rsidRPr="00A51E75">
              <w:rPr>
                <w:rFonts w:asciiTheme="minorHAnsi" w:hAnsiTheme="minorHAnsi" w:cstheme="minorHAnsi"/>
                <w:sz w:val="18"/>
                <w:szCs w:val="18"/>
              </w:rPr>
              <w:t xml:space="preserve"> de los actores locales.</w:t>
            </w:r>
          </w:p>
        </w:tc>
      </w:tr>
      <w:tr w:rsidR="00DB71AF" w:rsidRPr="00A51E75" w14:paraId="52D99533" w14:textId="77777777" w:rsidTr="7CD6F03B">
        <w:trPr>
          <w:trHeight w:val="300"/>
        </w:trPr>
        <w:tc>
          <w:tcPr>
            <w:tcW w:w="1583" w:type="dxa"/>
          </w:tcPr>
          <w:p w14:paraId="36A1DB1C"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Resultados para lograr el Resultado 4.1</w:t>
            </w:r>
          </w:p>
        </w:tc>
        <w:tc>
          <w:tcPr>
            <w:tcW w:w="8884" w:type="dxa"/>
            <w:gridSpan w:val="9"/>
          </w:tcPr>
          <w:p w14:paraId="7B7B377F" w14:textId="35F60BEF" w:rsidR="00DB71AF" w:rsidRPr="00D830D9" w:rsidRDefault="00DB71AF" w:rsidP="00DB71AF">
            <w:pPr>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4.1.1.</w:t>
            </w:r>
            <w:r w:rsidRPr="00A51E75">
              <w:rPr>
                <w:rFonts w:asciiTheme="minorHAnsi" w:hAnsiTheme="minorHAnsi" w:cstheme="minorHAnsi"/>
                <w:color w:val="000000"/>
                <w:sz w:val="18"/>
                <w:szCs w:val="18"/>
              </w:rPr>
              <w:t xml:space="preserve"> Programa de desarrollo de capacidades y formación sobre neutralidad en la degradación del suelo, cambio climático, biodiversidad, igualdad de género (incluidas las masculinidades) e interseccionalidad.</w:t>
            </w:r>
          </w:p>
          <w:p w14:paraId="1D0018BA" w14:textId="6DD69681" w:rsidR="00DB71AF" w:rsidRPr="00A51E75" w:rsidRDefault="00DB71AF" w:rsidP="00DB71AF">
            <w:pPr>
              <w:rPr>
                <w:rFonts w:asciiTheme="minorHAnsi" w:hAnsiTheme="minorHAnsi" w:cstheme="minorHAnsi"/>
                <w:sz w:val="18"/>
                <w:szCs w:val="18"/>
                <w:lang w:val="en-US"/>
              </w:rPr>
            </w:pPr>
            <w:r w:rsidRPr="00A51E75">
              <w:rPr>
                <w:rFonts w:asciiTheme="minorHAnsi" w:hAnsiTheme="minorHAnsi" w:cstheme="minorHAnsi"/>
                <w:b/>
                <w:bCs/>
                <w:color w:val="000000"/>
                <w:sz w:val="18"/>
                <w:szCs w:val="18"/>
              </w:rPr>
              <w:t>4.1.2.</w:t>
            </w:r>
            <w:r w:rsidRPr="00A51E75">
              <w:rPr>
                <w:rFonts w:asciiTheme="minorHAnsi" w:hAnsiTheme="minorHAnsi" w:cstheme="minorHAnsi"/>
                <w:color w:val="000000"/>
                <w:sz w:val="18"/>
                <w:szCs w:val="18"/>
              </w:rPr>
              <w:t xml:space="preserve"> Fortalecimiento de la red hidrometeorológica y de la cadena de información para el desarrollo de un sistema de alerta temprana.</w:t>
            </w:r>
            <w:r w:rsidRPr="00A51E75">
              <w:rPr>
                <w:rFonts w:asciiTheme="minorHAnsi" w:hAnsiTheme="minorHAnsi" w:cstheme="minorHAnsi"/>
                <w:color w:val="000000"/>
                <w:sz w:val="18"/>
                <w:szCs w:val="18"/>
              </w:rPr>
              <w:br/>
            </w:r>
            <w:r w:rsidRPr="00A51E75">
              <w:rPr>
                <w:rFonts w:asciiTheme="minorHAnsi" w:hAnsiTheme="minorHAnsi" w:cstheme="minorHAnsi"/>
                <w:b/>
                <w:bCs/>
                <w:color w:val="000000"/>
                <w:sz w:val="18"/>
                <w:szCs w:val="18"/>
              </w:rPr>
              <w:t>4.1.3.</w:t>
            </w:r>
            <w:r w:rsidRPr="00A51E75">
              <w:rPr>
                <w:rFonts w:asciiTheme="minorHAnsi" w:hAnsiTheme="minorHAnsi" w:cstheme="minorHAnsi"/>
                <w:color w:val="000000"/>
                <w:sz w:val="18"/>
                <w:szCs w:val="18"/>
              </w:rPr>
              <w:t xml:space="preserve"> Desarrollo e implementación de la estrategia de comunicación.</w:t>
            </w:r>
          </w:p>
        </w:tc>
        <w:tc>
          <w:tcPr>
            <w:tcW w:w="1798" w:type="dxa"/>
          </w:tcPr>
          <w:p w14:paraId="27C167E5" w14:textId="77777777" w:rsidR="00DB71AF" w:rsidRPr="00A51E75" w:rsidRDefault="00DB71AF" w:rsidP="00DB71AF">
            <w:pPr>
              <w:spacing w:after="60"/>
              <w:jc w:val="both"/>
              <w:rPr>
                <w:rFonts w:asciiTheme="minorHAnsi" w:hAnsiTheme="minorHAnsi" w:cstheme="minorHAnsi"/>
                <w:sz w:val="18"/>
                <w:szCs w:val="18"/>
                <w:lang w:val="en-US"/>
              </w:rPr>
            </w:pPr>
          </w:p>
        </w:tc>
        <w:tc>
          <w:tcPr>
            <w:tcW w:w="2124" w:type="dxa"/>
          </w:tcPr>
          <w:p w14:paraId="41BB8B3E" w14:textId="77777777" w:rsidR="00DB71AF" w:rsidRPr="00A51E75" w:rsidRDefault="00DB71AF" w:rsidP="00DB71AF">
            <w:pPr>
              <w:spacing w:after="60"/>
              <w:jc w:val="both"/>
              <w:rPr>
                <w:rFonts w:asciiTheme="minorHAnsi" w:hAnsiTheme="minorHAnsi" w:cstheme="minorHAnsi"/>
                <w:sz w:val="18"/>
                <w:szCs w:val="18"/>
                <w:lang w:val="en-US"/>
              </w:rPr>
            </w:pPr>
          </w:p>
        </w:tc>
      </w:tr>
      <w:tr w:rsidR="00DB71AF" w:rsidRPr="00A51E75" w14:paraId="0E5DDE19" w14:textId="77777777" w:rsidTr="7CD6F03B">
        <w:trPr>
          <w:trHeight w:val="300"/>
        </w:trPr>
        <w:tc>
          <w:tcPr>
            <w:tcW w:w="1583" w:type="dxa"/>
            <w:shd w:val="clear" w:color="auto" w:fill="E7E6E6" w:themeFill="background2"/>
          </w:tcPr>
          <w:p w14:paraId="003DB0E7"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 xml:space="preserve">Componente 5 del proyecto </w:t>
            </w:r>
          </w:p>
        </w:tc>
        <w:tc>
          <w:tcPr>
            <w:tcW w:w="12806" w:type="dxa"/>
            <w:gridSpan w:val="11"/>
            <w:shd w:val="clear" w:color="auto" w:fill="E7E6E6" w:themeFill="background2"/>
          </w:tcPr>
          <w:p w14:paraId="59B84C8F"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Seguimiento y evaluación</w:t>
            </w:r>
          </w:p>
        </w:tc>
      </w:tr>
      <w:tr w:rsidR="00D82B8D" w:rsidRPr="007D4F41" w14:paraId="31B7E805" w14:textId="77777777" w:rsidTr="7CD6F03B">
        <w:trPr>
          <w:trHeight w:val="300"/>
        </w:trPr>
        <w:tc>
          <w:tcPr>
            <w:tcW w:w="1583" w:type="dxa"/>
            <w:vMerge w:val="restart"/>
          </w:tcPr>
          <w:p w14:paraId="421E2645" w14:textId="77777777" w:rsidR="00DB71AF" w:rsidRPr="00D830D9" w:rsidRDefault="00DB71AF" w:rsidP="00DB71AF">
            <w:pPr>
              <w:spacing w:after="60"/>
              <w:jc w:val="both"/>
              <w:rPr>
                <w:rFonts w:asciiTheme="minorHAnsi" w:hAnsiTheme="minorHAnsi" w:cstheme="minorHAnsi"/>
                <w:b/>
                <w:sz w:val="18"/>
                <w:szCs w:val="18"/>
                <w:lang w:val="es-EC"/>
              </w:rPr>
            </w:pPr>
            <w:r w:rsidRPr="00A51E75">
              <w:rPr>
                <w:rFonts w:asciiTheme="minorHAnsi" w:hAnsiTheme="minorHAnsi" w:cstheme="minorHAnsi"/>
                <w:b/>
                <w:sz w:val="18"/>
                <w:szCs w:val="18"/>
              </w:rPr>
              <w:t xml:space="preserve">Resultado 5.1 </w:t>
            </w:r>
          </w:p>
          <w:p w14:paraId="19AEFFF5" w14:textId="183C2FD7" w:rsidR="00DB71AF" w:rsidRPr="00D830D9" w:rsidRDefault="00DB71AF" w:rsidP="00DB71AF">
            <w:pPr>
              <w:spacing w:after="60"/>
              <w:rPr>
                <w:rFonts w:asciiTheme="minorHAnsi" w:hAnsiTheme="minorHAnsi" w:cstheme="minorHAnsi"/>
                <w:b/>
                <w:sz w:val="18"/>
                <w:szCs w:val="18"/>
                <w:lang w:val="es-EC"/>
              </w:rPr>
            </w:pPr>
            <w:r w:rsidRPr="00A51E75">
              <w:rPr>
                <w:rFonts w:asciiTheme="minorHAnsi" w:hAnsiTheme="minorHAnsi" w:cstheme="minorHAnsi"/>
                <w:b/>
                <w:sz w:val="18"/>
                <w:szCs w:val="18"/>
              </w:rPr>
              <w:t>Seguimiento y evaluación de las actividades del proyecto y sus indicadores.</w:t>
            </w:r>
          </w:p>
        </w:tc>
        <w:tc>
          <w:tcPr>
            <w:tcW w:w="1972" w:type="dxa"/>
          </w:tcPr>
          <w:p w14:paraId="699E1A24" w14:textId="3731A19F" w:rsidR="00DB71AF" w:rsidRPr="00D830D9" w:rsidRDefault="00DB71AF" w:rsidP="00DB71AF">
            <w:pPr>
              <w:rPr>
                <w:rFonts w:asciiTheme="minorHAnsi" w:hAnsiTheme="minorHAnsi" w:cstheme="minorHAnsi"/>
                <w:color w:val="000000"/>
                <w:sz w:val="18"/>
                <w:szCs w:val="18"/>
                <w:lang w:val="es-EC"/>
              </w:rPr>
            </w:pPr>
            <w:r w:rsidRPr="00A51E75">
              <w:rPr>
                <w:rFonts w:asciiTheme="minorHAnsi" w:hAnsiTheme="minorHAnsi" w:cstheme="minorHAnsi"/>
                <w:sz w:val="18"/>
                <w:szCs w:val="18"/>
              </w:rPr>
              <w:t>Indicador 19: Porcentaje acumulado del gasto del proyecto ejecutado</w:t>
            </w:r>
            <w:r w:rsidRPr="00A51E75">
              <w:rPr>
                <w:rStyle w:val="Refdenotaalpie"/>
                <w:rFonts w:asciiTheme="minorHAnsi" w:hAnsiTheme="minorHAnsi" w:cstheme="minorHAnsi"/>
                <w:sz w:val="18"/>
                <w:szCs w:val="18"/>
              </w:rPr>
              <w:footnoteReference w:id="15"/>
            </w:r>
            <w:r w:rsidRPr="00A51E75">
              <w:rPr>
                <w:rFonts w:asciiTheme="minorHAnsi" w:hAnsiTheme="minorHAnsi" w:cstheme="minorHAnsi"/>
                <w:sz w:val="18"/>
                <w:szCs w:val="18"/>
              </w:rPr>
              <w:t xml:space="preserve"> en alineación con las actividades previstas en el Plan </w:t>
            </w:r>
            <w:r w:rsidR="00C15639">
              <w:rPr>
                <w:rFonts w:asciiTheme="minorHAnsi" w:hAnsiTheme="minorHAnsi" w:cstheme="minorHAnsi"/>
                <w:sz w:val="18"/>
                <w:szCs w:val="18"/>
              </w:rPr>
              <w:t xml:space="preserve">Anual </w:t>
            </w:r>
            <w:r w:rsidRPr="00A51E75">
              <w:rPr>
                <w:rFonts w:asciiTheme="minorHAnsi" w:hAnsiTheme="minorHAnsi" w:cstheme="minorHAnsi"/>
                <w:sz w:val="18"/>
                <w:szCs w:val="18"/>
              </w:rPr>
              <w:t>de Trabajo (P</w:t>
            </w:r>
            <w:r w:rsidR="00C15639">
              <w:rPr>
                <w:rFonts w:asciiTheme="minorHAnsi" w:hAnsiTheme="minorHAnsi" w:cstheme="minorHAnsi"/>
                <w:sz w:val="18"/>
                <w:szCs w:val="18"/>
              </w:rPr>
              <w:t>AT</w:t>
            </w:r>
            <w:r w:rsidRPr="00A51E75">
              <w:rPr>
                <w:rFonts w:asciiTheme="minorHAnsi" w:hAnsiTheme="minorHAnsi" w:cstheme="minorHAnsi"/>
                <w:sz w:val="18"/>
                <w:szCs w:val="18"/>
              </w:rPr>
              <w:t xml:space="preserve">). </w:t>
            </w:r>
          </w:p>
        </w:tc>
        <w:tc>
          <w:tcPr>
            <w:tcW w:w="1594" w:type="dxa"/>
            <w:gridSpan w:val="2"/>
          </w:tcPr>
          <w:p w14:paraId="715DC37F" w14:textId="358F5200" w:rsidR="00DB71AF" w:rsidRPr="00D830D9" w:rsidRDefault="00DB71AF" w:rsidP="00DB71AF">
            <w:pPr>
              <w:rPr>
                <w:rFonts w:asciiTheme="minorHAnsi" w:hAnsiTheme="minorHAnsi" w:cstheme="minorHAnsi"/>
                <w:color w:val="000000"/>
                <w:sz w:val="18"/>
                <w:szCs w:val="18"/>
                <w:lang w:val="es-EC"/>
              </w:rPr>
            </w:pPr>
            <w:r w:rsidRPr="00A51E75">
              <w:rPr>
                <w:rFonts w:asciiTheme="minorHAnsi" w:hAnsiTheme="minorHAnsi" w:cstheme="minorHAnsi"/>
                <w:sz w:val="18"/>
                <w:szCs w:val="18"/>
              </w:rPr>
              <w:t xml:space="preserve"> Informes financieros auditados, informes de ejecución presupuestaria, calendario aprobado de </w:t>
            </w:r>
            <w:r w:rsidR="00C15639">
              <w:rPr>
                <w:rFonts w:asciiTheme="minorHAnsi" w:hAnsiTheme="minorHAnsi" w:cstheme="minorHAnsi"/>
                <w:sz w:val="18"/>
                <w:szCs w:val="18"/>
              </w:rPr>
              <w:t>PAT</w:t>
            </w:r>
            <w:r w:rsidRPr="00A51E75">
              <w:rPr>
                <w:rFonts w:asciiTheme="minorHAnsi" w:hAnsiTheme="minorHAnsi" w:cstheme="minorHAnsi"/>
                <w:sz w:val="18"/>
                <w:szCs w:val="18"/>
              </w:rPr>
              <w:t xml:space="preserve">, matriz de seguimiento de productos y entregables </w:t>
            </w:r>
          </w:p>
        </w:tc>
        <w:tc>
          <w:tcPr>
            <w:tcW w:w="1421" w:type="dxa"/>
            <w:gridSpan w:val="2"/>
          </w:tcPr>
          <w:p w14:paraId="3521D8F9" w14:textId="244E2BD8" w:rsidR="00DB71AF" w:rsidRPr="00D830D9" w:rsidRDefault="146556C5" w:rsidP="05DB8549">
            <w:pPr>
              <w:rPr>
                <w:rFonts w:asciiTheme="minorHAnsi" w:hAnsiTheme="minorHAnsi" w:cstheme="minorBidi"/>
                <w:color w:val="000000"/>
                <w:sz w:val="18"/>
                <w:szCs w:val="18"/>
                <w:lang w:val="es-EC"/>
              </w:rPr>
            </w:pPr>
            <w:r w:rsidRPr="00A51E75">
              <w:rPr>
                <w:rFonts w:asciiTheme="minorHAnsi" w:hAnsiTheme="minorHAnsi" w:cstheme="minorBidi"/>
                <w:sz w:val="18"/>
                <w:szCs w:val="18"/>
              </w:rPr>
              <w:t xml:space="preserve"> 0% (el proyecto aún no ha comenzado su implementación) </w:t>
            </w:r>
          </w:p>
        </w:tc>
        <w:tc>
          <w:tcPr>
            <w:tcW w:w="1988" w:type="dxa"/>
            <w:gridSpan w:val="3"/>
          </w:tcPr>
          <w:p w14:paraId="6E8D896B" w14:textId="3B888F1C" w:rsidR="00DB71AF" w:rsidRPr="00A51E75" w:rsidRDefault="146556C5" w:rsidP="05DB8549">
            <w:pPr>
              <w:rPr>
                <w:rFonts w:asciiTheme="minorHAnsi" w:hAnsiTheme="minorHAnsi" w:cstheme="minorBidi"/>
                <w:color w:val="000000"/>
                <w:sz w:val="18"/>
                <w:szCs w:val="18"/>
              </w:rPr>
            </w:pPr>
            <w:r w:rsidRPr="00A51E75">
              <w:rPr>
                <w:rFonts w:asciiTheme="minorHAnsi" w:hAnsiTheme="minorHAnsi" w:cstheme="minorBidi"/>
                <w:sz w:val="18"/>
                <w:szCs w:val="18"/>
              </w:rPr>
              <w:t xml:space="preserve"> Al menos un 50% </w:t>
            </w:r>
          </w:p>
        </w:tc>
        <w:tc>
          <w:tcPr>
            <w:tcW w:w="1909" w:type="dxa"/>
          </w:tcPr>
          <w:p w14:paraId="46DDBA38" w14:textId="6843C3A9" w:rsidR="00DB71AF" w:rsidRPr="00A51E75" w:rsidRDefault="146556C5" w:rsidP="05DB8549">
            <w:pPr>
              <w:rPr>
                <w:rFonts w:asciiTheme="minorHAnsi" w:hAnsiTheme="minorHAnsi" w:cstheme="minorBidi"/>
                <w:sz w:val="18"/>
                <w:szCs w:val="18"/>
                <w:lang w:val="en-US"/>
              </w:rPr>
            </w:pPr>
            <w:r w:rsidRPr="00A51E75">
              <w:rPr>
                <w:rFonts w:asciiTheme="minorHAnsi" w:hAnsiTheme="minorHAnsi" w:cstheme="minorBidi"/>
                <w:sz w:val="18"/>
                <w:szCs w:val="18"/>
              </w:rPr>
              <w:t xml:space="preserve"> Al menos al 100% </w:t>
            </w:r>
          </w:p>
        </w:tc>
        <w:tc>
          <w:tcPr>
            <w:tcW w:w="1798" w:type="dxa"/>
          </w:tcPr>
          <w:p w14:paraId="433DC2FF" w14:textId="22DFD5B5"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Revisión de informes financieros y técnicos, conciliación entre los informes de </w:t>
            </w:r>
            <w:r w:rsidR="00C15639">
              <w:rPr>
                <w:rFonts w:asciiTheme="minorHAnsi" w:hAnsiTheme="minorHAnsi" w:cstheme="minorHAnsi"/>
                <w:sz w:val="18"/>
                <w:szCs w:val="18"/>
              </w:rPr>
              <w:t>PAT</w:t>
            </w:r>
            <w:r w:rsidRPr="00A51E75">
              <w:rPr>
                <w:rFonts w:asciiTheme="minorHAnsi" w:hAnsiTheme="minorHAnsi" w:cstheme="minorHAnsi"/>
                <w:sz w:val="18"/>
                <w:szCs w:val="18"/>
              </w:rPr>
              <w:t xml:space="preserve"> y de ejecución, entrevistas con la Unidad de Gestión de Proyectos (</w:t>
            </w:r>
            <w:r w:rsidR="00C15639">
              <w:rPr>
                <w:rFonts w:asciiTheme="minorHAnsi" w:hAnsiTheme="minorHAnsi" w:cstheme="minorHAnsi"/>
                <w:sz w:val="18"/>
                <w:szCs w:val="18"/>
              </w:rPr>
              <w:t>UGP</w:t>
            </w:r>
            <w:r w:rsidRPr="00A51E75">
              <w:rPr>
                <w:rFonts w:asciiTheme="minorHAnsi" w:hAnsiTheme="minorHAnsi" w:cstheme="minorHAnsi"/>
                <w:sz w:val="18"/>
                <w:szCs w:val="18"/>
              </w:rPr>
              <w:t xml:space="preserve">) y auditores de proyectos </w:t>
            </w:r>
          </w:p>
        </w:tc>
        <w:tc>
          <w:tcPr>
            <w:tcW w:w="2124" w:type="dxa"/>
          </w:tcPr>
          <w:p w14:paraId="6A1E77B7" w14:textId="77777777"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 Riesgos: Reprogramación no documentada, retrasos administrativos, asignaciones injustificadas.</w:t>
            </w:r>
          </w:p>
          <w:p w14:paraId="336E8382" w14:textId="08DD4C84" w:rsidR="00DB71AF" w:rsidRPr="00D830D9" w:rsidRDefault="00DB71AF" w:rsidP="00DB71AF">
            <w:pPr>
              <w:spacing w:after="60"/>
              <w:rPr>
                <w:rFonts w:asciiTheme="minorHAnsi" w:hAnsiTheme="minorHAnsi" w:cstheme="minorHAnsi"/>
                <w:sz w:val="18"/>
                <w:szCs w:val="18"/>
                <w:lang w:val="es-EC"/>
              </w:rPr>
            </w:pPr>
            <w:r w:rsidRPr="00A51E75">
              <w:rPr>
                <w:rFonts w:asciiTheme="minorHAnsi" w:hAnsiTheme="minorHAnsi" w:cstheme="minorHAnsi"/>
                <w:sz w:val="18"/>
                <w:szCs w:val="18"/>
              </w:rPr>
              <w:t xml:space="preserve">Suposiciones: La ejecución sigue el </w:t>
            </w:r>
            <w:r w:rsidR="00C15639">
              <w:rPr>
                <w:rFonts w:asciiTheme="minorHAnsi" w:hAnsiTheme="minorHAnsi" w:cstheme="minorHAnsi"/>
                <w:sz w:val="18"/>
                <w:szCs w:val="18"/>
              </w:rPr>
              <w:t>PAT</w:t>
            </w:r>
            <w:r w:rsidRPr="00A51E75">
              <w:rPr>
                <w:rFonts w:asciiTheme="minorHAnsi" w:hAnsiTheme="minorHAnsi" w:cstheme="minorHAnsi"/>
                <w:sz w:val="18"/>
                <w:szCs w:val="18"/>
              </w:rPr>
              <w:t xml:space="preserve"> aprobado y hay una trazabilidad financiera robusta.</w:t>
            </w:r>
          </w:p>
        </w:tc>
      </w:tr>
      <w:tr w:rsidR="00D82B8D" w:rsidRPr="007D4F41" w14:paraId="1379DF88" w14:textId="77777777" w:rsidTr="7CD6F03B">
        <w:trPr>
          <w:trHeight w:val="300"/>
        </w:trPr>
        <w:tc>
          <w:tcPr>
            <w:tcW w:w="1583" w:type="dxa"/>
            <w:vMerge/>
          </w:tcPr>
          <w:p w14:paraId="217BE941" w14:textId="77777777" w:rsidR="00DB71AF" w:rsidRPr="00D830D9" w:rsidRDefault="00DB71AF" w:rsidP="00DB71AF">
            <w:pPr>
              <w:spacing w:after="60"/>
              <w:jc w:val="both"/>
              <w:rPr>
                <w:rFonts w:asciiTheme="minorHAnsi" w:hAnsiTheme="minorHAnsi" w:cstheme="minorHAnsi"/>
                <w:b/>
                <w:sz w:val="18"/>
                <w:szCs w:val="18"/>
                <w:lang w:val="es-EC"/>
              </w:rPr>
            </w:pPr>
          </w:p>
        </w:tc>
        <w:tc>
          <w:tcPr>
            <w:tcW w:w="1972" w:type="dxa"/>
          </w:tcPr>
          <w:p w14:paraId="29B01F9B" w14:textId="4EAD9968" w:rsidR="00DB71AF" w:rsidRPr="00D830D9" w:rsidRDefault="00DB71AF" w:rsidP="00DB71AF">
            <w:pPr>
              <w:rPr>
                <w:rFonts w:asciiTheme="minorHAnsi" w:hAnsiTheme="minorHAnsi" w:cstheme="minorHAnsi"/>
                <w:sz w:val="18"/>
                <w:szCs w:val="18"/>
                <w:lang w:val="es-EC"/>
              </w:rPr>
            </w:pPr>
            <w:r w:rsidRPr="00A51E75">
              <w:rPr>
                <w:rFonts w:ascii="Calibri" w:hAnsi="Calibri" w:cs="Calibri"/>
                <w:color w:val="000000"/>
                <w:sz w:val="18"/>
                <w:szCs w:val="18"/>
              </w:rPr>
              <w:t xml:space="preserve">Indicador 20: Finalización de los </w:t>
            </w:r>
            <w:r w:rsidR="00BC67C3" w:rsidRPr="00A51E75">
              <w:rPr>
                <w:rFonts w:ascii="Calibri" w:hAnsi="Calibri" w:cs="Calibri"/>
                <w:color w:val="000000"/>
                <w:sz w:val="18"/>
                <w:szCs w:val="18"/>
              </w:rPr>
              <w:t>entregables claves</w:t>
            </w:r>
            <w:r w:rsidRPr="00A51E75">
              <w:rPr>
                <w:rFonts w:ascii="Calibri" w:hAnsi="Calibri" w:cs="Calibri"/>
                <w:color w:val="000000"/>
                <w:sz w:val="18"/>
                <w:szCs w:val="18"/>
              </w:rPr>
              <w:t xml:space="preserve"> de monitoreo y evaluación según las directrices del </w:t>
            </w:r>
            <w:r w:rsidR="00BC67C3">
              <w:rPr>
                <w:rFonts w:ascii="Calibri" w:hAnsi="Calibri" w:cs="Calibri"/>
                <w:color w:val="000000"/>
                <w:sz w:val="18"/>
                <w:szCs w:val="18"/>
              </w:rPr>
              <w:t>FMAM</w:t>
            </w:r>
            <w:r w:rsidRPr="00A51E75">
              <w:rPr>
                <w:rFonts w:ascii="Calibri" w:hAnsi="Calibri" w:cs="Calibri"/>
                <w:color w:val="000000"/>
                <w:sz w:val="18"/>
                <w:szCs w:val="18"/>
              </w:rPr>
              <w:t xml:space="preserve"> y el PNUD.</w:t>
            </w:r>
          </w:p>
        </w:tc>
        <w:tc>
          <w:tcPr>
            <w:tcW w:w="1594" w:type="dxa"/>
            <w:gridSpan w:val="2"/>
          </w:tcPr>
          <w:p w14:paraId="64B9519A" w14:textId="478286D7" w:rsidR="00DB71AF" w:rsidRPr="00D830D9" w:rsidRDefault="00DB71AF" w:rsidP="00DB71AF">
            <w:pPr>
              <w:rPr>
                <w:rFonts w:asciiTheme="minorHAnsi" w:hAnsiTheme="minorHAnsi" w:cstheme="minorHAnsi"/>
                <w:sz w:val="18"/>
                <w:szCs w:val="18"/>
                <w:lang w:val="es-EC"/>
              </w:rPr>
            </w:pPr>
            <w:r w:rsidRPr="00A51E75">
              <w:rPr>
                <w:rFonts w:ascii="Calibri" w:hAnsi="Calibri" w:cs="Calibri"/>
                <w:color w:val="000000"/>
                <w:sz w:val="18"/>
                <w:szCs w:val="18"/>
              </w:rPr>
              <w:t xml:space="preserve">Presentaciones anuales de </w:t>
            </w:r>
            <w:r w:rsidR="00547037" w:rsidRPr="00547037">
              <w:rPr>
                <w:rFonts w:ascii="Calibri" w:hAnsi="Calibri" w:cs="Calibri"/>
                <w:color w:val="000000"/>
                <w:sz w:val="18"/>
                <w:szCs w:val="18"/>
              </w:rPr>
              <w:t>Informe de Implementación del Proyecto</w:t>
            </w:r>
            <w:r w:rsidR="00547037" w:rsidRPr="00A51E75">
              <w:rPr>
                <w:rFonts w:ascii="Calibri" w:hAnsi="Calibri" w:cs="Calibri"/>
                <w:color w:val="000000"/>
                <w:sz w:val="18"/>
                <w:szCs w:val="18"/>
              </w:rPr>
              <w:t xml:space="preserve"> </w:t>
            </w:r>
            <w:r w:rsidR="00547037">
              <w:rPr>
                <w:rFonts w:ascii="Calibri" w:hAnsi="Calibri" w:cs="Calibri"/>
                <w:color w:val="000000"/>
                <w:sz w:val="18"/>
                <w:szCs w:val="18"/>
              </w:rPr>
              <w:t>(</w:t>
            </w:r>
            <w:r w:rsidR="00547037" w:rsidRPr="00A51E75">
              <w:rPr>
                <w:rFonts w:ascii="Calibri" w:hAnsi="Calibri" w:cs="Calibri"/>
                <w:color w:val="000000"/>
                <w:sz w:val="18"/>
                <w:szCs w:val="18"/>
              </w:rPr>
              <w:t>PIR</w:t>
            </w:r>
            <w:r w:rsidR="00547037">
              <w:rPr>
                <w:rFonts w:ascii="Calibri" w:hAnsi="Calibri" w:cs="Calibri"/>
                <w:color w:val="000000"/>
                <w:sz w:val="18"/>
                <w:szCs w:val="18"/>
              </w:rPr>
              <w:t xml:space="preserve"> por sigla en inglés)</w:t>
            </w:r>
            <w:r w:rsidRPr="00A51E75">
              <w:rPr>
                <w:rFonts w:ascii="Calibri" w:hAnsi="Calibri" w:cs="Calibri"/>
                <w:color w:val="000000"/>
                <w:sz w:val="18"/>
                <w:szCs w:val="18"/>
              </w:rPr>
              <w:t>; informes de Revisión a Medio Plazo (</w:t>
            </w:r>
            <w:r w:rsidR="003057B2">
              <w:rPr>
                <w:rFonts w:ascii="Calibri" w:hAnsi="Calibri" w:cs="Calibri"/>
                <w:color w:val="000000"/>
                <w:sz w:val="18"/>
                <w:szCs w:val="18"/>
              </w:rPr>
              <w:t>RMT</w:t>
            </w:r>
            <w:r w:rsidRPr="00A51E75">
              <w:rPr>
                <w:rFonts w:ascii="Calibri" w:hAnsi="Calibri" w:cs="Calibri"/>
                <w:color w:val="000000"/>
                <w:sz w:val="18"/>
                <w:szCs w:val="18"/>
              </w:rPr>
              <w:t xml:space="preserve">) y Evaluación </w:t>
            </w:r>
            <w:r w:rsidR="00547037">
              <w:rPr>
                <w:rFonts w:ascii="Calibri" w:hAnsi="Calibri" w:cs="Calibri"/>
                <w:color w:val="000000"/>
                <w:sz w:val="18"/>
                <w:szCs w:val="18"/>
              </w:rPr>
              <w:t>Final Independiente</w:t>
            </w:r>
            <w:r w:rsidRPr="00A51E75">
              <w:rPr>
                <w:rFonts w:ascii="Calibri" w:hAnsi="Calibri" w:cs="Calibri"/>
                <w:color w:val="000000"/>
                <w:sz w:val="18"/>
                <w:szCs w:val="18"/>
              </w:rPr>
              <w:t xml:space="preserve"> (</w:t>
            </w:r>
            <w:r w:rsidR="003057B2">
              <w:rPr>
                <w:rFonts w:ascii="Calibri" w:hAnsi="Calibri" w:cs="Calibri"/>
                <w:color w:val="000000"/>
                <w:sz w:val="18"/>
                <w:szCs w:val="18"/>
              </w:rPr>
              <w:t>EFI</w:t>
            </w:r>
            <w:r w:rsidRPr="00A51E75">
              <w:rPr>
                <w:rFonts w:ascii="Calibri" w:hAnsi="Calibri" w:cs="Calibri"/>
                <w:color w:val="000000"/>
                <w:sz w:val="18"/>
                <w:szCs w:val="18"/>
              </w:rPr>
              <w:t>); Documentación de la Unidad de Gestión de Proyectos (</w:t>
            </w:r>
            <w:r w:rsidR="00547037">
              <w:rPr>
                <w:rFonts w:ascii="Calibri" w:hAnsi="Calibri" w:cs="Calibri"/>
                <w:color w:val="000000"/>
                <w:sz w:val="18"/>
                <w:szCs w:val="18"/>
              </w:rPr>
              <w:t>UGP</w:t>
            </w:r>
            <w:r w:rsidRPr="00A51E75">
              <w:rPr>
                <w:rFonts w:ascii="Calibri" w:hAnsi="Calibri" w:cs="Calibri"/>
                <w:color w:val="000000"/>
                <w:sz w:val="18"/>
                <w:szCs w:val="18"/>
              </w:rPr>
              <w:t>).</w:t>
            </w:r>
          </w:p>
        </w:tc>
        <w:tc>
          <w:tcPr>
            <w:tcW w:w="1421" w:type="dxa"/>
            <w:gridSpan w:val="2"/>
          </w:tcPr>
          <w:p w14:paraId="347C680C" w14:textId="29DF8CF3" w:rsidR="00DB71AF" w:rsidRPr="00A51E75" w:rsidRDefault="00DB71AF" w:rsidP="00DB71AF">
            <w:pPr>
              <w:rPr>
                <w:rFonts w:asciiTheme="minorHAnsi" w:hAnsiTheme="minorHAnsi" w:cstheme="minorHAnsi"/>
                <w:sz w:val="18"/>
                <w:szCs w:val="18"/>
                <w:lang w:val="en-US"/>
              </w:rPr>
            </w:pPr>
            <w:r w:rsidRPr="00A51E75">
              <w:rPr>
                <w:rFonts w:ascii="Calibri" w:hAnsi="Calibri" w:cs="Calibri"/>
                <w:color w:val="000000"/>
                <w:sz w:val="18"/>
                <w:szCs w:val="18"/>
              </w:rPr>
              <w:t>0</w:t>
            </w:r>
          </w:p>
        </w:tc>
        <w:tc>
          <w:tcPr>
            <w:tcW w:w="1988" w:type="dxa"/>
            <w:gridSpan w:val="3"/>
          </w:tcPr>
          <w:p w14:paraId="23B06BCE" w14:textId="7270977B" w:rsidR="00DB71AF" w:rsidRPr="00895463" w:rsidRDefault="00547037" w:rsidP="00DB71AF">
            <w:pPr>
              <w:rPr>
                <w:rFonts w:asciiTheme="minorHAnsi" w:hAnsiTheme="minorHAnsi" w:cstheme="minorHAnsi"/>
                <w:sz w:val="18"/>
                <w:szCs w:val="18"/>
                <w:lang w:val="es-EC"/>
              </w:rPr>
            </w:pPr>
            <w:proofErr w:type="spellStart"/>
            <w:r>
              <w:rPr>
                <w:rFonts w:ascii="Calibri" w:hAnsi="Calibri" w:cs="Calibri"/>
                <w:color w:val="000000"/>
                <w:sz w:val="18"/>
                <w:szCs w:val="18"/>
              </w:rPr>
              <w:t>PIRs</w:t>
            </w:r>
            <w:proofErr w:type="spellEnd"/>
            <w:r w:rsidRPr="00A51E75">
              <w:rPr>
                <w:rFonts w:ascii="Calibri" w:hAnsi="Calibri" w:cs="Calibri"/>
                <w:color w:val="000000"/>
                <w:sz w:val="18"/>
                <w:szCs w:val="18"/>
              </w:rPr>
              <w:t xml:space="preserve"> </w:t>
            </w:r>
            <w:r w:rsidR="00DB71AF" w:rsidRPr="00A51E75">
              <w:rPr>
                <w:rFonts w:ascii="Calibri" w:hAnsi="Calibri" w:cs="Calibri"/>
                <w:color w:val="000000"/>
                <w:sz w:val="18"/>
                <w:szCs w:val="18"/>
              </w:rPr>
              <w:t>presentados anualmente; Revisión parcial completada.</w:t>
            </w:r>
          </w:p>
        </w:tc>
        <w:tc>
          <w:tcPr>
            <w:tcW w:w="1909" w:type="dxa"/>
          </w:tcPr>
          <w:p w14:paraId="42247056" w14:textId="25CB6BCE" w:rsidR="00DB71AF" w:rsidRPr="00895463" w:rsidRDefault="00DB71AF" w:rsidP="00DB71AF">
            <w:pPr>
              <w:rPr>
                <w:rFonts w:asciiTheme="minorHAnsi" w:hAnsiTheme="minorHAnsi" w:cstheme="minorHAnsi"/>
                <w:sz w:val="18"/>
                <w:szCs w:val="18"/>
                <w:lang w:val="es-EC"/>
              </w:rPr>
            </w:pPr>
            <w:proofErr w:type="spellStart"/>
            <w:r w:rsidRPr="00A51E75">
              <w:rPr>
                <w:rFonts w:ascii="Calibri" w:hAnsi="Calibri" w:cs="Calibri"/>
                <w:color w:val="000000"/>
                <w:sz w:val="18"/>
                <w:szCs w:val="18"/>
              </w:rPr>
              <w:t>PIRs</w:t>
            </w:r>
            <w:proofErr w:type="spellEnd"/>
            <w:r w:rsidRPr="00A51E75">
              <w:rPr>
                <w:rFonts w:ascii="Calibri" w:hAnsi="Calibri" w:cs="Calibri"/>
                <w:color w:val="000000"/>
                <w:sz w:val="18"/>
                <w:szCs w:val="18"/>
              </w:rPr>
              <w:t xml:space="preserve"> presentados anualmente; Evaluación terminal completada.</w:t>
            </w:r>
          </w:p>
        </w:tc>
        <w:tc>
          <w:tcPr>
            <w:tcW w:w="1798" w:type="dxa"/>
          </w:tcPr>
          <w:p w14:paraId="0AF67D6B" w14:textId="07F37883"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t>Revisión de los registros de envío; análisis de líneas temporales de evaluación; verificación de la integridad y estado de aprobación de los informes.</w:t>
            </w:r>
          </w:p>
        </w:tc>
        <w:tc>
          <w:tcPr>
            <w:tcW w:w="2124" w:type="dxa"/>
          </w:tcPr>
          <w:p w14:paraId="2C674286" w14:textId="77777777" w:rsidR="00DB71AF" w:rsidRPr="00D830D9" w:rsidRDefault="00DB71AF" w:rsidP="00DB71AF">
            <w:pPr>
              <w:spacing w:after="60"/>
              <w:rPr>
                <w:rFonts w:ascii="Calibri" w:hAnsi="Calibri" w:cs="Calibri"/>
                <w:color w:val="000000"/>
                <w:sz w:val="18"/>
                <w:szCs w:val="18"/>
                <w:lang w:val="es-EC"/>
              </w:rPr>
            </w:pPr>
            <w:r w:rsidRPr="00A51E75">
              <w:rPr>
                <w:rFonts w:ascii="Calibri" w:hAnsi="Calibri" w:cs="Calibri"/>
                <w:color w:val="000000"/>
                <w:sz w:val="18"/>
                <w:szCs w:val="18"/>
              </w:rPr>
              <w:t>Riesgos: retrasos en los equipos de evaluación de contratos; Retrasos en los procesos de revisión/aprobación.</w:t>
            </w:r>
          </w:p>
          <w:p w14:paraId="2D36341C" w14:textId="263565D5" w:rsidR="00DB71AF" w:rsidRPr="00D830D9" w:rsidRDefault="00DB71AF" w:rsidP="00DB71AF">
            <w:pPr>
              <w:spacing w:after="60"/>
              <w:rPr>
                <w:rFonts w:asciiTheme="minorHAnsi" w:hAnsiTheme="minorHAnsi" w:cstheme="minorHAnsi"/>
                <w:sz w:val="18"/>
                <w:szCs w:val="18"/>
                <w:lang w:val="es-EC"/>
              </w:rPr>
            </w:pPr>
            <w:r w:rsidRPr="00A51E75">
              <w:rPr>
                <w:rFonts w:ascii="Calibri" w:hAnsi="Calibri" w:cs="Calibri"/>
                <w:color w:val="000000"/>
                <w:sz w:val="18"/>
                <w:szCs w:val="18"/>
              </w:rPr>
              <w:t xml:space="preserve">Suposiciones: Coordinación efectiva con el </w:t>
            </w:r>
            <w:r w:rsidR="00547037">
              <w:rPr>
                <w:rFonts w:ascii="Calibri" w:hAnsi="Calibri" w:cs="Calibri"/>
                <w:color w:val="000000"/>
                <w:sz w:val="18"/>
                <w:szCs w:val="18"/>
              </w:rPr>
              <w:t>Oficina Central</w:t>
            </w:r>
            <w:r w:rsidRPr="00A51E75">
              <w:rPr>
                <w:rFonts w:ascii="Calibri" w:hAnsi="Calibri" w:cs="Calibri"/>
                <w:color w:val="000000"/>
                <w:sz w:val="18"/>
                <w:szCs w:val="18"/>
              </w:rPr>
              <w:t xml:space="preserve"> del PNUD y evaluadores externos; presupuesto suficiente y planificación oportuna para los entregables de M&amp;E.</w:t>
            </w:r>
          </w:p>
        </w:tc>
      </w:tr>
      <w:tr w:rsidR="00DB71AF" w:rsidRPr="007D4F41" w14:paraId="0A8ADC13" w14:textId="77777777" w:rsidTr="7CD6F03B">
        <w:trPr>
          <w:trHeight w:val="300"/>
        </w:trPr>
        <w:tc>
          <w:tcPr>
            <w:tcW w:w="1583" w:type="dxa"/>
          </w:tcPr>
          <w:p w14:paraId="341AFEC5" w14:textId="77777777" w:rsidR="00DB71AF" w:rsidRPr="00A51E75" w:rsidRDefault="00DB71AF" w:rsidP="00DB71A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lastRenderedPageBreak/>
              <w:t>Resultados para lograr el Resultado 5.1</w:t>
            </w:r>
          </w:p>
        </w:tc>
        <w:tc>
          <w:tcPr>
            <w:tcW w:w="8884" w:type="dxa"/>
            <w:gridSpan w:val="9"/>
          </w:tcPr>
          <w:p w14:paraId="37AB941C" w14:textId="684F1D42" w:rsidR="00DB71AF" w:rsidRPr="00D830D9" w:rsidRDefault="00DB71AF" w:rsidP="00DB71AF">
            <w:pPr>
              <w:rPr>
                <w:rFonts w:asciiTheme="minorHAnsi" w:hAnsiTheme="minorHAnsi" w:cstheme="minorHAnsi"/>
                <w:sz w:val="18"/>
                <w:szCs w:val="18"/>
                <w:lang w:val="es-EC"/>
              </w:rPr>
            </w:pPr>
            <w:r w:rsidRPr="00A51E75">
              <w:rPr>
                <w:rFonts w:asciiTheme="minorHAnsi" w:hAnsiTheme="minorHAnsi" w:cstheme="minorHAnsi"/>
                <w:b/>
                <w:bCs/>
                <w:color w:val="000000"/>
                <w:sz w:val="18"/>
                <w:szCs w:val="18"/>
              </w:rPr>
              <w:t>5.1.1:</w:t>
            </w:r>
            <w:r w:rsidRPr="00A51E75">
              <w:rPr>
                <w:rFonts w:asciiTheme="minorHAnsi" w:hAnsiTheme="minorHAnsi" w:cstheme="minorHAnsi"/>
                <w:color w:val="000000"/>
                <w:sz w:val="18"/>
                <w:szCs w:val="18"/>
              </w:rPr>
              <w:t xml:space="preserve"> Seguimiento de los riesgos identificados mediante el procedimiento de cribado social y ambiental e implementación de acciones de mitigación.</w:t>
            </w:r>
            <w:r w:rsidRPr="00A51E75">
              <w:rPr>
                <w:rFonts w:asciiTheme="minorHAnsi" w:hAnsiTheme="minorHAnsi" w:cstheme="minorHAnsi"/>
                <w:color w:val="000000"/>
                <w:sz w:val="18"/>
                <w:szCs w:val="18"/>
              </w:rPr>
              <w:br/>
            </w:r>
            <w:r w:rsidRPr="00A51E75">
              <w:rPr>
                <w:rFonts w:asciiTheme="minorHAnsi" w:hAnsiTheme="minorHAnsi" w:cstheme="minorHAnsi"/>
                <w:b/>
                <w:bCs/>
                <w:color w:val="000000"/>
                <w:sz w:val="18"/>
                <w:szCs w:val="18"/>
              </w:rPr>
              <w:t>5.1.2:</w:t>
            </w:r>
            <w:r w:rsidRPr="00A51E75">
              <w:rPr>
                <w:rFonts w:asciiTheme="minorHAnsi" w:hAnsiTheme="minorHAnsi" w:cstheme="minorHAnsi"/>
                <w:color w:val="000000"/>
                <w:sz w:val="18"/>
                <w:szCs w:val="18"/>
              </w:rPr>
              <w:t xml:space="preserve"> Seguimiento e informe sobre los resultados del proyecto.</w:t>
            </w:r>
            <w:r w:rsidRPr="00A51E75">
              <w:rPr>
                <w:rFonts w:asciiTheme="minorHAnsi" w:hAnsiTheme="minorHAnsi" w:cstheme="minorHAnsi"/>
                <w:color w:val="000000"/>
                <w:sz w:val="18"/>
                <w:szCs w:val="18"/>
              </w:rPr>
              <w:br/>
            </w:r>
            <w:r w:rsidRPr="00A51E75">
              <w:rPr>
                <w:rFonts w:asciiTheme="minorHAnsi" w:hAnsiTheme="minorHAnsi" w:cstheme="minorHAnsi"/>
                <w:b/>
                <w:bCs/>
                <w:color w:val="000000"/>
                <w:sz w:val="18"/>
                <w:szCs w:val="18"/>
              </w:rPr>
              <w:t>5.1.3:</w:t>
            </w:r>
            <w:r w:rsidRPr="00A51E75">
              <w:rPr>
                <w:rFonts w:asciiTheme="minorHAnsi" w:hAnsiTheme="minorHAnsi" w:cstheme="minorHAnsi"/>
                <w:color w:val="000000"/>
                <w:sz w:val="18"/>
                <w:szCs w:val="18"/>
              </w:rPr>
              <w:t xml:space="preserve"> Revisión a mitad de plazo y evaluación final del proyecto.</w:t>
            </w:r>
          </w:p>
        </w:tc>
        <w:tc>
          <w:tcPr>
            <w:tcW w:w="1798" w:type="dxa"/>
          </w:tcPr>
          <w:p w14:paraId="4C5DC944" w14:textId="77777777" w:rsidR="00DB71AF" w:rsidRPr="00D830D9" w:rsidRDefault="00DB71AF" w:rsidP="00DB71AF">
            <w:pPr>
              <w:spacing w:after="60"/>
              <w:jc w:val="both"/>
              <w:rPr>
                <w:rFonts w:asciiTheme="minorHAnsi" w:hAnsiTheme="minorHAnsi" w:cstheme="minorHAnsi"/>
                <w:sz w:val="18"/>
                <w:szCs w:val="18"/>
                <w:lang w:val="es-EC"/>
              </w:rPr>
            </w:pPr>
          </w:p>
        </w:tc>
        <w:tc>
          <w:tcPr>
            <w:tcW w:w="2124" w:type="dxa"/>
          </w:tcPr>
          <w:p w14:paraId="44FF2067" w14:textId="77777777" w:rsidR="00DB71AF" w:rsidRPr="00D830D9" w:rsidRDefault="00DB71AF" w:rsidP="00DB71AF">
            <w:pPr>
              <w:spacing w:after="60"/>
              <w:jc w:val="both"/>
              <w:rPr>
                <w:rFonts w:asciiTheme="minorHAnsi" w:hAnsiTheme="minorHAnsi" w:cstheme="minorHAnsi"/>
                <w:sz w:val="18"/>
                <w:szCs w:val="18"/>
                <w:lang w:val="es-EC"/>
              </w:rPr>
            </w:pPr>
          </w:p>
        </w:tc>
      </w:tr>
      <w:bookmarkEnd w:id="21"/>
    </w:tbl>
    <w:p w14:paraId="23D6C539" w14:textId="77777777" w:rsidR="008A34CA" w:rsidRPr="00D830D9" w:rsidRDefault="008A34CA" w:rsidP="008B6F84">
      <w:pPr>
        <w:spacing w:after="240"/>
        <w:jc w:val="both"/>
        <w:rPr>
          <w:rFonts w:asciiTheme="minorHAnsi" w:eastAsia="SimSun" w:hAnsiTheme="minorHAnsi" w:cstheme="minorHAnsi"/>
          <w:b/>
          <w:bCs/>
          <w:i/>
          <w:iCs/>
          <w:sz w:val="20"/>
          <w:lang w:val="es-EC"/>
        </w:rPr>
      </w:pPr>
    </w:p>
    <w:p w14:paraId="750DCF08" w14:textId="77777777" w:rsidR="008B6F84" w:rsidRPr="00D830D9" w:rsidRDefault="008B6F84" w:rsidP="008B6F84">
      <w:pPr>
        <w:spacing w:after="60"/>
        <w:jc w:val="both"/>
        <w:rPr>
          <w:rFonts w:asciiTheme="minorHAnsi" w:eastAsia="SimSun" w:hAnsiTheme="minorHAnsi" w:cstheme="minorHAnsi"/>
          <w:sz w:val="20"/>
          <w:lang w:val="es-EC"/>
        </w:rPr>
      </w:pPr>
    </w:p>
    <w:p w14:paraId="2DCC5E3E" w14:textId="77777777" w:rsidR="008B6F84" w:rsidRPr="00D830D9" w:rsidRDefault="008B6F84" w:rsidP="008B6F84">
      <w:pPr>
        <w:spacing w:after="60"/>
        <w:jc w:val="both"/>
        <w:rPr>
          <w:rFonts w:asciiTheme="minorHAnsi" w:eastAsia="SimSun" w:hAnsiTheme="minorHAnsi" w:cstheme="minorHAnsi"/>
          <w:sz w:val="20"/>
          <w:lang w:val="es-EC"/>
        </w:rPr>
        <w:sectPr w:rsidR="008B6F84" w:rsidRPr="00D830D9" w:rsidSect="008B6F84">
          <w:pgSz w:w="15840" w:h="12240" w:orient="landscape" w:code="1"/>
          <w:pgMar w:top="720" w:right="720" w:bottom="720" w:left="720" w:header="720" w:footer="432" w:gutter="0"/>
          <w:cols w:space="708"/>
          <w:titlePg/>
          <w:docGrid w:linePitch="360"/>
        </w:sectPr>
      </w:pPr>
    </w:p>
    <w:p w14:paraId="6C2605B9" w14:textId="77777777" w:rsidR="00BB1967" w:rsidRPr="00DE7519" w:rsidRDefault="00BB1967" w:rsidP="00BB1967">
      <w:pPr>
        <w:keepNext/>
        <w:pBdr>
          <w:top w:val="single" w:sz="4" w:space="1" w:color="auto"/>
        </w:pBdr>
        <w:tabs>
          <w:tab w:val="num" w:pos="720"/>
        </w:tabs>
        <w:suppressAutoHyphens/>
        <w:spacing w:after="60"/>
        <w:ind w:left="720" w:hanging="720"/>
        <w:jc w:val="both"/>
        <w:outlineLvl w:val="0"/>
        <w:rPr>
          <w:rFonts w:asciiTheme="minorHAnsi" w:eastAsia="SimSun" w:hAnsiTheme="minorHAnsi" w:cstheme="minorHAnsi"/>
          <w:b/>
          <w:smallCaps/>
          <w:spacing w:val="-2"/>
          <w:sz w:val="28"/>
          <w:szCs w:val="28"/>
        </w:rPr>
      </w:pPr>
      <w:bookmarkStart w:id="31" w:name="_Toc221696298"/>
      <w:bookmarkStart w:id="32" w:name="_Toc207800914"/>
      <w:bookmarkStart w:id="33" w:name="_Toc407785522"/>
      <w:bookmarkEnd w:id="18"/>
      <w:r w:rsidRPr="00DE7519">
        <w:rPr>
          <w:rFonts w:asciiTheme="minorHAnsi" w:eastAsia="SimSun" w:hAnsiTheme="minorHAnsi" w:cstheme="minorHAnsi"/>
          <w:b/>
          <w:smallCaps/>
          <w:spacing w:val="-2"/>
          <w:sz w:val="28"/>
          <w:szCs w:val="28"/>
        </w:rPr>
        <w:lastRenderedPageBreak/>
        <w:t>PLAN DE MONITOREO Y EVALUACIÓN (M&amp;E)</w:t>
      </w:r>
      <w:bookmarkEnd w:id="31"/>
    </w:p>
    <w:p w14:paraId="09B6847E" w14:textId="21A94AAD"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El monitoreo y la evaluación a nivel de proyecto se llevarán a cabo en cumplimiento con los requisitos del PNUD, conforme a lo establecido en el </w:t>
      </w:r>
      <w:r w:rsidRPr="00CF0D41">
        <w:rPr>
          <w:rFonts w:asciiTheme="minorHAnsi" w:hAnsiTheme="minorHAnsi" w:cstheme="minorHAnsi"/>
          <w:i/>
          <w:iCs/>
          <w:sz w:val="20"/>
          <w:szCs w:val="20"/>
        </w:rPr>
        <w:t>POPP del PNUD</w:t>
      </w:r>
      <w:r w:rsidRPr="00CF0D41">
        <w:rPr>
          <w:rFonts w:asciiTheme="minorHAnsi" w:hAnsiTheme="minorHAnsi" w:cstheme="minorHAnsi"/>
          <w:sz w:val="20"/>
          <w:szCs w:val="20"/>
        </w:rPr>
        <w:t> (incluyendo la guía sobre revisiones de proyectos del FMAM) y la </w:t>
      </w:r>
      <w:r w:rsidRPr="00CF0D41">
        <w:rPr>
          <w:rFonts w:asciiTheme="minorHAnsi" w:hAnsiTheme="minorHAnsi" w:cstheme="minorHAnsi"/>
          <w:i/>
          <w:iCs/>
          <w:sz w:val="20"/>
          <w:szCs w:val="20"/>
        </w:rPr>
        <w:t>Política de Evaluación del PNUD</w:t>
      </w:r>
      <w:r w:rsidRPr="00CF0D41">
        <w:rPr>
          <w:rFonts w:asciiTheme="minorHAnsi" w:hAnsiTheme="minorHAnsi" w:cstheme="minorHAnsi"/>
          <w:sz w:val="20"/>
          <w:szCs w:val="20"/>
        </w:rPr>
        <w:t>. La Oficina de País del PNUD es responsable de garantizar el cumplimiento completo de todos los requerimientos del PNUD en cuanto a monitoreo y evaluación del proyecto, incluidos el seguimiento del proyecto, los requisitos de aseguramiento de la calidad del PNUD, la gestión trimestral de riesgos y los requerimientos de evaluación.</w:t>
      </w:r>
    </w:p>
    <w:p w14:paraId="3A059A09" w14:textId="0AF2255D"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Los requisitos adicionales obligatorios específicos del FMAM serán implementados de acuerdo con la </w:t>
      </w:r>
      <w:r w:rsidRPr="00CF0D41">
        <w:rPr>
          <w:rFonts w:asciiTheme="minorHAnsi" w:hAnsiTheme="minorHAnsi" w:cstheme="minorHAnsi"/>
          <w:i/>
          <w:iCs/>
          <w:sz w:val="20"/>
          <w:szCs w:val="20"/>
        </w:rPr>
        <w:t>Política de Monitoreo del FMAM</w:t>
      </w:r>
      <w:r w:rsidRPr="00CF0D41">
        <w:rPr>
          <w:rFonts w:asciiTheme="minorHAnsi" w:hAnsiTheme="minorHAnsi" w:cstheme="minorHAnsi"/>
          <w:sz w:val="20"/>
          <w:szCs w:val="20"/>
        </w:rPr>
        <w:t>, la </w:t>
      </w:r>
      <w:r w:rsidRPr="00CF0D41">
        <w:rPr>
          <w:rFonts w:asciiTheme="minorHAnsi" w:hAnsiTheme="minorHAnsi" w:cstheme="minorHAnsi"/>
          <w:i/>
          <w:iCs/>
          <w:sz w:val="20"/>
          <w:szCs w:val="20"/>
        </w:rPr>
        <w:t>Política de Evaluación del FMAM</w:t>
      </w:r>
      <w:r w:rsidRPr="00CF0D41">
        <w:rPr>
          <w:rFonts w:asciiTheme="minorHAnsi" w:hAnsiTheme="minorHAnsi" w:cstheme="minorHAnsi"/>
          <w:sz w:val="20"/>
          <w:szCs w:val="20"/>
        </w:rPr>
        <w:t> y otras políticas relevantes del FMAM. El plan y presupuesto de M&amp;E detallado a continuación guiará las actividades específicas de M&amp;E requeridas por el FMAM en este proyecto.</w:t>
      </w:r>
    </w:p>
    <w:p w14:paraId="03F310F5" w14:textId="791CDB20"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Además de estos requisitos obligatorios del PNUD y del FMAM, se acordarán otras actividades de M&amp;E consideradas necesarias para apoyar la gestión adaptativa del proyecto, incluyendo aquellas definidas durante el Taller de Inicio del Proyecto, y serán detalladas en el Informe de Inicio.</w:t>
      </w:r>
    </w:p>
    <w:p w14:paraId="1EDE37A2" w14:textId="4F70C672" w:rsidR="00BB1967" w:rsidRDefault="00BB1967" w:rsidP="00BB1967"/>
    <w:p w14:paraId="4E091745" w14:textId="77777777" w:rsidR="00BB1967" w:rsidRDefault="00BB1967" w:rsidP="00CF0D41">
      <w:pPr>
        <w:pStyle w:val="Prrafodelista"/>
        <w:ind w:left="0"/>
        <w:jc w:val="both"/>
        <w:rPr>
          <w:rFonts w:asciiTheme="minorHAnsi" w:hAnsiTheme="minorHAnsi" w:cstheme="minorHAnsi"/>
          <w:b/>
          <w:bCs/>
          <w:sz w:val="20"/>
          <w:szCs w:val="20"/>
        </w:rPr>
      </w:pPr>
      <w:r w:rsidRPr="00CF0D41">
        <w:rPr>
          <w:rFonts w:asciiTheme="minorHAnsi" w:hAnsiTheme="minorHAnsi" w:cstheme="minorHAnsi"/>
          <w:b/>
          <w:bCs/>
          <w:sz w:val="20"/>
          <w:szCs w:val="20"/>
        </w:rPr>
        <w:t>Requisitos mínimos de monitoreo e informes exigidos por el FMAM:</w:t>
      </w:r>
    </w:p>
    <w:p w14:paraId="1EC65B2B" w14:textId="77777777" w:rsidR="00BA0C79" w:rsidRPr="00CF0D41" w:rsidRDefault="00BA0C79" w:rsidP="00CF0D41">
      <w:pPr>
        <w:pStyle w:val="Prrafodelista"/>
        <w:ind w:left="0"/>
        <w:jc w:val="both"/>
        <w:rPr>
          <w:rFonts w:asciiTheme="minorHAnsi" w:hAnsiTheme="minorHAnsi" w:cstheme="minorHAnsi"/>
          <w:b/>
          <w:bCs/>
          <w:sz w:val="20"/>
          <w:szCs w:val="20"/>
        </w:rPr>
      </w:pPr>
    </w:p>
    <w:p w14:paraId="4DCE8E9A" w14:textId="126B1F48"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b/>
          <w:bCs/>
          <w:sz w:val="20"/>
          <w:szCs w:val="20"/>
        </w:rPr>
      </w:pPr>
      <w:r w:rsidRPr="00BA0C79">
        <w:rPr>
          <w:rFonts w:asciiTheme="minorHAnsi" w:hAnsiTheme="minorHAnsi" w:cstheme="minorHAnsi"/>
          <w:b/>
          <w:bCs/>
          <w:sz w:val="20"/>
          <w:szCs w:val="20"/>
        </w:rPr>
        <w:t>Taller e Informe de Inicio del Proyecto</w:t>
      </w:r>
      <w:r w:rsidRPr="00BA0C79">
        <w:rPr>
          <w:rFonts w:asciiTheme="minorHAnsi" w:hAnsiTheme="minorHAnsi" w:cstheme="minorHAnsi"/>
          <w:sz w:val="20"/>
          <w:szCs w:val="20"/>
        </w:rPr>
        <w:t>: Se llevará a cabo un taller de inicio dentro de los dos meses posteriores a la primera fecha de desembolso, con los siguientes objetivos:</w:t>
      </w:r>
    </w:p>
    <w:p w14:paraId="0841904D"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Familiarizar a los actores clave con la estrategia detallada del proyecto y discutir cualquier cambio contextual desde la conceptualización inicial que pudiera afectar su implementación.</w:t>
      </w:r>
    </w:p>
    <w:p w14:paraId="56499218"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Discutir roles y responsabilidades del equipo del proyecto, incluyendo líneas de reporte, estrategias de involucramiento de actores y mecanismos de resolución de conflictos.</w:t>
      </w:r>
    </w:p>
    <w:p w14:paraId="5F767E6E"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Revisar el marco de resultados y el plan de monitoreo.</w:t>
      </w:r>
    </w:p>
    <w:p w14:paraId="5FDD2863"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Definir roles y responsabilidades para los procesos de monitoreo, informes y evaluación; finalizar el presupuesto de M&amp;E; identificar instituciones nacionales o regionales que participarán en el monitoreo del proyecto; y discutir el rol del Punto Focal Operativo del FMAM y otros actores clave.</w:t>
      </w:r>
    </w:p>
    <w:p w14:paraId="4263436B"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Actualizar y revisar responsabilidades para el seguimiento de estrategias del proyecto, incluyendo el registro de riesgos; el informe SESP; el Marco de Gestión Social y Ambiental (si aplica); el mecanismo de quejas; la estrategia de género; la estrategia de gestión del conocimiento, y otras estrategias relevantes.</w:t>
      </w:r>
    </w:p>
    <w:p w14:paraId="751E3776"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Revisar procedimientos de reporte financiero y monitoreo presupuestario, así como otros requisitos obligatorios, y acordar los arreglos para la auditoría anual.</w:t>
      </w:r>
    </w:p>
    <w:p w14:paraId="234290AC"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Planificar y calendarizar las reuniones del Comité Directivo del Proyecto y finalizar el Plan de Trabajo Anual del primer año. Finalizar los Términos de Referencia del Comité Directivo del Proyecto.</w:t>
      </w:r>
    </w:p>
    <w:p w14:paraId="4BB4D20D" w14:textId="77777777" w:rsidR="00BB1967" w:rsidRPr="00CF0D41" w:rsidRDefault="00BB1967" w:rsidP="00EC2CBE">
      <w:pPr>
        <w:numPr>
          <w:ilvl w:val="1"/>
          <w:numId w:val="10"/>
        </w:numPr>
        <w:jc w:val="both"/>
        <w:rPr>
          <w:rFonts w:asciiTheme="minorHAnsi" w:eastAsia="SimSun" w:hAnsiTheme="minorHAnsi" w:cstheme="minorHAnsi"/>
          <w:sz w:val="20"/>
          <w:szCs w:val="20"/>
          <w:lang w:eastAsia="zh-CN"/>
        </w:rPr>
      </w:pPr>
      <w:r w:rsidRPr="00CF0D41">
        <w:rPr>
          <w:rFonts w:asciiTheme="minorHAnsi" w:eastAsia="SimSun" w:hAnsiTheme="minorHAnsi" w:cstheme="minorHAnsi"/>
          <w:sz w:val="20"/>
          <w:szCs w:val="20"/>
          <w:lang w:eastAsia="zh-CN"/>
        </w:rPr>
        <w:t>Lanzamiento oficial del proyecto.</w:t>
      </w:r>
    </w:p>
    <w:p w14:paraId="42206937" w14:textId="2902E830"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b/>
          <w:bCs/>
          <w:sz w:val="20"/>
          <w:szCs w:val="20"/>
        </w:rPr>
        <w:t>Informe de Implementación del Proyecto del FMAM (PIR</w:t>
      </w:r>
      <w:r w:rsidR="00BA0C79">
        <w:rPr>
          <w:rFonts w:asciiTheme="minorHAnsi" w:hAnsiTheme="minorHAnsi" w:cstheme="minorHAnsi"/>
          <w:b/>
          <w:bCs/>
          <w:sz w:val="20"/>
          <w:szCs w:val="20"/>
        </w:rPr>
        <w:t xml:space="preserve"> sigla en inglés</w:t>
      </w:r>
      <w:r w:rsidRPr="00CF0D41">
        <w:rPr>
          <w:rFonts w:asciiTheme="minorHAnsi" w:hAnsiTheme="minorHAnsi" w:cstheme="minorHAnsi"/>
          <w:b/>
          <w:bCs/>
          <w:sz w:val="20"/>
          <w:szCs w:val="20"/>
        </w:rPr>
        <w:t>):</w:t>
      </w:r>
      <w:r w:rsidRPr="00CF0D41">
        <w:rPr>
          <w:rFonts w:asciiTheme="minorHAnsi" w:hAnsiTheme="minorHAnsi" w:cstheme="minorHAnsi"/>
          <w:sz w:val="20"/>
          <w:szCs w:val="20"/>
        </w:rPr>
        <w:t> El PIR anual del FMAM, que cubre el periodo de julio (del año anterior) a junio (del año en curso), será completado cada año durante la implementación del proyecto. El PNUD realizará una revisión de calidad del PIR antes de su envío al FMAM. El PIR enviado será compartido con el Comité Directivo del Proyecto y servirá de insumo para preparar el PIR del siguiente año.</w:t>
      </w:r>
    </w:p>
    <w:p w14:paraId="70713360" w14:textId="291201C1"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b/>
          <w:bCs/>
          <w:sz w:val="20"/>
          <w:szCs w:val="20"/>
        </w:rPr>
        <w:t>Indicadores Básicos del FMAM:</w:t>
      </w:r>
      <w:r w:rsidRPr="00CF0D41">
        <w:rPr>
          <w:rFonts w:asciiTheme="minorHAnsi" w:hAnsiTheme="minorHAnsi" w:cstheme="minorHAnsi"/>
          <w:sz w:val="20"/>
          <w:szCs w:val="20"/>
        </w:rPr>
        <w:t> Se utilizarán los indicadores básicos del FMAM (incluidos en el Anexo 15) para monitorear los Beneficios Ambientales Globales (</w:t>
      </w:r>
      <w:proofErr w:type="spellStart"/>
      <w:r w:rsidR="00CF0D41">
        <w:rPr>
          <w:rFonts w:asciiTheme="minorHAnsi" w:hAnsiTheme="minorHAnsi" w:cstheme="minorHAnsi"/>
          <w:sz w:val="20"/>
          <w:szCs w:val="20"/>
        </w:rPr>
        <w:t>BAGs</w:t>
      </w:r>
      <w:proofErr w:type="spellEnd"/>
      <w:r w:rsidRPr="00CF0D41">
        <w:rPr>
          <w:rFonts w:asciiTheme="minorHAnsi" w:hAnsiTheme="minorHAnsi" w:cstheme="minorHAnsi"/>
          <w:sz w:val="20"/>
          <w:szCs w:val="20"/>
        </w:rPr>
        <w:t>) y se actualizarán antes de la Revisión Intermedia (MTR) y la Evaluación Final (TE). El equipo del proyecto será responsable de actualizar estos indicadores y compartir los datos con los consultores de la MTR/TE antes de sus misiones evaluativas. Las metodologías de recolección están definidas por el FMAM y disponibles en su sitio web. Se ha preparado la herramienta METT (Herramienta de Seguimiento de la Efectividad de la Gestión) y sus puntajes se han incluido en los indicadores básicos del FMAM.</w:t>
      </w:r>
    </w:p>
    <w:p w14:paraId="41CCE642" w14:textId="717A8F8D"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 xml:space="preserve">Revisión Independiente </w:t>
      </w:r>
      <w:r w:rsidR="00BA0C79">
        <w:rPr>
          <w:rFonts w:asciiTheme="minorHAnsi" w:hAnsiTheme="minorHAnsi" w:cstheme="minorHAnsi"/>
          <w:sz w:val="20"/>
          <w:szCs w:val="20"/>
        </w:rPr>
        <w:t xml:space="preserve">de </w:t>
      </w:r>
      <w:r w:rsidR="00CF0D41">
        <w:rPr>
          <w:rFonts w:asciiTheme="minorHAnsi" w:hAnsiTheme="minorHAnsi" w:cstheme="minorHAnsi"/>
          <w:sz w:val="20"/>
          <w:szCs w:val="20"/>
        </w:rPr>
        <w:t xml:space="preserve">Medio Termino </w:t>
      </w:r>
      <w:r w:rsidRPr="00CF0D41">
        <w:rPr>
          <w:rFonts w:asciiTheme="minorHAnsi" w:hAnsiTheme="minorHAnsi" w:cstheme="minorHAnsi"/>
          <w:sz w:val="20"/>
          <w:szCs w:val="20"/>
        </w:rPr>
        <w:t>(</w:t>
      </w:r>
      <w:r w:rsidR="00CF0D41">
        <w:rPr>
          <w:rFonts w:asciiTheme="minorHAnsi" w:hAnsiTheme="minorHAnsi" w:cstheme="minorHAnsi"/>
          <w:sz w:val="20"/>
          <w:szCs w:val="20"/>
        </w:rPr>
        <w:t>RMT</w:t>
      </w:r>
      <w:r w:rsidRPr="00CF0D41">
        <w:rPr>
          <w:rFonts w:asciiTheme="minorHAnsi" w:hAnsiTheme="minorHAnsi" w:cstheme="minorHAnsi"/>
          <w:sz w:val="20"/>
          <w:szCs w:val="20"/>
        </w:rPr>
        <w:t xml:space="preserve">): Se realizará una Revisión Intermedia Independiente hacia la mitad del proyecto. Los términos de referencia, el proceso de la </w:t>
      </w:r>
      <w:r w:rsidR="00CF0D41">
        <w:rPr>
          <w:rFonts w:asciiTheme="minorHAnsi" w:hAnsiTheme="minorHAnsi" w:cstheme="minorHAnsi"/>
          <w:sz w:val="20"/>
          <w:szCs w:val="20"/>
        </w:rPr>
        <w:t>RMT</w:t>
      </w:r>
      <w:r w:rsidRPr="00CF0D41">
        <w:rPr>
          <w:rFonts w:asciiTheme="minorHAnsi" w:hAnsiTheme="minorHAnsi" w:cstheme="minorHAnsi"/>
          <w:sz w:val="20"/>
          <w:szCs w:val="20"/>
        </w:rPr>
        <w:t xml:space="preserve"> y el informe final seguirán los formatos y lineamientos estándar para proyectos del FMAM con apoyo del PNUD, disponibles en el </w:t>
      </w:r>
      <w:r w:rsidRPr="00CF0D41">
        <w:rPr>
          <w:rFonts w:asciiTheme="minorHAnsi" w:hAnsiTheme="minorHAnsi" w:cstheme="minorHAnsi"/>
          <w:i/>
          <w:iCs/>
          <w:sz w:val="20"/>
          <w:szCs w:val="20"/>
        </w:rPr>
        <w:t>Centro de Recursos de Evaluación del PNUD</w:t>
      </w:r>
      <w:r w:rsidRPr="00CF0D41">
        <w:rPr>
          <w:rFonts w:asciiTheme="minorHAnsi" w:hAnsiTheme="minorHAnsi" w:cstheme="minorHAnsi"/>
          <w:sz w:val="20"/>
          <w:szCs w:val="20"/>
        </w:rPr>
        <w:t xml:space="preserve">. La </w:t>
      </w:r>
      <w:r w:rsidR="00CF0D41">
        <w:rPr>
          <w:rFonts w:asciiTheme="minorHAnsi" w:hAnsiTheme="minorHAnsi" w:cstheme="minorHAnsi"/>
          <w:sz w:val="20"/>
          <w:szCs w:val="20"/>
        </w:rPr>
        <w:t>RMT</w:t>
      </w:r>
      <w:r w:rsidRPr="00CF0D41">
        <w:rPr>
          <w:rFonts w:asciiTheme="minorHAnsi" w:hAnsiTheme="minorHAnsi" w:cstheme="minorHAnsi"/>
          <w:sz w:val="20"/>
          <w:szCs w:val="20"/>
        </w:rPr>
        <w:t xml:space="preserve"> debe presentarse al FMAM a la mitad del proyecto, pero no más allá de los 48 meses después de la aprobación por parte del CEO del FMAM.</w:t>
      </w:r>
    </w:p>
    <w:p w14:paraId="6CAA3988" w14:textId="48FD91E6" w:rsidR="00BB1967" w:rsidRPr="00943C92"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lastRenderedPageBreak/>
        <w:t xml:space="preserve">Se deberán prever disposiciones para completar y presentar la </w:t>
      </w:r>
      <w:r w:rsidR="00CF0D41">
        <w:rPr>
          <w:rFonts w:asciiTheme="minorHAnsi" w:hAnsiTheme="minorHAnsi" w:cstheme="minorHAnsi"/>
          <w:sz w:val="20"/>
          <w:szCs w:val="20"/>
        </w:rPr>
        <w:t>RMT</w:t>
      </w:r>
      <w:r w:rsidRPr="00CF0D41">
        <w:rPr>
          <w:rFonts w:asciiTheme="minorHAnsi" w:hAnsiTheme="minorHAnsi" w:cstheme="minorHAnsi"/>
          <w:sz w:val="20"/>
          <w:szCs w:val="20"/>
        </w:rPr>
        <w:t xml:space="preserve"> dentro del plazo. Por tanto, el proceso deberá iniciarse al menos 8 meses antes de la fecha de presentación esperada</w:t>
      </w:r>
      <w:r w:rsidRPr="00943C92">
        <w:rPr>
          <w:rFonts w:asciiTheme="minorHAnsi" w:hAnsiTheme="minorHAnsi" w:cstheme="minorHAnsi"/>
          <w:sz w:val="20"/>
          <w:szCs w:val="20"/>
        </w:rPr>
        <w:t>.</w:t>
      </w:r>
    </w:p>
    <w:p w14:paraId="25484CF3" w14:textId="462BE92C"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b/>
          <w:bCs/>
          <w:sz w:val="20"/>
          <w:szCs w:val="20"/>
        </w:rPr>
        <w:t>Evaluación Final Independiente (</w:t>
      </w:r>
      <w:r w:rsidR="00CF0D41">
        <w:rPr>
          <w:rFonts w:asciiTheme="minorHAnsi" w:hAnsiTheme="minorHAnsi" w:cstheme="minorHAnsi"/>
          <w:b/>
          <w:bCs/>
          <w:sz w:val="20"/>
          <w:szCs w:val="20"/>
        </w:rPr>
        <w:t>EFI</w:t>
      </w:r>
      <w:r w:rsidRPr="00CF0D41">
        <w:rPr>
          <w:rFonts w:asciiTheme="minorHAnsi" w:hAnsiTheme="minorHAnsi" w:cstheme="minorHAnsi"/>
          <w:b/>
          <w:bCs/>
          <w:sz w:val="20"/>
          <w:szCs w:val="20"/>
        </w:rPr>
        <w:t>):</w:t>
      </w:r>
      <w:r w:rsidRPr="00CF0D41">
        <w:rPr>
          <w:rFonts w:asciiTheme="minorHAnsi" w:hAnsiTheme="minorHAnsi" w:cstheme="minorHAnsi"/>
          <w:sz w:val="20"/>
          <w:szCs w:val="20"/>
        </w:rPr>
        <w:t xml:space="preserve"> Se llevará a cabo una Evaluación Final Independiente una vez que se hayan completado los principales productos y actividades del proyecto. Sus términos de referencia, proceso e informe final seguirán los formatos y guías estándar del FMAM/PNUD. La </w:t>
      </w:r>
      <w:r w:rsidR="00CF0D41">
        <w:rPr>
          <w:rFonts w:asciiTheme="minorHAnsi" w:hAnsiTheme="minorHAnsi" w:cstheme="minorHAnsi"/>
          <w:sz w:val="20"/>
          <w:szCs w:val="20"/>
        </w:rPr>
        <w:t>EFI</w:t>
      </w:r>
      <w:r w:rsidRPr="00CF0D41">
        <w:rPr>
          <w:rFonts w:asciiTheme="minorHAnsi" w:hAnsiTheme="minorHAnsi" w:cstheme="minorHAnsi"/>
          <w:sz w:val="20"/>
          <w:szCs w:val="20"/>
        </w:rPr>
        <w:t xml:space="preserve"> debe ser entregada al FMAM como máximo 6 meses después del cierre del proyecto. Esta fecha es obligatoria y sólo puede ser modificada mediante una solicitud formal.</w:t>
      </w:r>
    </w:p>
    <w:p w14:paraId="61BCD939" w14:textId="76BA08D1"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 xml:space="preserve">Se deben prever disposiciones para comenzar la </w:t>
      </w:r>
      <w:r w:rsidR="00CF0D41">
        <w:rPr>
          <w:rFonts w:asciiTheme="minorHAnsi" w:hAnsiTheme="minorHAnsi" w:cstheme="minorHAnsi"/>
          <w:sz w:val="20"/>
          <w:szCs w:val="20"/>
        </w:rPr>
        <w:t>EFI</w:t>
      </w:r>
      <w:r w:rsidRPr="00CF0D41">
        <w:rPr>
          <w:rFonts w:asciiTheme="minorHAnsi" w:hAnsiTheme="minorHAnsi" w:cstheme="minorHAnsi"/>
          <w:sz w:val="20"/>
          <w:szCs w:val="20"/>
        </w:rPr>
        <w:t xml:space="preserve"> al menos 8 meses antes de su fecha de entrega (o 11 meses antes de la fecha estimada de cierre operativo).</w:t>
      </w:r>
    </w:p>
    <w:p w14:paraId="24E63C78" w14:textId="7F99E2F8"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La evaluación será “independiente, imparcial y rigurosa.” Los evaluadores contratados por el PNUD deben ser ajenos a cualquier organización involucrada en el diseño, implementación o asesoría del proyecto, y no deberán tener posibilidad de contratarse para trabajos futuros relacionados con el proyecto evaluado.</w:t>
      </w:r>
    </w:p>
    <w:p w14:paraId="2FAA9C7D" w14:textId="3FD2A975"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 xml:space="preserve">El Punto Focal Operativo del FMAM y otros actores relevantes serán consultados e involucrados activamente en el proceso de la </w:t>
      </w:r>
      <w:r w:rsidR="00CF0D41">
        <w:rPr>
          <w:rFonts w:asciiTheme="minorHAnsi" w:hAnsiTheme="minorHAnsi" w:cstheme="minorHAnsi"/>
          <w:sz w:val="20"/>
          <w:szCs w:val="20"/>
        </w:rPr>
        <w:t>EFI</w:t>
      </w:r>
      <w:r w:rsidRPr="00CF0D41">
        <w:rPr>
          <w:rFonts w:asciiTheme="minorHAnsi" w:hAnsiTheme="minorHAnsi" w:cstheme="minorHAnsi"/>
          <w:sz w:val="20"/>
          <w:szCs w:val="20"/>
        </w:rPr>
        <w:t xml:space="preserve">. El equipo </w:t>
      </w:r>
      <w:r w:rsidR="00CC1270" w:rsidRPr="00CC1270">
        <w:rPr>
          <w:rFonts w:asciiTheme="minorHAnsi" w:hAnsiTheme="minorHAnsi" w:cstheme="minorHAnsi"/>
          <w:sz w:val="20"/>
          <w:szCs w:val="20"/>
        </w:rPr>
        <w:t>Naturaleza, Clima y Energía</w:t>
      </w:r>
      <w:r w:rsidR="00494E45">
        <w:rPr>
          <w:rFonts w:asciiTheme="minorHAnsi" w:hAnsiTheme="minorHAnsi" w:cstheme="minorHAnsi"/>
          <w:sz w:val="20"/>
          <w:szCs w:val="20"/>
        </w:rPr>
        <w:t xml:space="preserve"> (NCE</w:t>
      </w:r>
      <w:r w:rsidR="00CC1270" w:rsidRPr="00CC1270">
        <w:rPr>
          <w:rFonts w:asciiTheme="minorHAnsi" w:hAnsiTheme="minorHAnsi" w:cstheme="minorHAnsi"/>
          <w:sz w:val="20"/>
          <w:szCs w:val="20"/>
        </w:rPr>
        <w:t>), que forma parte del BPPS (</w:t>
      </w:r>
      <w:r w:rsidR="00CC1270" w:rsidRPr="00CC1270">
        <w:rPr>
          <w:rFonts w:asciiTheme="minorHAnsi" w:hAnsiTheme="minorHAnsi" w:cstheme="minorHAnsi"/>
          <w:i/>
          <w:iCs/>
          <w:sz w:val="20"/>
          <w:szCs w:val="20"/>
        </w:rPr>
        <w:t xml:space="preserve">Bureau for </w:t>
      </w:r>
      <w:proofErr w:type="spellStart"/>
      <w:r w:rsidR="00CC1270" w:rsidRPr="00CC1270">
        <w:rPr>
          <w:rFonts w:asciiTheme="minorHAnsi" w:hAnsiTheme="minorHAnsi" w:cstheme="minorHAnsi"/>
          <w:i/>
          <w:iCs/>
          <w:sz w:val="20"/>
          <w:szCs w:val="20"/>
        </w:rPr>
        <w:t>Policy</w:t>
      </w:r>
      <w:proofErr w:type="spellEnd"/>
      <w:r w:rsidR="00CC1270" w:rsidRPr="00CC1270">
        <w:rPr>
          <w:rFonts w:asciiTheme="minorHAnsi" w:hAnsiTheme="minorHAnsi" w:cstheme="minorHAnsi"/>
          <w:i/>
          <w:iCs/>
          <w:sz w:val="20"/>
          <w:szCs w:val="20"/>
        </w:rPr>
        <w:t xml:space="preserve"> and Programme Support</w:t>
      </w:r>
      <w:r w:rsidR="00CC1270" w:rsidRPr="00CC1270">
        <w:rPr>
          <w:rFonts w:asciiTheme="minorHAnsi" w:hAnsiTheme="minorHAnsi" w:cstheme="minorHAnsi"/>
          <w:sz w:val="20"/>
          <w:szCs w:val="20"/>
        </w:rPr>
        <w:t> o Buró de Apoyo a Políticas y Programas) del PNUD</w:t>
      </w:r>
      <w:r w:rsidRPr="00CC1270">
        <w:rPr>
          <w:rFonts w:asciiTheme="minorHAnsi" w:hAnsiTheme="minorHAnsi" w:cstheme="minorHAnsi"/>
          <w:sz w:val="20"/>
          <w:szCs w:val="20"/>
        </w:rPr>
        <w:t xml:space="preserve"> brind</w:t>
      </w:r>
      <w:r w:rsidRPr="00CF0D41">
        <w:rPr>
          <w:rFonts w:asciiTheme="minorHAnsi" w:hAnsiTheme="minorHAnsi" w:cstheme="minorHAnsi"/>
          <w:sz w:val="20"/>
          <w:szCs w:val="20"/>
        </w:rPr>
        <w:t>ará apoyo adicional de aseguramiento de calidad.</w:t>
      </w:r>
    </w:p>
    <w:p w14:paraId="3F423988" w14:textId="3B7E8EE4"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 xml:space="preserve">El informe final de la </w:t>
      </w:r>
      <w:r w:rsidR="00CF0D41">
        <w:rPr>
          <w:rFonts w:asciiTheme="minorHAnsi" w:hAnsiTheme="minorHAnsi" w:cstheme="minorHAnsi"/>
          <w:sz w:val="20"/>
          <w:szCs w:val="20"/>
        </w:rPr>
        <w:t>EFI</w:t>
      </w:r>
      <w:r w:rsidRPr="00CF0D41">
        <w:rPr>
          <w:rFonts w:asciiTheme="minorHAnsi" w:hAnsiTheme="minorHAnsi" w:cstheme="minorHAnsi"/>
          <w:sz w:val="20"/>
          <w:szCs w:val="20"/>
        </w:rPr>
        <w:t xml:space="preserve"> estará disponible públicamente en inglés en el </w:t>
      </w:r>
      <w:r w:rsidRPr="00CF0D41">
        <w:rPr>
          <w:rFonts w:asciiTheme="minorHAnsi" w:hAnsiTheme="minorHAnsi" w:cstheme="minorHAnsi"/>
          <w:i/>
          <w:iCs/>
          <w:sz w:val="20"/>
          <w:szCs w:val="20"/>
        </w:rPr>
        <w:t>Centro de Recursos de Evaluación (ERC)</w:t>
      </w:r>
      <w:r w:rsidRPr="00CF0D41">
        <w:rPr>
          <w:rFonts w:asciiTheme="minorHAnsi" w:hAnsiTheme="minorHAnsi" w:cstheme="minorHAnsi"/>
          <w:sz w:val="20"/>
          <w:szCs w:val="20"/>
        </w:rPr>
        <w:t>del PNUD. La respuesta de gestión a sus recomendaciones será publicada en ese mismo portal dentro de las seis semanas siguientes a su entrega.</w:t>
      </w:r>
    </w:p>
    <w:p w14:paraId="6AA5F33D" w14:textId="0FD3964C"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sz w:val="20"/>
          <w:szCs w:val="20"/>
        </w:rPr>
        <w:t xml:space="preserve">Según los requisitos del FMAM, los proyectos de tamaño completo cancelados deberán contar con una </w:t>
      </w:r>
      <w:r w:rsidR="00CF0D41">
        <w:rPr>
          <w:rFonts w:asciiTheme="minorHAnsi" w:hAnsiTheme="minorHAnsi" w:cstheme="minorHAnsi"/>
          <w:sz w:val="20"/>
          <w:szCs w:val="20"/>
        </w:rPr>
        <w:t>EFI</w:t>
      </w:r>
      <w:r w:rsidRPr="00CF0D41">
        <w:rPr>
          <w:rFonts w:asciiTheme="minorHAnsi" w:hAnsiTheme="minorHAnsi" w:cstheme="minorHAnsi"/>
          <w:sz w:val="20"/>
          <w:szCs w:val="20"/>
        </w:rPr>
        <w:t xml:space="preserve"> si el desembolso del FMAM supera los 2 millones de USD.</w:t>
      </w:r>
    </w:p>
    <w:p w14:paraId="7B716D62" w14:textId="269D3DE9" w:rsidR="00BB1967" w:rsidRPr="00CF0D41" w:rsidRDefault="00BB1967" w:rsidP="00EC2CBE">
      <w:pPr>
        <w:pStyle w:val="Prrafodelista"/>
        <w:numPr>
          <w:ilvl w:val="0"/>
          <w:numId w:val="3"/>
        </w:numPr>
        <w:tabs>
          <w:tab w:val="clear" w:pos="360"/>
          <w:tab w:val="num" w:pos="0"/>
        </w:tabs>
        <w:ind w:left="0" w:hanging="502"/>
        <w:jc w:val="both"/>
        <w:rPr>
          <w:rFonts w:asciiTheme="minorHAnsi" w:hAnsiTheme="minorHAnsi" w:cstheme="minorHAnsi"/>
          <w:sz w:val="20"/>
          <w:szCs w:val="20"/>
        </w:rPr>
      </w:pPr>
      <w:r w:rsidRPr="00CF0D41">
        <w:rPr>
          <w:rFonts w:asciiTheme="minorHAnsi" w:hAnsiTheme="minorHAnsi" w:cstheme="minorHAnsi"/>
          <w:b/>
          <w:bCs/>
          <w:sz w:val="20"/>
          <w:szCs w:val="20"/>
        </w:rPr>
        <w:t>Informe Final:</w:t>
      </w:r>
      <w:r w:rsidRPr="00CF0D41">
        <w:rPr>
          <w:rFonts w:asciiTheme="minorHAnsi" w:hAnsiTheme="minorHAnsi" w:cstheme="minorHAnsi"/>
          <w:sz w:val="20"/>
          <w:szCs w:val="20"/>
        </w:rPr>
        <w:t xml:space="preserve"> El PIR final, junto con el informe de la </w:t>
      </w:r>
      <w:r w:rsidR="00CF0D41">
        <w:rPr>
          <w:rFonts w:asciiTheme="minorHAnsi" w:hAnsiTheme="minorHAnsi" w:cstheme="minorHAnsi"/>
          <w:sz w:val="20"/>
          <w:szCs w:val="20"/>
        </w:rPr>
        <w:t>EFI</w:t>
      </w:r>
      <w:r w:rsidRPr="00CF0D41">
        <w:rPr>
          <w:rFonts w:asciiTheme="minorHAnsi" w:hAnsiTheme="minorHAnsi" w:cstheme="minorHAnsi"/>
          <w:sz w:val="20"/>
          <w:szCs w:val="20"/>
        </w:rPr>
        <w:t xml:space="preserve"> y la respuesta de gestión correspondiente, constituirán el paquete final de reportes del proyecto. Este paquete será discutido con el Comité Directivo del Proyecto en una reunión de cierre, para compartir lecciones aprendidas y oportunidades de escalamiento.</w:t>
      </w:r>
    </w:p>
    <w:p w14:paraId="5C536890" w14:textId="77777777" w:rsidR="00BB1967" w:rsidRDefault="00BB1967" w:rsidP="008B6F84">
      <w:pPr>
        <w:jc w:val="both"/>
        <w:rPr>
          <w:rFonts w:asciiTheme="minorHAnsi" w:eastAsia="SimSun" w:hAnsiTheme="minorHAnsi" w:cstheme="minorHAnsi"/>
          <w:b/>
          <w:i/>
          <w:sz w:val="20"/>
          <w:lang w:val="es-EC" w:eastAsia="zh-CN"/>
        </w:rPr>
      </w:pPr>
    </w:p>
    <w:p w14:paraId="73FBB603" w14:textId="77777777" w:rsidR="00BB1967" w:rsidRDefault="00BB1967" w:rsidP="008B6F84">
      <w:pPr>
        <w:jc w:val="both"/>
        <w:rPr>
          <w:rFonts w:asciiTheme="minorHAnsi" w:eastAsia="SimSun" w:hAnsiTheme="minorHAnsi" w:cstheme="minorHAnsi"/>
          <w:b/>
          <w:i/>
          <w:sz w:val="20"/>
          <w:lang w:val="es-EC" w:eastAsia="zh-CN"/>
        </w:rPr>
      </w:pPr>
    </w:p>
    <w:p w14:paraId="1A77C52D" w14:textId="77777777" w:rsidR="00BB1967" w:rsidRDefault="00BB1967" w:rsidP="008B6F84">
      <w:pPr>
        <w:jc w:val="both"/>
        <w:rPr>
          <w:rFonts w:asciiTheme="minorHAnsi" w:eastAsia="SimSun" w:hAnsiTheme="minorHAnsi" w:cstheme="minorHAnsi"/>
          <w:b/>
          <w:i/>
          <w:sz w:val="20"/>
          <w:lang w:val="es-EC" w:eastAsia="zh-CN"/>
        </w:rPr>
      </w:pPr>
    </w:p>
    <w:p w14:paraId="04F5B963" w14:textId="77777777" w:rsidR="00BB1967" w:rsidRPr="00D830D9" w:rsidRDefault="00BB1967" w:rsidP="008B6F84">
      <w:pPr>
        <w:jc w:val="both"/>
        <w:rPr>
          <w:rFonts w:asciiTheme="minorHAnsi" w:eastAsia="SimSun" w:hAnsiTheme="minorHAnsi" w:cstheme="minorHAnsi"/>
          <w:b/>
          <w:i/>
          <w:sz w:val="20"/>
          <w:lang w:val="es-EC" w:eastAsia="zh-CN"/>
        </w:rPr>
      </w:pPr>
    </w:p>
    <w:p w14:paraId="2E9B6A1C" w14:textId="0CB7622D" w:rsidR="003F7D8D" w:rsidRPr="00D830D9" w:rsidRDefault="003F7D8D" w:rsidP="00494E45">
      <w:pPr>
        <w:pStyle w:val="Prrafodelista"/>
        <w:ind w:left="0"/>
        <w:jc w:val="both"/>
        <w:rPr>
          <w:rFonts w:asciiTheme="minorHAnsi" w:eastAsia="SimSun" w:hAnsiTheme="minorHAnsi" w:cstheme="minorHAnsi"/>
          <w:sz w:val="20"/>
          <w:szCs w:val="20"/>
          <w:lang w:val="es-EC" w:eastAsia="zh-CN"/>
        </w:rPr>
      </w:pPr>
    </w:p>
    <w:p w14:paraId="5FB96AC0" w14:textId="77777777" w:rsidR="008B6F84" w:rsidRDefault="008B6F84" w:rsidP="008B6F84">
      <w:pPr>
        <w:spacing w:after="60"/>
        <w:jc w:val="both"/>
        <w:rPr>
          <w:rFonts w:asciiTheme="minorHAnsi" w:eastAsia="SimSun" w:hAnsiTheme="minorHAnsi" w:cstheme="minorHAnsi"/>
          <w:sz w:val="20"/>
          <w:szCs w:val="20"/>
          <w:lang w:val="es-EC" w:eastAsia="zh-CN"/>
        </w:rPr>
      </w:pPr>
    </w:p>
    <w:p w14:paraId="4B3092D1" w14:textId="77777777" w:rsidR="00BB1967" w:rsidRDefault="00BB1967" w:rsidP="008B6F84">
      <w:pPr>
        <w:spacing w:after="60"/>
        <w:jc w:val="both"/>
        <w:rPr>
          <w:rFonts w:asciiTheme="minorHAnsi" w:eastAsia="SimSun" w:hAnsiTheme="minorHAnsi" w:cstheme="minorHAnsi"/>
          <w:sz w:val="20"/>
          <w:szCs w:val="20"/>
          <w:lang w:val="es-EC" w:eastAsia="zh-CN"/>
        </w:rPr>
      </w:pPr>
    </w:p>
    <w:p w14:paraId="687EB1CE" w14:textId="77777777" w:rsidR="00BB1967" w:rsidRPr="00D830D9" w:rsidRDefault="00BB1967" w:rsidP="008B6F84">
      <w:pPr>
        <w:spacing w:after="60"/>
        <w:jc w:val="both"/>
        <w:rPr>
          <w:rFonts w:asciiTheme="minorHAnsi" w:eastAsia="SimSun" w:hAnsiTheme="minorHAnsi" w:cstheme="minorHAnsi"/>
          <w:sz w:val="20"/>
          <w:lang w:val="es-EC"/>
        </w:rPr>
        <w:sectPr w:rsidR="00BB1967" w:rsidRPr="00D830D9" w:rsidSect="008B6F84">
          <w:headerReference w:type="default" r:id="rId17"/>
          <w:footerReference w:type="default" r:id="rId18"/>
          <w:pgSz w:w="12240" w:h="15840" w:code="1"/>
          <w:pgMar w:top="1440" w:right="1440" w:bottom="1440" w:left="1440" w:header="720" w:footer="432" w:gutter="0"/>
          <w:cols w:space="708"/>
          <w:titlePg/>
          <w:docGrid w:linePitch="360"/>
        </w:sectPr>
      </w:pPr>
    </w:p>
    <w:p w14:paraId="1A2D3B8A" w14:textId="29B83C5A" w:rsidR="008E2E09" w:rsidRPr="00A51E75" w:rsidRDefault="008E2E09" w:rsidP="008E2E09">
      <w:pPr>
        <w:pStyle w:val="Descripcin"/>
        <w:keepNext/>
        <w:jc w:val="center"/>
        <w:rPr>
          <w:rFonts w:asciiTheme="minorHAnsi" w:hAnsiTheme="minorHAnsi" w:cstheme="minorHAnsi"/>
        </w:rPr>
      </w:pPr>
      <w:bookmarkStart w:id="34" w:name="_Toc201073150"/>
      <w:r w:rsidRPr="00A51E75">
        <w:rPr>
          <w:rFonts w:asciiTheme="minorHAnsi" w:hAnsiTheme="minorHAnsi" w:cstheme="minorHAnsi"/>
        </w:rPr>
        <w:lastRenderedPageBreak/>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5</w:t>
      </w:r>
      <w:r w:rsidRPr="00A51E75">
        <w:rPr>
          <w:rFonts w:asciiTheme="minorHAnsi" w:hAnsiTheme="minorHAnsi" w:cstheme="minorHAnsi"/>
        </w:rPr>
        <w:fldChar w:fldCharType="end"/>
      </w:r>
      <w:r w:rsidRPr="00A51E75">
        <w:rPr>
          <w:rFonts w:asciiTheme="minorHAnsi" w:hAnsiTheme="minorHAnsi" w:cstheme="minorHAnsi"/>
        </w:rPr>
        <w:t>: Plan de Seguimiento</w:t>
      </w:r>
      <w:bookmarkEnd w:id="3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1326"/>
        <w:gridCol w:w="1155"/>
        <w:gridCol w:w="1834"/>
        <w:gridCol w:w="1622"/>
        <w:gridCol w:w="1789"/>
        <w:gridCol w:w="1682"/>
        <w:gridCol w:w="1562"/>
        <w:gridCol w:w="1980"/>
      </w:tblGrid>
      <w:tr w:rsidR="00311AB5" w:rsidRPr="00A51E75" w14:paraId="49B2BAA8" w14:textId="77777777" w:rsidTr="1D9DC7A6">
        <w:trPr>
          <w:trHeight w:val="20"/>
          <w:tblHeader/>
        </w:trPr>
        <w:tc>
          <w:tcPr>
            <w:tcW w:w="5000" w:type="pct"/>
            <w:gridSpan w:val="8"/>
            <w:shd w:val="clear" w:color="auto" w:fill="D9D9D9" w:themeFill="background1" w:themeFillShade="D9"/>
            <w:vAlign w:val="center"/>
          </w:tcPr>
          <w:p w14:paraId="55C6E101" w14:textId="77777777" w:rsidR="00311AB5" w:rsidRPr="00A51E75" w:rsidRDefault="00311AB5" w:rsidP="00A42B51">
            <w:pPr>
              <w:spacing w:after="60"/>
              <w:jc w:val="both"/>
              <w:rPr>
                <w:rFonts w:asciiTheme="minorHAnsi" w:hAnsiTheme="minorHAnsi" w:cstheme="minorHAnsi"/>
                <w:b/>
                <w:sz w:val="18"/>
                <w:szCs w:val="18"/>
              </w:rPr>
            </w:pPr>
            <w:bookmarkStart w:id="35" w:name="_Toc10449648"/>
            <w:r w:rsidRPr="00A51E75">
              <w:rPr>
                <w:rFonts w:asciiTheme="minorHAnsi" w:hAnsiTheme="minorHAnsi" w:cstheme="minorHAnsi"/>
                <w:b/>
                <w:sz w:val="18"/>
                <w:szCs w:val="18"/>
              </w:rPr>
              <w:t>Actividad de monitorización</w:t>
            </w:r>
          </w:p>
        </w:tc>
      </w:tr>
      <w:tr w:rsidR="000B1A69" w:rsidRPr="00A51E75" w14:paraId="5801D998" w14:textId="77777777" w:rsidTr="1D9DC7A6">
        <w:trPr>
          <w:trHeight w:val="20"/>
          <w:tblHeader/>
        </w:trPr>
        <w:tc>
          <w:tcPr>
            <w:tcW w:w="531" w:type="pct"/>
            <w:shd w:val="clear" w:color="auto" w:fill="D9D9D9" w:themeFill="background1" w:themeFillShade="D9"/>
            <w:vAlign w:val="center"/>
          </w:tcPr>
          <w:p w14:paraId="68AF89F5" w14:textId="77777777" w:rsidR="00311AB5" w:rsidRPr="00A51E75" w:rsidRDefault="00311AB5" w:rsidP="00A42B51">
            <w:pPr>
              <w:spacing w:after="60"/>
              <w:rPr>
                <w:rFonts w:asciiTheme="minorHAnsi" w:hAnsiTheme="minorHAnsi" w:cstheme="minorHAnsi"/>
                <w:b/>
                <w:sz w:val="18"/>
                <w:szCs w:val="18"/>
              </w:rPr>
            </w:pPr>
            <w:bookmarkStart w:id="36" w:name="_Hlk193956072"/>
          </w:p>
        </w:tc>
        <w:tc>
          <w:tcPr>
            <w:tcW w:w="410" w:type="pct"/>
            <w:shd w:val="clear" w:color="auto" w:fill="D9D9D9" w:themeFill="background1" w:themeFillShade="D9"/>
            <w:vAlign w:val="center"/>
          </w:tcPr>
          <w:p w14:paraId="314C6E6C"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Seguimiento de resultados</w:t>
            </w:r>
          </w:p>
        </w:tc>
        <w:tc>
          <w:tcPr>
            <w:tcW w:w="727" w:type="pct"/>
            <w:shd w:val="clear" w:color="auto" w:fill="D9D9D9" w:themeFill="background1" w:themeFillShade="D9"/>
            <w:vAlign w:val="center"/>
          </w:tcPr>
          <w:p w14:paraId="5C34E6B8"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Indicadores</w:t>
            </w:r>
          </w:p>
        </w:tc>
        <w:tc>
          <w:tcPr>
            <w:tcW w:w="600" w:type="pct"/>
            <w:shd w:val="clear" w:color="auto" w:fill="D9D9D9" w:themeFill="background1" w:themeFillShade="D9"/>
            <w:vAlign w:val="center"/>
          </w:tcPr>
          <w:p w14:paraId="7484179A" w14:textId="77777777" w:rsidR="00311AB5" w:rsidRPr="00A51E75" w:rsidRDefault="00311AB5" w:rsidP="00A42B51">
            <w:pPr>
              <w:spacing w:after="60"/>
              <w:jc w:val="both"/>
              <w:rPr>
                <w:rFonts w:asciiTheme="minorHAnsi" w:hAnsiTheme="minorHAnsi" w:cstheme="minorHAnsi"/>
                <w:b/>
                <w:sz w:val="18"/>
                <w:szCs w:val="18"/>
              </w:rPr>
            </w:pPr>
          </w:p>
          <w:p w14:paraId="0A8A6B54"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Objetivos</w:t>
            </w:r>
          </w:p>
        </w:tc>
        <w:tc>
          <w:tcPr>
            <w:tcW w:w="692" w:type="pct"/>
            <w:shd w:val="clear" w:color="auto" w:fill="D9D9D9" w:themeFill="background1" w:themeFillShade="D9"/>
            <w:vAlign w:val="center"/>
          </w:tcPr>
          <w:p w14:paraId="7B443D12" w14:textId="77777777" w:rsidR="00311AB5" w:rsidRPr="00A51E75" w:rsidRDefault="00311AB5" w:rsidP="00A42B51">
            <w:pPr>
              <w:spacing w:after="60"/>
              <w:jc w:val="both"/>
              <w:rPr>
                <w:rFonts w:asciiTheme="minorHAnsi" w:hAnsiTheme="minorHAnsi" w:cstheme="minorHAnsi"/>
                <w:b/>
                <w:sz w:val="18"/>
                <w:szCs w:val="18"/>
              </w:rPr>
            </w:pPr>
          </w:p>
          <w:p w14:paraId="03E7C74A"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Descripción de indicadores y objetivos</w:t>
            </w:r>
          </w:p>
          <w:p w14:paraId="6DD51D26" w14:textId="77777777" w:rsidR="00311AB5" w:rsidRPr="00A51E75" w:rsidRDefault="00311AB5" w:rsidP="00A42B51">
            <w:pPr>
              <w:spacing w:after="60"/>
              <w:jc w:val="both"/>
              <w:rPr>
                <w:rFonts w:asciiTheme="minorHAnsi" w:hAnsiTheme="minorHAnsi" w:cstheme="minorHAnsi"/>
                <w:b/>
                <w:sz w:val="18"/>
                <w:szCs w:val="18"/>
              </w:rPr>
            </w:pPr>
          </w:p>
        </w:tc>
        <w:tc>
          <w:tcPr>
            <w:tcW w:w="686" w:type="pct"/>
            <w:shd w:val="clear" w:color="auto" w:fill="D9D9D9" w:themeFill="background1" w:themeFillShade="D9"/>
            <w:vAlign w:val="center"/>
          </w:tcPr>
          <w:p w14:paraId="23CC2EA5"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Frecuencia</w:t>
            </w:r>
          </w:p>
          <w:p w14:paraId="6B2642E2" w14:textId="77777777" w:rsidR="00311AB5" w:rsidRPr="00A51E75" w:rsidRDefault="00311AB5" w:rsidP="00A42B51">
            <w:pPr>
              <w:spacing w:after="60"/>
              <w:jc w:val="both"/>
              <w:rPr>
                <w:rFonts w:asciiTheme="minorHAnsi" w:hAnsiTheme="minorHAnsi" w:cstheme="minorHAnsi"/>
                <w:b/>
                <w:sz w:val="18"/>
                <w:szCs w:val="18"/>
              </w:rPr>
            </w:pPr>
          </w:p>
        </w:tc>
        <w:tc>
          <w:tcPr>
            <w:tcW w:w="571" w:type="pct"/>
            <w:shd w:val="clear" w:color="auto" w:fill="D9D9D9" w:themeFill="background1" w:themeFillShade="D9"/>
            <w:vAlign w:val="center"/>
          </w:tcPr>
          <w:p w14:paraId="35E0DB3A"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Responsable de la recopilación de datos</w:t>
            </w:r>
          </w:p>
        </w:tc>
        <w:tc>
          <w:tcPr>
            <w:tcW w:w="783" w:type="pct"/>
            <w:shd w:val="clear" w:color="auto" w:fill="D9D9D9" w:themeFill="background1" w:themeFillShade="D9"/>
            <w:vAlign w:val="center"/>
          </w:tcPr>
          <w:p w14:paraId="0E47151E" w14:textId="77777777" w:rsidR="00311AB5" w:rsidRPr="00A51E75" w:rsidRDefault="00311AB5" w:rsidP="00A42B51">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Medios de verificación</w:t>
            </w:r>
          </w:p>
        </w:tc>
      </w:tr>
      <w:bookmarkEnd w:id="36"/>
      <w:tr w:rsidR="003617A0" w:rsidRPr="007D4F41" w14:paraId="53039F03" w14:textId="77777777" w:rsidTr="1D9DC7A6">
        <w:trPr>
          <w:trHeight w:val="20"/>
        </w:trPr>
        <w:tc>
          <w:tcPr>
            <w:tcW w:w="531" w:type="pct"/>
            <w:vMerge w:val="restart"/>
          </w:tcPr>
          <w:p w14:paraId="5A0570D0" w14:textId="2898D1E6" w:rsidR="00EE0A28" w:rsidRPr="00A51E75" w:rsidRDefault="00EE0A28" w:rsidP="3A6631C0">
            <w:pPr>
              <w:spacing w:after="60"/>
              <w:jc w:val="both"/>
              <w:rPr>
                <w:rFonts w:asciiTheme="minorHAnsi" w:hAnsiTheme="minorHAnsi" w:cstheme="minorBidi"/>
                <w:b/>
                <w:sz w:val="18"/>
                <w:szCs w:val="18"/>
              </w:rPr>
            </w:pPr>
            <w:r w:rsidRPr="00A51E75">
              <w:rPr>
                <w:rFonts w:asciiTheme="minorHAnsi" w:hAnsiTheme="minorHAnsi" w:cstheme="minorBidi"/>
                <w:b/>
                <w:sz w:val="18"/>
                <w:szCs w:val="18"/>
              </w:rPr>
              <w:t>Progreso de los resultados de la pista</w:t>
            </w:r>
          </w:p>
        </w:tc>
        <w:tc>
          <w:tcPr>
            <w:tcW w:w="410" w:type="pct"/>
            <w:vMerge w:val="restart"/>
          </w:tcPr>
          <w:p w14:paraId="1DC5B82D" w14:textId="77777777" w:rsidR="00EE0A28" w:rsidRPr="00D830D9" w:rsidRDefault="00EE0A28" w:rsidP="00EE0A28">
            <w:pPr>
              <w:spacing w:after="60"/>
              <w:jc w:val="both"/>
              <w:rPr>
                <w:rFonts w:asciiTheme="minorHAnsi" w:hAnsiTheme="minorHAnsi" w:cstheme="minorHAnsi"/>
                <w:b/>
                <w:sz w:val="18"/>
                <w:szCs w:val="18"/>
                <w:lang w:val="es-EC"/>
              </w:rPr>
            </w:pPr>
            <w:r w:rsidRPr="00A51E75">
              <w:rPr>
                <w:rFonts w:asciiTheme="minorHAnsi" w:hAnsiTheme="minorHAnsi" w:cstheme="minorHAnsi"/>
                <w:b/>
                <w:sz w:val="18"/>
                <w:szCs w:val="18"/>
              </w:rPr>
              <w:t>Objetivo del proyecto desde el marco de resultados</w:t>
            </w:r>
          </w:p>
        </w:tc>
        <w:tc>
          <w:tcPr>
            <w:tcW w:w="727" w:type="pct"/>
          </w:tcPr>
          <w:p w14:paraId="434717F9" w14:textId="0AAE7782"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Indicador 1: Número de personas que se benefician de inversiones financiadas por el </w:t>
            </w:r>
            <w:r w:rsidR="0078696E">
              <w:rPr>
                <w:rFonts w:asciiTheme="minorHAnsi" w:eastAsia="SimSun" w:hAnsiTheme="minorHAnsi" w:cstheme="minorHAnsi"/>
                <w:sz w:val="18"/>
                <w:szCs w:val="18"/>
              </w:rPr>
              <w:t>FMAM</w:t>
            </w:r>
          </w:p>
          <w:p w14:paraId="196F7663" w14:textId="77777777" w:rsidR="00EE0A28" w:rsidRPr="00D830D9" w:rsidRDefault="00EE0A28" w:rsidP="00EE0A28">
            <w:pPr>
              <w:rPr>
                <w:rFonts w:asciiTheme="minorHAnsi" w:eastAsia="SimSun" w:hAnsiTheme="minorHAnsi" w:cstheme="minorHAnsi"/>
                <w:sz w:val="18"/>
                <w:szCs w:val="18"/>
                <w:lang w:val="es-EC"/>
              </w:rPr>
            </w:pPr>
          </w:p>
          <w:p w14:paraId="45375D4E" w14:textId="13CAB70F" w:rsidR="00EE0A28" w:rsidRPr="00A51E75" w:rsidRDefault="00EE0A28" w:rsidP="00EE0A28">
            <w:pPr>
              <w:contextualSpacing/>
              <w:rPr>
                <w:rFonts w:asciiTheme="minorHAnsi" w:hAnsiTheme="minorHAnsi" w:cstheme="minorHAnsi"/>
                <w:i/>
                <w:sz w:val="18"/>
                <w:szCs w:val="18"/>
                <w:lang w:val="it-IT"/>
              </w:rPr>
            </w:pPr>
            <w:r w:rsidRPr="00D830D9">
              <w:rPr>
                <w:rFonts w:asciiTheme="minorHAnsi" w:eastAsia="SimSun" w:hAnsiTheme="minorHAnsi" w:cstheme="minorHAnsi"/>
                <w:sz w:val="18"/>
                <w:szCs w:val="18"/>
                <w:lang w:val="fr-FR"/>
              </w:rPr>
              <w:t>(</w:t>
            </w:r>
            <w:r w:rsidR="0078696E">
              <w:rPr>
                <w:rFonts w:asciiTheme="minorHAnsi" w:eastAsia="SimSun" w:hAnsiTheme="minorHAnsi" w:cstheme="minorHAnsi"/>
                <w:sz w:val="18"/>
                <w:szCs w:val="18"/>
                <w:lang w:val="fr-FR"/>
              </w:rPr>
              <w:t>FMAM</w:t>
            </w:r>
            <w:r w:rsidRPr="00D830D9">
              <w:rPr>
                <w:rFonts w:asciiTheme="minorHAnsi" w:eastAsia="SimSun" w:hAnsiTheme="minorHAnsi" w:cstheme="minorHAnsi"/>
                <w:sz w:val="18"/>
                <w:szCs w:val="18"/>
                <w:lang w:val="fr-FR"/>
              </w:rPr>
              <w:t xml:space="preserve"> </w:t>
            </w:r>
            <w:r w:rsidR="00A60D5B">
              <w:rPr>
                <w:rFonts w:asciiTheme="minorHAnsi" w:eastAsia="SimSun" w:hAnsiTheme="minorHAnsi" w:cstheme="minorHAnsi"/>
                <w:sz w:val="18"/>
                <w:szCs w:val="18"/>
                <w:lang w:val="fr-FR"/>
              </w:rPr>
              <w:t xml:space="preserve">IC </w:t>
            </w:r>
            <w:proofErr w:type="gramStart"/>
            <w:r w:rsidRPr="00D830D9">
              <w:rPr>
                <w:rFonts w:asciiTheme="minorHAnsi" w:eastAsia="SimSun" w:hAnsiTheme="minorHAnsi" w:cstheme="minorHAnsi"/>
                <w:sz w:val="18"/>
                <w:szCs w:val="18"/>
                <w:lang w:val="fr-FR"/>
              </w:rPr>
              <w:t>11:</w:t>
            </w:r>
            <w:proofErr w:type="gramEnd"/>
            <w:r w:rsidRPr="00D830D9">
              <w:rPr>
                <w:rFonts w:asciiTheme="minorHAnsi" w:eastAsia="SimSun" w:hAnsiTheme="minorHAnsi" w:cstheme="minorHAnsi"/>
                <w:sz w:val="18"/>
                <w:szCs w:val="18"/>
                <w:lang w:val="fr-FR"/>
              </w:rPr>
              <w:t xml:space="preserve"> </w:t>
            </w:r>
            <w:proofErr w:type="spellStart"/>
            <w:r w:rsidRPr="00D830D9">
              <w:rPr>
                <w:rFonts w:asciiTheme="minorHAnsi" w:eastAsia="SimSun" w:hAnsiTheme="minorHAnsi" w:cstheme="minorHAnsi"/>
                <w:sz w:val="18"/>
                <w:szCs w:val="18"/>
                <w:lang w:val="fr-FR"/>
              </w:rPr>
              <w:t>Subindicadores</w:t>
            </w:r>
            <w:proofErr w:type="spellEnd"/>
            <w:r w:rsidRPr="00D830D9">
              <w:rPr>
                <w:rFonts w:asciiTheme="minorHAnsi" w:eastAsia="SimSun" w:hAnsiTheme="minorHAnsi" w:cstheme="minorHAnsi"/>
                <w:sz w:val="18"/>
                <w:szCs w:val="18"/>
                <w:lang w:val="fr-FR"/>
              </w:rPr>
              <w:t xml:space="preserve"> </w:t>
            </w:r>
            <w:r w:rsidR="00A60D5B">
              <w:rPr>
                <w:rFonts w:asciiTheme="minorHAnsi" w:eastAsia="SimSun" w:hAnsiTheme="minorHAnsi" w:cstheme="minorHAnsi"/>
                <w:sz w:val="18"/>
                <w:szCs w:val="18"/>
                <w:lang w:val="fr-FR"/>
              </w:rPr>
              <w:t xml:space="preserve">IC </w:t>
            </w:r>
            <w:r w:rsidRPr="00D830D9">
              <w:rPr>
                <w:rFonts w:asciiTheme="minorHAnsi" w:eastAsia="SimSun" w:hAnsiTheme="minorHAnsi" w:cstheme="minorHAnsi"/>
                <w:sz w:val="18"/>
                <w:szCs w:val="18"/>
                <w:lang w:val="fr-FR"/>
              </w:rPr>
              <w:t xml:space="preserve">11.1 e </w:t>
            </w:r>
            <w:r w:rsidR="00A60D5B">
              <w:rPr>
                <w:rFonts w:asciiTheme="minorHAnsi" w:eastAsia="SimSun" w:hAnsiTheme="minorHAnsi" w:cstheme="minorHAnsi"/>
                <w:sz w:val="18"/>
                <w:szCs w:val="18"/>
                <w:lang w:val="fr-FR"/>
              </w:rPr>
              <w:t xml:space="preserve">IC </w:t>
            </w:r>
            <w:r w:rsidRPr="00D830D9">
              <w:rPr>
                <w:rFonts w:asciiTheme="minorHAnsi" w:eastAsia="SimSun" w:hAnsiTheme="minorHAnsi" w:cstheme="minorHAnsi"/>
                <w:sz w:val="18"/>
                <w:szCs w:val="18"/>
                <w:lang w:val="fr-FR"/>
              </w:rPr>
              <w:t xml:space="preserve">11.2) </w:t>
            </w:r>
          </w:p>
        </w:tc>
        <w:tc>
          <w:tcPr>
            <w:tcW w:w="600" w:type="pct"/>
          </w:tcPr>
          <w:p w14:paraId="791E0C49" w14:textId="77777777" w:rsidR="00D82B8D" w:rsidRPr="00D830D9" w:rsidRDefault="00EE0A28" w:rsidP="00EE0A28">
            <w:pPr>
              <w:contextualSpacing/>
              <w:rPr>
                <w:rFonts w:asciiTheme="minorHAnsi" w:eastAsia="SimSun" w:hAnsiTheme="minorHAnsi" w:cstheme="minorHAnsi"/>
                <w:sz w:val="18"/>
                <w:szCs w:val="18"/>
                <w:lang w:val="es-EC"/>
              </w:rPr>
            </w:pPr>
            <w:r w:rsidRPr="00D830D9">
              <w:rPr>
                <w:rFonts w:asciiTheme="minorHAnsi" w:eastAsia="SimSun" w:hAnsiTheme="minorHAnsi" w:cstheme="minorHAnsi"/>
                <w:sz w:val="18"/>
                <w:szCs w:val="18"/>
                <w:lang w:val="fr-FR"/>
              </w:rPr>
              <w:t xml:space="preserve"> </w:t>
            </w:r>
            <w:r w:rsidRPr="00A51E75">
              <w:rPr>
                <w:rFonts w:asciiTheme="minorHAnsi" w:eastAsia="SimSun" w:hAnsiTheme="minorHAnsi" w:cstheme="minorHAnsi"/>
                <w:sz w:val="18"/>
                <w:szCs w:val="18"/>
              </w:rPr>
              <w:t>Examen parcial: 3.800 personas (40% mujeres)</w:t>
            </w:r>
          </w:p>
          <w:p w14:paraId="3BD1683F" w14:textId="77777777" w:rsidR="00D82B8D" w:rsidRPr="00D830D9" w:rsidRDefault="00D82B8D" w:rsidP="00EE0A28">
            <w:pPr>
              <w:contextualSpacing/>
              <w:rPr>
                <w:rFonts w:asciiTheme="minorHAnsi" w:eastAsia="SimSun" w:hAnsiTheme="minorHAnsi" w:cstheme="minorHAnsi"/>
                <w:sz w:val="18"/>
                <w:szCs w:val="18"/>
                <w:lang w:val="es-EC"/>
              </w:rPr>
            </w:pPr>
          </w:p>
          <w:p w14:paraId="32AED61E" w14:textId="10CA4BFA"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Fin del proyecto: 7.676 personas (40% mujeres) </w:t>
            </w:r>
          </w:p>
        </w:tc>
        <w:tc>
          <w:tcPr>
            <w:tcW w:w="692" w:type="pct"/>
          </w:tcPr>
          <w:p w14:paraId="6BD78B13" w14:textId="6883170B" w:rsidR="00D82B8D" w:rsidRPr="00D830D9" w:rsidRDefault="00EE0A28" w:rsidP="00EE0A28">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Número de personas que se benefician del </w:t>
            </w:r>
            <w:r w:rsidR="0078696E">
              <w:rPr>
                <w:rFonts w:asciiTheme="minorHAnsi" w:eastAsia="SimSun" w:hAnsiTheme="minorHAnsi" w:cstheme="minorHAnsi"/>
                <w:sz w:val="18"/>
                <w:szCs w:val="18"/>
              </w:rPr>
              <w:t>FMAM</w:t>
            </w:r>
          </w:p>
          <w:p w14:paraId="4A5FF286" w14:textId="77777777" w:rsidR="00D82B8D" w:rsidRPr="00D830D9" w:rsidRDefault="00EE0A28" w:rsidP="00EE0A28">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inversiones financiadas, incluyendo:</w:t>
            </w:r>
          </w:p>
          <w:p w14:paraId="23C0489A" w14:textId="77777777" w:rsidR="00D82B8D" w:rsidRPr="00D830D9" w:rsidRDefault="00EE0A28" w:rsidP="00EE0A28">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Participación en procesos de gobernanza (250 personas, 40% mujeres)</w:t>
            </w:r>
          </w:p>
          <w:p w14:paraId="06F4A655" w14:textId="77777777" w:rsidR="00D82B8D" w:rsidRPr="00D830D9" w:rsidRDefault="00EE0A28" w:rsidP="00EE0A28">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Formación en gestión sostenible de bosques y biodiversidad (961 personas, 40% mujeres)</w:t>
            </w:r>
          </w:p>
          <w:p w14:paraId="26F02E00" w14:textId="77777777" w:rsidR="00D82B8D" w:rsidRPr="00D830D9" w:rsidRDefault="00EE0A28" w:rsidP="00EE0A28">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Formación en producción sostenible con enfoque de género (3.265 personas, 40% mujeres)</w:t>
            </w:r>
          </w:p>
          <w:p w14:paraId="0D923D0A" w14:textId="77777777" w:rsidR="00D82B8D" w:rsidRPr="00D830D9" w:rsidRDefault="00EE0A28" w:rsidP="00EE0A28">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Acceso a mecanismos financieros vinculados a los Planes de Vida (2.200 personas, 40% mujeres)</w:t>
            </w:r>
          </w:p>
          <w:p w14:paraId="5A34E077" w14:textId="67218FB0"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Beneficiarios de sistemas de monitorización y </w:t>
            </w:r>
            <w:r w:rsidRPr="00A51E75">
              <w:rPr>
                <w:rFonts w:asciiTheme="minorHAnsi" w:eastAsia="SimSun" w:hAnsiTheme="minorHAnsi" w:cstheme="minorHAnsi"/>
                <w:sz w:val="18"/>
                <w:szCs w:val="18"/>
              </w:rPr>
              <w:lastRenderedPageBreak/>
              <w:t xml:space="preserve">estrategias de comunicación (1.000 personas, 40% mujeres) </w:t>
            </w:r>
          </w:p>
        </w:tc>
        <w:tc>
          <w:tcPr>
            <w:tcW w:w="686" w:type="pct"/>
          </w:tcPr>
          <w:p w14:paraId="39941477" w14:textId="69CEFFFE" w:rsidR="00EE0A28" w:rsidRPr="00D830D9" w:rsidRDefault="00EE0A28" w:rsidP="00EE0A28">
            <w:pPr>
              <w:contextualSpacing/>
              <w:rPr>
                <w:rFonts w:asciiTheme="minorHAnsi" w:hAnsiTheme="minorHAnsi" w:cstheme="minorHAnsi"/>
                <w:sz w:val="18"/>
                <w:szCs w:val="18"/>
                <w:lang w:val="es-EC"/>
              </w:rPr>
            </w:pPr>
            <w:r w:rsidRPr="00A51E75">
              <w:rPr>
                <w:rFonts w:asciiTheme="minorHAnsi" w:eastAsia="SimSun" w:hAnsiTheme="minorHAnsi" w:cstheme="minorHAnsi"/>
                <w:sz w:val="18"/>
                <w:szCs w:val="18"/>
              </w:rPr>
              <w:lastRenderedPageBreak/>
              <w:t xml:space="preserve"> Anualmente, a mitad de curso y al final del proyecto (informado en el Informe de Progreso Objetivo de Desarrollo – DO en el PIR del </w:t>
            </w:r>
            <w:r w:rsidR="00BA0C79">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w:t>
            </w:r>
          </w:p>
        </w:tc>
        <w:tc>
          <w:tcPr>
            <w:tcW w:w="571" w:type="pct"/>
          </w:tcPr>
          <w:p w14:paraId="00E1EDE7" w14:textId="5021FD4A"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Oficina del 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Pr="00A51E75">
              <w:rPr>
                <w:rFonts w:asciiTheme="minorHAnsi" w:eastAsia="SimSun" w:hAnsiTheme="minorHAnsi" w:cstheme="minorHAnsi"/>
                <w:sz w:val="18"/>
                <w:szCs w:val="18"/>
              </w:rPr>
              <w:t>, Unidad de Gestión de Proyectos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xml:space="preserve">) </w:t>
            </w:r>
          </w:p>
        </w:tc>
        <w:tc>
          <w:tcPr>
            <w:tcW w:w="783" w:type="pct"/>
          </w:tcPr>
          <w:p w14:paraId="470CD992" w14:textId="4F06B3F0"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Registros de asistencia, actas de reuniones, informes institucionales, certificados de formación, encuestas posteriores a la formación, listas de beneficiarios, informes de facilitadores, encuestas de seguimiento, registros de desembolso, contratos de financiación, informes de impacto económico, informes de implementación de sistemas, registros de acceso a la información, encuestas de percepción</w:t>
            </w:r>
          </w:p>
        </w:tc>
      </w:tr>
      <w:tr w:rsidR="00FD2D13" w:rsidRPr="007D4F41" w14:paraId="2CAB4070" w14:textId="77777777" w:rsidTr="1D9DC7A6">
        <w:trPr>
          <w:trHeight w:val="20"/>
        </w:trPr>
        <w:tc>
          <w:tcPr>
            <w:tcW w:w="531" w:type="pct"/>
            <w:vMerge/>
          </w:tcPr>
          <w:p w14:paraId="4CF82249" w14:textId="77777777" w:rsidR="00181714" w:rsidRPr="00D830D9" w:rsidRDefault="00181714" w:rsidP="00181714">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37" w:name="_Hlk193957170"/>
          </w:p>
        </w:tc>
        <w:tc>
          <w:tcPr>
            <w:tcW w:w="410" w:type="pct"/>
            <w:vMerge/>
          </w:tcPr>
          <w:p w14:paraId="66482F72" w14:textId="77777777" w:rsidR="00181714" w:rsidRPr="00D830D9" w:rsidRDefault="00181714" w:rsidP="00181714">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07B6C41F" w14:textId="74606A03"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 xml:space="preserve">Indicador 2: </w:t>
            </w:r>
            <w:r w:rsidRPr="00A51E75">
              <w:rPr>
                <w:rFonts w:asciiTheme="minorHAnsi" w:hAnsiTheme="minorHAnsi" w:cstheme="minorHAnsi"/>
                <w:color w:val="000000"/>
                <w:sz w:val="18"/>
                <w:szCs w:val="18"/>
              </w:rPr>
              <w:t>Áreas protegidas terrestres creadas o bajo gestión mejorada (hectáreas)</w:t>
            </w:r>
          </w:p>
          <w:p w14:paraId="5AAE9FA6" w14:textId="77777777" w:rsidR="00181714" w:rsidRPr="00D830D9" w:rsidRDefault="00181714" w:rsidP="00181714">
            <w:pPr>
              <w:contextualSpacing/>
              <w:rPr>
                <w:rFonts w:asciiTheme="minorHAnsi" w:hAnsiTheme="minorHAnsi" w:cstheme="minorHAnsi"/>
                <w:b/>
                <w:bCs/>
                <w:color w:val="000000"/>
                <w:sz w:val="18"/>
                <w:szCs w:val="18"/>
                <w:lang w:val="es-EC"/>
              </w:rPr>
            </w:pPr>
          </w:p>
          <w:p w14:paraId="36F8DDFD" w14:textId="316BB310" w:rsidR="00181714" w:rsidRPr="00A51E75" w:rsidRDefault="00181714" w:rsidP="00181714">
            <w:pPr>
              <w:contextualSpacing/>
              <w:rPr>
                <w:rFonts w:asciiTheme="minorHAnsi" w:hAnsiTheme="minorHAnsi" w:cstheme="minorHAnsi"/>
                <w:b/>
                <w:bCs/>
                <w:color w:val="000000"/>
                <w:sz w:val="18"/>
                <w:szCs w:val="18"/>
                <w:lang w:val="it-IT"/>
              </w:rPr>
            </w:pPr>
            <w:r w:rsidRPr="007E49E0">
              <w:rPr>
                <w:rFonts w:asciiTheme="minorHAnsi" w:hAnsiTheme="minorHAnsi" w:cstheme="minorHAnsi"/>
                <w:b/>
                <w:bCs/>
                <w:color w:val="000000"/>
                <w:sz w:val="18"/>
                <w:szCs w:val="18"/>
                <w:lang w:val="de-CH"/>
              </w:rPr>
              <w:t>(</w:t>
            </w:r>
            <w:r w:rsidR="0078696E" w:rsidRPr="007E49E0">
              <w:rPr>
                <w:rFonts w:asciiTheme="minorHAnsi" w:hAnsiTheme="minorHAnsi" w:cstheme="minorHAnsi"/>
                <w:b/>
                <w:bCs/>
                <w:color w:val="000000"/>
                <w:sz w:val="18"/>
                <w:szCs w:val="18"/>
                <w:lang w:val="de-CH"/>
              </w:rPr>
              <w:t>FMAM</w:t>
            </w:r>
            <w:r w:rsidRPr="007E49E0">
              <w:rPr>
                <w:rFonts w:asciiTheme="minorHAnsi" w:hAnsiTheme="minorHAnsi" w:cstheme="minorHAnsi"/>
                <w:b/>
                <w:bCs/>
                <w:color w:val="000000"/>
                <w:sz w:val="18"/>
                <w:szCs w:val="18"/>
                <w:lang w:val="de-CH"/>
              </w:rPr>
              <w:t xml:space="preserve"> </w:t>
            </w:r>
            <w:r w:rsidR="00A60D5B" w:rsidRPr="007E49E0">
              <w:rPr>
                <w:rFonts w:asciiTheme="minorHAnsi" w:hAnsiTheme="minorHAnsi" w:cstheme="minorHAnsi"/>
                <w:b/>
                <w:bCs/>
                <w:color w:val="000000"/>
                <w:sz w:val="18"/>
                <w:szCs w:val="18"/>
                <w:lang w:val="de-CH"/>
              </w:rPr>
              <w:t xml:space="preserve">IC </w:t>
            </w:r>
            <w:r w:rsidRPr="007E49E0">
              <w:rPr>
                <w:rFonts w:asciiTheme="minorHAnsi" w:hAnsiTheme="minorHAnsi" w:cstheme="minorHAnsi"/>
                <w:b/>
                <w:bCs/>
                <w:color w:val="000000"/>
                <w:sz w:val="18"/>
                <w:szCs w:val="18"/>
                <w:lang w:val="de-CH"/>
              </w:rPr>
              <w:t xml:space="preserve">1: </w:t>
            </w:r>
            <w:r w:rsidR="00A60D5B" w:rsidRPr="007E49E0">
              <w:rPr>
                <w:rFonts w:asciiTheme="minorHAnsi" w:hAnsiTheme="minorHAnsi" w:cstheme="minorHAnsi"/>
                <w:b/>
                <w:bCs/>
                <w:color w:val="000000"/>
                <w:sz w:val="18"/>
                <w:szCs w:val="18"/>
                <w:lang w:val="de-CH"/>
              </w:rPr>
              <w:t xml:space="preserve">IC </w:t>
            </w:r>
            <w:r w:rsidRPr="007E49E0">
              <w:rPr>
                <w:rFonts w:asciiTheme="minorHAnsi" w:hAnsiTheme="minorHAnsi" w:cstheme="minorHAnsi"/>
                <w:b/>
                <w:bCs/>
                <w:color w:val="000000"/>
                <w:sz w:val="18"/>
                <w:szCs w:val="18"/>
                <w:lang w:val="de-CH"/>
              </w:rPr>
              <w:t xml:space="preserve">1.1 e </w:t>
            </w:r>
            <w:r w:rsidR="00A60D5B" w:rsidRPr="007E49E0">
              <w:rPr>
                <w:rFonts w:asciiTheme="minorHAnsi" w:hAnsiTheme="minorHAnsi" w:cstheme="minorHAnsi"/>
                <w:b/>
                <w:bCs/>
                <w:color w:val="000000"/>
                <w:sz w:val="18"/>
                <w:szCs w:val="18"/>
                <w:lang w:val="de-CH"/>
              </w:rPr>
              <w:t xml:space="preserve">IC </w:t>
            </w:r>
            <w:r w:rsidRPr="007E49E0">
              <w:rPr>
                <w:rFonts w:asciiTheme="minorHAnsi" w:hAnsiTheme="minorHAnsi" w:cstheme="minorHAnsi"/>
                <w:b/>
                <w:bCs/>
                <w:color w:val="000000"/>
                <w:sz w:val="18"/>
                <w:szCs w:val="18"/>
                <w:lang w:val="de-CH"/>
              </w:rPr>
              <w:t>1.2)</w:t>
            </w:r>
          </w:p>
          <w:p w14:paraId="55287F77" w14:textId="77777777" w:rsidR="00181714" w:rsidRPr="00A51E75" w:rsidRDefault="00181714" w:rsidP="00181714">
            <w:pPr>
              <w:contextualSpacing/>
              <w:rPr>
                <w:rFonts w:asciiTheme="minorHAnsi" w:hAnsiTheme="minorHAnsi" w:cstheme="minorHAnsi"/>
                <w:color w:val="000000"/>
                <w:sz w:val="18"/>
                <w:szCs w:val="18"/>
                <w:lang w:val="it-IT"/>
              </w:rPr>
            </w:pPr>
          </w:p>
          <w:p w14:paraId="61F02F7B" w14:textId="197B59DB" w:rsidR="00181714" w:rsidRPr="00D830D9" w:rsidRDefault="00181714" w:rsidP="00181714">
            <w:pPr>
              <w:contextualSpacing/>
              <w:rPr>
                <w:rFonts w:asciiTheme="minorHAnsi" w:hAnsiTheme="minorHAnsi" w:cstheme="minorHAnsi"/>
                <w:b/>
                <w:i/>
                <w:sz w:val="18"/>
                <w:szCs w:val="18"/>
                <w:lang w:val="es-EC"/>
              </w:rPr>
            </w:pPr>
            <w:r w:rsidRPr="00A51E75">
              <w:rPr>
                <w:rFonts w:asciiTheme="minorHAnsi" w:hAnsiTheme="minorHAnsi" w:cstheme="minorHAnsi"/>
                <w:color w:val="000000"/>
                <w:sz w:val="18"/>
                <w:szCs w:val="18"/>
              </w:rPr>
              <w:t xml:space="preserve">Contribuye a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 xml:space="preserve">11: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 xml:space="preserve">11.1 e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11.2 (40% beneficiarias mujeres)</w:t>
            </w:r>
          </w:p>
        </w:tc>
        <w:tc>
          <w:tcPr>
            <w:tcW w:w="600" w:type="pct"/>
          </w:tcPr>
          <w:p w14:paraId="4E08263A" w14:textId="77777777" w:rsidR="00181714" w:rsidRPr="00D830D9" w:rsidRDefault="00181714" w:rsidP="00181714">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Examen parcial:</w:t>
            </w:r>
          </w:p>
          <w:p w14:paraId="06D7DA36" w14:textId="77777777"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25.000 ha de nuevas áreas protegidas declaradas oficialmente</w:t>
            </w:r>
          </w:p>
          <w:p w14:paraId="77BFC2A6" w14:textId="104C75AD"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39.000 ha de áreas protegidas existentes con mejorada en la eficacia de la gestión (≥aumento del 15% en el METT)</w:t>
            </w:r>
          </w:p>
          <w:p w14:paraId="2EBCC31D" w14:textId="77777777" w:rsidR="00181714" w:rsidRPr="00D830D9" w:rsidRDefault="00181714" w:rsidP="00181714">
            <w:pPr>
              <w:contextualSpacing/>
              <w:rPr>
                <w:rFonts w:asciiTheme="minorHAnsi" w:hAnsiTheme="minorHAnsi" w:cstheme="minorHAnsi"/>
                <w:b/>
                <w:bCs/>
                <w:color w:val="000000"/>
                <w:sz w:val="18"/>
                <w:szCs w:val="18"/>
                <w:lang w:val="es-EC"/>
              </w:rPr>
            </w:pPr>
          </w:p>
          <w:p w14:paraId="077805F4" w14:textId="77777777" w:rsidR="00181714" w:rsidRPr="00D830D9" w:rsidRDefault="00181714" w:rsidP="00181714">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Fin del proyecto:</w:t>
            </w:r>
          </w:p>
          <w:p w14:paraId="7F760A20" w14:textId="77777777"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40.000 ha de nuevas áreas protegidas declaradas oficialmente</w:t>
            </w:r>
          </w:p>
          <w:p w14:paraId="39743E9B" w14:textId="77777777"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85.000 ha de áreas protegidas existentes con mejor eficacia en la gestión (≥aumento del 15% en METT)</w:t>
            </w:r>
          </w:p>
          <w:p w14:paraId="58C2118D" w14:textId="15D5E641" w:rsidR="00181714" w:rsidRPr="00A51E75" w:rsidRDefault="00181714" w:rsidP="00181714">
            <w:pPr>
              <w:contextualSpacing/>
              <w:rPr>
                <w:rFonts w:asciiTheme="minorHAnsi" w:hAnsiTheme="minorHAnsi" w:cstheme="minorHAnsi"/>
                <w:i/>
                <w:sz w:val="18"/>
                <w:szCs w:val="18"/>
                <w:lang w:val="en-US"/>
              </w:rPr>
            </w:pPr>
            <w:r w:rsidRPr="00A51E75">
              <w:rPr>
                <w:rFonts w:asciiTheme="minorHAnsi" w:hAnsiTheme="minorHAnsi" w:cstheme="minorHAnsi"/>
                <w:b/>
                <w:bCs/>
                <w:color w:val="000000"/>
                <w:sz w:val="18"/>
                <w:szCs w:val="18"/>
              </w:rPr>
              <w:t>Total:</w:t>
            </w:r>
            <w:r w:rsidRPr="00A51E75">
              <w:rPr>
                <w:rFonts w:asciiTheme="minorHAnsi" w:hAnsiTheme="minorHAnsi" w:cstheme="minorHAnsi"/>
                <w:color w:val="000000"/>
                <w:sz w:val="18"/>
                <w:szCs w:val="18"/>
              </w:rPr>
              <w:t xml:space="preserve"> 125.000 ha</w:t>
            </w:r>
          </w:p>
        </w:tc>
        <w:tc>
          <w:tcPr>
            <w:tcW w:w="692" w:type="pct"/>
          </w:tcPr>
          <w:p w14:paraId="33AECD40" w14:textId="49EF16C4" w:rsidR="00181714" w:rsidRPr="00D830D9" w:rsidRDefault="00181714" w:rsidP="0018171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Área (ha) de áreas protegidas terrestres ya sea oficialmente declaradas o bajo gestión mejorada, incluyendo Bosques Protectores, Áreas de Protección del Agua (APH), Áreas de Conservación y Uso Sostenible (ACUS), Patrimonio Forestal Estatal (PSB) y zonas prioritarias de restauración. La mejora en la gestión se mide utilizando la herramienta METT u otras metodologías reconocidas (por ejemplo, la Lista Verde UICN IBEX), con un aumento del 15% como referencia.</w:t>
            </w:r>
          </w:p>
        </w:tc>
        <w:tc>
          <w:tcPr>
            <w:tcW w:w="686" w:type="pct"/>
          </w:tcPr>
          <w:p w14:paraId="5404CEAA" w14:textId="74493E28" w:rsidR="00181714" w:rsidRPr="00D830D9" w:rsidRDefault="00181714" w:rsidP="00181714">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t>Anualmente, parcial y final del proyecto</w:t>
            </w:r>
          </w:p>
        </w:tc>
        <w:tc>
          <w:tcPr>
            <w:tcW w:w="571" w:type="pct"/>
          </w:tcPr>
          <w:p w14:paraId="5779355C" w14:textId="336E53B0" w:rsidR="00181714" w:rsidRPr="00D830D9" w:rsidRDefault="00181714" w:rsidP="0018171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equipo de implementación del proyecto;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técnicos de campo; Especialistas en SIG</w:t>
            </w:r>
          </w:p>
        </w:tc>
        <w:tc>
          <w:tcPr>
            <w:tcW w:w="783" w:type="pct"/>
          </w:tcPr>
          <w:p w14:paraId="463D2153" w14:textId="453F961B"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Registros oficiales y bases de datos de </w:t>
            </w:r>
            <w:r w:rsidR="009E221F">
              <w:rPr>
                <w:rFonts w:asciiTheme="minorHAnsi" w:hAnsiTheme="minorHAnsi" w:cstheme="minorHAnsi"/>
                <w:color w:val="000000"/>
                <w:sz w:val="18"/>
                <w:szCs w:val="18"/>
              </w:rPr>
              <w:t>MAE</w:t>
            </w:r>
          </w:p>
          <w:p w14:paraId="7191712F" w14:textId="77777777"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Datos espaciales validados y análisis SIG</w:t>
            </w:r>
          </w:p>
          <w:p w14:paraId="4C73F757" w14:textId="77777777" w:rsidR="00181714" w:rsidRPr="00D830D9"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Planes de gestión aprobados y actualizados</w:t>
            </w:r>
          </w:p>
          <w:p w14:paraId="22D355B6" w14:textId="77777777" w:rsidR="00181714" w:rsidRPr="00895463"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Evaluaciones METT o IBEX</w:t>
            </w:r>
          </w:p>
          <w:p w14:paraId="32709261" w14:textId="77777777" w:rsidR="00181714" w:rsidRPr="00895463" w:rsidRDefault="00181714" w:rsidP="0018171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Informes de monitoreo de hábitat para especies paraguas</w:t>
            </w:r>
          </w:p>
          <w:p w14:paraId="58C8DBF6" w14:textId="01A736A2" w:rsidR="00181714" w:rsidRPr="00895463" w:rsidRDefault="00181714" w:rsidP="0018171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 Registros de bioempresas vinculadas y </w:t>
            </w:r>
            <w:proofErr w:type="spellStart"/>
            <w:r w:rsidR="00414574">
              <w:rPr>
                <w:rFonts w:asciiTheme="minorHAnsi" w:hAnsiTheme="minorHAnsi" w:cstheme="minorHAnsi"/>
                <w:color w:val="000000"/>
                <w:sz w:val="18"/>
                <w:szCs w:val="18"/>
              </w:rPr>
              <w:t>PFNM</w:t>
            </w:r>
            <w:r w:rsidRPr="00A51E75">
              <w:rPr>
                <w:rFonts w:asciiTheme="minorHAnsi" w:hAnsiTheme="minorHAnsi" w:cstheme="minorHAnsi"/>
                <w:color w:val="000000"/>
                <w:sz w:val="18"/>
                <w:szCs w:val="18"/>
              </w:rPr>
              <w:t>s</w:t>
            </w:r>
            <w:proofErr w:type="spellEnd"/>
          </w:p>
        </w:tc>
      </w:tr>
      <w:tr w:rsidR="003617A0" w:rsidRPr="007D4F41" w14:paraId="04114958" w14:textId="77777777" w:rsidTr="1D9DC7A6">
        <w:trPr>
          <w:trHeight w:val="20"/>
        </w:trPr>
        <w:tc>
          <w:tcPr>
            <w:tcW w:w="531" w:type="pct"/>
            <w:vMerge/>
          </w:tcPr>
          <w:p w14:paraId="40D3DAE2" w14:textId="77777777" w:rsidR="00EE0A28" w:rsidRPr="00895463" w:rsidRDefault="00EE0A28" w:rsidP="00EE0A28">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38" w:name="_Hlk193957925"/>
            <w:bookmarkEnd w:id="37"/>
          </w:p>
        </w:tc>
        <w:tc>
          <w:tcPr>
            <w:tcW w:w="410" w:type="pct"/>
            <w:vMerge/>
          </w:tcPr>
          <w:p w14:paraId="1A80F3E9" w14:textId="77777777" w:rsidR="00EE0A28" w:rsidRPr="00895463" w:rsidRDefault="00EE0A28" w:rsidP="00EE0A28">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05A3C2BC" w14:textId="77777777"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Indicador 3: Superficie de tierra y ecosistemas en restauración (hectáreas)</w:t>
            </w:r>
          </w:p>
          <w:p w14:paraId="767261DD" w14:textId="77777777" w:rsidR="00EE0A28" w:rsidRPr="00D830D9" w:rsidRDefault="00EE0A28" w:rsidP="00EE0A28">
            <w:pPr>
              <w:rPr>
                <w:rFonts w:asciiTheme="minorHAnsi" w:eastAsia="SimSun" w:hAnsiTheme="minorHAnsi" w:cstheme="minorHAnsi"/>
                <w:sz w:val="18"/>
                <w:szCs w:val="18"/>
                <w:lang w:val="es-EC"/>
              </w:rPr>
            </w:pPr>
          </w:p>
          <w:p w14:paraId="1D2144A3" w14:textId="46EBCA3A" w:rsidR="00EE0A28" w:rsidRPr="00A51E75" w:rsidRDefault="00EE0A28" w:rsidP="00EE0A28">
            <w:pPr>
              <w:rPr>
                <w:rFonts w:asciiTheme="minorHAnsi" w:eastAsia="SimSun" w:hAnsiTheme="minorHAnsi" w:cstheme="minorHAnsi"/>
                <w:sz w:val="18"/>
                <w:szCs w:val="18"/>
                <w:lang w:val="it-IT"/>
              </w:rPr>
            </w:pPr>
            <w:r w:rsidRPr="00A51E75">
              <w:rPr>
                <w:rFonts w:asciiTheme="minorHAnsi" w:eastAsia="SimSun" w:hAnsiTheme="minorHAnsi" w:cstheme="minorHAnsi"/>
                <w:sz w:val="18"/>
                <w:szCs w:val="18"/>
              </w:rPr>
              <w:t>(</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3: Subindicadores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3.1 e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3.2)</w:t>
            </w:r>
          </w:p>
          <w:p w14:paraId="2052E3AE" w14:textId="77777777" w:rsidR="00EE0A28" w:rsidRPr="00A51E75" w:rsidRDefault="00EE0A28" w:rsidP="00EE0A28">
            <w:pPr>
              <w:rPr>
                <w:rFonts w:asciiTheme="minorHAnsi" w:eastAsia="SimSun" w:hAnsiTheme="minorHAnsi" w:cstheme="minorHAnsi"/>
                <w:sz w:val="18"/>
                <w:szCs w:val="18"/>
                <w:lang w:val="it-IT"/>
              </w:rPr>
            </w:pPr>
          </w:p>
          <w:p w14:paraId="0A8DA01B" w14:textId="5E61F5EA" w:rsidR="00EE0A28" w:rsidRPr="00895463"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Contribuye al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 Subindicadores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11.1 e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11.2: 40% mujeres. </w:t>
            </w:r>
          </w:p>
        </w:tc>
        <w:tc>
          <w:tcPr>
            <w:tcW w:w="600" w:type="pct"/>
          </w:tcPr>
          <w:p w14:paraId="5B77539C" w14:textId="77777777"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Examen parcial: 2.020 ha</w:t>
            </w:r>
          </w:p>
          <w:p w14:paraId="0BCF6C01" w14:textId="77777777" w:rsidR="00EE0A28" w:rsidRPr="00D830D9" w:rsidRDefault="00EE0A28" w:rsidP="00EE0A28">
            <w:pPr>
              <w:rPr>
                <w:rFonts w:asciiTheme="minorHAnsi" w:eastAsia="SimSun" w:hAnsiTheme="minorHAnsi" w:cstheme="minorHAnsi"/>
                <w:sz w:val="18"/>
                <w:szCs w:val="18"/>
                <w:lang w:val="es-EC"/>
              </w:rPr>
            </w:pPr>
          </w:p>
          <w:p w14:paraId="76F567DF" w14:textId="2F6F1E28"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Fin del proyecto: 4.020 ha </w:t>
            </w:r>
          </w:p>
        </w:tc>
        <w:tc>
          <w:tcPr>
            <w:tcW w:w="692" w:type="pct"/>
          </w:tcPr>
          <w:p w14:paraId="37E59BFA" w14:textId="661D578B"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Zona de suelo degradado y ecosistemas que están siendo restaurados mediante prácticas activas y/o pasivas. Incluye áreas cubiertas por planes de gestión y zonas priorizadas por PNRP y SIGMA. La restauración se lleva a cabo mediante acuerdos de cogestión con los BAD y las comunidades. Se da prioridad a las zonas de recarga de agua, zonas ribereñas y áreas degradadas de importancia ecológica y sociocultural. El progreso está georreferenciado y validado mediante registros técnicos y comunitarios. </w:t>
            </w:r>
          </w:p>
        </w:tc>
        <w:tc>
          <w:tcPr>
            <w:tcW w:w="686" w:type="pct"/>
          </w:tcPr>
          <w:p w14:paraId="7E9D92D8" w14:textId="39EC062F" w:rsidR="00EE0A28" w:rsidRPr="00D830D9" w:rsidRDefault="00EE0A28" w:rsidP="00EE0A28">
            <w:pPr>
              <w:contextualSpacing/>
              <w:rPr>
                <w:rFonts w:asciiTheme="minorHAnsi" w:hAnsiTheme="minorHAnsi" w:cstheme="minorHAnsi"/>
                <w:sz w:val="18"/>
                <w:szCs w:val="18"/>
                <w:lang w:val="es-EC"/>
              </w:rPr>
            </w:pPr>
            <w:r w:rsidRPr="00A51E75">
              <w:rPr>
                <w:rFonts w:asciiTheme="minorHAnsi" w:eastAsia="SimSun" w:hAnsiTheme="minorHAnsi" w:cstheme="minorHAnsi"/>
                <w:sz w:val="18"/>
                <w:szCs w:val="18"/>
              </w:rPr>
              <w:t xml:space="preserve"> Monitorización semestral; informes anuales; Evaluación parcial y final </w:t>
            </w:r>
          </w:p>
        </w:tc>
        <w:tc>
          <w:tcPr>
            <w:tcW w:w="571" w:type="pct"/>
          </w:tcPr>
          <w:p w14:paraId="7E175E2D" w14:textId="0D563D80"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Equipo de implementación del proyecto en coordinación con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(SAF, PNRP, SIGMA), los GAD y las comunidades beneficiarias </w:t>
            </w:r>
          </w:p>
        </w:tc>
        <w:tc>
          <w:tcPr>
            <w:tcW w:w="783" w:type="pct"/>
          </w:tcPr>
          <w:p w14:paraId="723205B1" w14:textId="2A8D6486" w:rsidR="00EE0A28" w:rsidRPr="00D830D9" w:rsidRDefault="00EE0A28" w:rsidP="00EE0A28">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Registros de campo georreferenciados, archivos GIS, informes técnicos de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y del equipo de implementación, actas de acuerdos de cogestión, registros de beneficiarios, informes de progreso financiero y técnico</w:t>
            </w:r>
          </w:p>
        </w:tc>
      </w:tr>
      <w:tr w:rsidR="003617A0" w:rsidRPr="007D4F41" w14:paraId="2FF3CEF2" w14:textId="77777777" w:rsidTr="1D9DC7A6">
        <w:trPr>
          <w:trHeight w:val="20"/>
        </w:trPr>
        <w:tc>
          <w:tcPr>
            <w:tcW w:w="531" w:type="pct"/>
            <w:vMerge/>
          </w:tcPr>
          <w:p w14:paraId="26377A21" w14:textId="77777777" w:rsidR="00EE0A28" w:rsidRPr="00D830D9" w:rsidRDefault="00EE0A28" w:rsidP="00EE0A28">
            <w:pPr>
              <w:widowControl w:val="0"/>
              <w:pBdr>
                <w:top w:val="nil"/>
                <w:left w:val="nil"/>
                <w:bottom w:val="nil"/>
                <w:right w:val="nil"/>
                <w:between w:val="nil"/>
              </w:pBdr>
              <w:spacing w:line="276" w:lineRule="auto"/>
              <w:rPr>
                <w:rFonts w:asciiTheme="minorHAnsi" w:hAnsiTheme="minorHAnsi" w:cstheme="minorHAnsi"/>
                <w:b/>
                <w:color w:val="000000"/>
                <w:sz w:val="18"/>
                <w:szCs w:val="18"/>
                <w:lang w:val="es-EC"/>
              </w:rPr>
            </w:pPr>
            <w:bookmarkStart w:id="39" w:name="_Hlk193959303"/>
            <w:bookmarkEnd w:id="38"/>
          </w:p>
        </w:tc>
        <w:tc>
          <w:tcPr>
            <w:tcW w:w="410" w:type="pct"/>
            <w:vMerge/>
          </w:tcPr>
          <w:p w14:paraId="39551091" w14:textId="77777777" w:rsidR="00EE0A28" w:rsidRPr="00D830D9" w:rsidRDefault="00EE0A28" w:rsidP="00EE0A28">
            <w:pPr>
              <w:widowControl w:val="0"/>
              <w:pBdr>
                <w:top w:val="nil"/>
                <w:left w:val="nil"/>
                <w:bottom w:val="nil"/>
                <w:right w:val="nil"/>
                <w:between w:val="nil"/>
              </w:pBdr>
              <w:spacing w:line="276" w:lineRule="auto"/>
              <w:rPr>
                <w:rFonts w:asciiTheme="minorHAnsi" w:hAnsiTheme="minorHAnsi" w:cstheme="minorHAnsi"/>
                <w:b/>
                <w:color w:val="000000"/>
                <w:sz w:val="18"/>
                <w:szCs w:val="18"/>
                <w:lang w:val="es-EC"/>
              </w:rPr>
            </w:pPr>
          </w:p>
        </w:tc>
        <w:tc>
          <w:tcPr>
            <w:tcW w:w="727" w:type="pct"/>
          </w:tcPr>
          <w:p w14:paraId="091E4F95" w14:textId="77777777"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Indicador 4: Área de paisajes bajo prácticas mejoradas (excluyendo áreas protegidas)</w:t>
            </w:r>
          </w:p>
          <w:p w14:paraId="6ADFAC71" w14:textId="77777777" w:rsidR="00EE0A28" w:rsidRPr="00D830D9" w:rsidRDefault="00EE0A28" w:rsidP="00EE0A28">
            <w:pPr>
              <w:rPr>
                <w:rFonts w:asciiTheme="minorHAnsi" w:eastAsia="SimSun" w:hAnsiTheme="minorHAnsi" w:cstheme="minorHAnsi"/>
                <w:sz w:val="18"/>
                <w:szCs w:val="18"/>
                <w:lang w:val="es-EC"/>
              </w:rPr>
            </w:pPr>
          </w:p>
          <w:p w14:paraId="21E7566D" w14:textId="0E16C842" w:rsidR="00EE0A28" w:rsidRPr="00A51E75" w:rsidRDefault="00EE0A28" w:rsidP="00EE0A28">
            <w:pPr>
              <w:rPr>
                <w:rFonts w:asciiTheme="minorHAnsi" w:eastAsia="SimSun" w:hAnsiTheme="minorHAnsi" w:cstheme="minorHAnsi"/>
                <w:sz w:val="18"/>
                <w:szCs w:val="18"/>
                <w:lang w:val="it-IT"/>
              </w:rPr>
            </w:pPr>
            <w:r w:rsidRPr="00A51E75">
              <w:rPr>
                <w:rFonts w:asciiTheme="minorHAnsi" w:eastAsia="SimSun" w:hAnsiTheme="minorHAnsi" w:cstheme="minorHAnsi"/>
                <w:sz w:val="18"/>
                <w:szCs w:val="18"/>
              </w:rPr>
              <w:t>(</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4 del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Subindicadores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4.1 y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4.3)</w:t>
            </w:r>
          </w:p>
          <w:p w14:paraId="42EB5250" w14:textId="77777777" w:rsidR="00EE0A28" w:rsidRPr="00A51E75" w:rsidRDefault="00EE0A28" w:rsidP="00EE0A28">
            <w:pPr>
              <w:rPr>
                <w:rFonts w:asciiTheme="minorHAnsi" w:eastAsia="SimSun" w:hAnsiTheme="minorHAnsi" w:cstheme="minorHAnsi"/>
                <w:sz w:val="18"/>
                <w:szCs w:val="18"/>
                <w:lang w:val="it-IT"/>
              </w:rPr>
            </w:pPr>
          </w:p>
          <w:p w14:paraId="7E73FFD4" w14:textId="5CC5D74D" w:rsidR="00EE0A28" w:rsidRPr="00D830D9" w:rsidRDefault="00EE0A28" w:rsidP="00EE0A28">
            <w:pPr>
              <w:contextualSpacing/>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t xml:space="preserve">Contribuye al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 Subindicadores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11.1 e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11.2: 40% mujeres. </w:t>
            </w:r>
          </w:p>
        </w:tc>
        <w:tc>
          <w:tcPr>
            <w:tcW w:w="600" w:type="pct"/>
          </w:tcPr>
          <w:p w14:paraId="17776D65" w14:textId="1D585226"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lastRenderedPageBreak/>
              <w:t xml:space="preserve"> Periodo intermedio: 24.400 ha10.000 ha (gestión forestal) + 14.400 ha (</w:t>
            </w:r>
            <w:r w:rsidR="00E26F5E">
              <w:rPr>
                <w:rFonts w:asciiTheme="minorHAnsi" w:eastAsia="SimSun" w:hAnsiTheme="minorHAnsi" w:cstheme="minorHAnsi"/>
                <w:sz w:val="18"/>
                <w:szCs w:val="18"/>
              </w:rPr>
              <w:t>MST</w:t>
            </w:r>
            <w:r w:rsidRPr="00A51E75">
              <w:rPr>
                <w:rFonts w:asciiTheme="minorHAnsi" w:eastAsia="SimSun" w:hAnsiTheme="minorHAnsi" w:cstheme="minorHAnsi"/>
                <w:sz w:val="18"/>
                <w:szCs w:val="18"/>
              </w:rPr>
              <w:t>)</w:t>
            </w:r>
          </w:p>
          <w:p w14:paraId="5BAC7563" w14:textId="77777777" w:rsidR="00EE0A28" w:rsidRPr="00D830D9" w:rsidRDefault="00EE0A28" w:rsidP="00EE0A28">
            <w:pPr>
              <w:rPr>
                <w:rFonts w:asciiTheme="minorHAnsi" w:eastAsia="SimSun" w:hAnsiTheme="minorHAnsi" w:cstheme="minorHAnsi"/>
                <w:sz w:val="18"/>
                <w:szCs w:val="18"/>
                <w:lang w:val="es-EC"/>
              </w:rPr>
            </w:pPr>
          </w:p>
          <w:p w14:paraId="533C38B4" w14:textId="187B90C5" w:rsidR="00EE0A28" w:rsidRPr="00D830D9" w:rsidRDefault="00EE0A28" w:rsidP="00EE0A28">
            <w:pPr>
              <w:contextualSpacing/>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t>Fin del proyecto: 45.179 ha21.189 ha (gestión forestal) + 23.990 ha (</w:t>
            </w:r>
            <w:r w:rsidR="00E26F5E">
              <w:rPr>
                <w:rFonts w:asciiTheme="minorHAnsi" w:eastAsia="SimSun" w:hAnsiTheme="minorHAnsi" w:cstheme="minorHAnsi"/>
                <w:sz w:val="18"/>
                <w:szCs w:val="18"/>
              </w:rPr>
              <w:t>MST</w:t>
            </w:r>
            <w:r w:rsidRPr="00A51E75">
              <w:rPr>
                <w:rFonts w:asciiTheme="minorHAnsi" w:eastAsia="SimSun" w:hAnsiTheme="minorHAnsi" w:cstheme="minorHAnsi"/>
                <w:sz w:val="18"/>
                <w:szCs w:val="18"/>
              </w:rPr>
              <w:t xml:space="preserve">) </w:t>
            </w:r>
          </w:p>
        </w:tc>
        <w:tc>
          <w:tcPr>
            <w:tcW w:w="692" w:type="pct"/>
          </w:tcPr>
          <w:p w14:paraId="0E3C93C0" w14:textId="2FD59954" w:rsidR="00EE0A28" w:rsidRPr="00D830D9" w:rsidRDefault="00EE0A28" w:rsidP="00EE0A28">
            <w:pPr>
              <w:contextualSpacing/>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lastRenderedPageBreak/>
              <w:t xml:space="preserve"> Área (ha) de paisajes fuera de áreas protegidas que implementan prácticas mejoradas. </w:t>
            </w:r>
            <w:r w:rsidRPr="00A51E75">
              <w:rPr>
                <w:rFonts w:asciiTheme="minorHAnsi" w:eastAsia="SimSun" w:hAnsiTheme="minorHAnsi" w:cstheme="minorHAnsi"/>
                <w:sz w:val="18"/>
                <w:szCs w:val="18"/>
              </w:rPr>
              <w:lastRenderedPageBreak/>
              <w:t xml:space="preserve">Indicador 4.1: Hectáreas bajo </w:t>
            </w:r>
            <w:r w:rsidR="000A54C4">
              <w:rPr>
                <w:rFonts w:asciiTheme="minorHAnsi" w:eastAsia="SimSun" w:hAnsiTheme="minorHAnsi" w:cstheme="minorHAnsi"/>
                <w:sz w:val="18"/>
                <w:szCs w:val="18"/>
              </w:rPr>
              <w:t xml:space="preserve">Manejo Forestal Sostenible </w:t>
            </w:r>
            <w:r w:rsidRPr="00A51E75">
              <w:rPr>
                <w:rFonts w:asciiTheme="minorHAnsi" w:eastAsia="SimSun" w:hAnsiTheme="minorHAnsi" w:cstheme="minorHAnsi"/>
                <w:sz w:val="18"/>
                <w:szCs w:val="18"/>
              </w:rPr>
              <w:t>con planes de gestión y bioempresas de productos forestales no madereros (</w:t>
            </w:r>
            <w:r w:rsidR="00414574">
              <w:rPr>
                <w:rFonts w:asciiTheme="minorHAnsi" w:eastAsia="SimSun" w:hAnsiTheme="minorHAnsi" w:cstheme="minorHAnsi"/>
                <w:sz w:val="18"/>
                <w:szCs w:val="18"/>
              </w:rPr>
              <w:t>PFNM</w:t>
            </w:r>
            <w:r w:rsidRPr="00A51E75">
              <w:rPr>
                <w:rFonts w:asciiTheme="minorHAnsi" w:eastAsia="SimSun" w:hAnsiTheme="minorHAnsi" w:cstheme="minorHAnsi"/>
                <w:sz w:val="18"/>
                <w:szCs w:val="18"/>
              </w:rPr>
              <w:t xml:space="preserve">) vinculadas a cadenas de valor sostenibles. Indicador 4.3: Hectáreas en sistemas productivos (agricultura, ganadería, silvicultura, acuicultura, turismo sostenible) adoptando prácticas de </w:t>
            </w:r>
            <w:r w:rsidR="000A54C4">
              <w:rPr>
                <w:rFonts w:asciiTheme="minorHAnsi" w:eastAsia="SimSun" w:hAnsiTheme="minorHAnsi" w:cstheme="minorHAnsi"/>
                <w:sz w:val="18"/>
                <w:szCs w:val="18"/>
              </w:rPr>
              <w:t>Manejo Sostenible de la Tierra</w:t>
            </w:r>
            <w:r w:rsidRPr="00A51E75">
              <w:rPr>
                <w:rFonts w:asciiTheme="minorHAnsi" w:eastAsia="SimSun" w:hAnsiTheme="minorHAnsi" w:cstheme="minorHAnsi"/>
                <w:sz w:val="18"/>
                <w:szCs w:val="18"/>
              </w:rPr>
              <w:t xml:space="preserve"> (</w:t>
            </w:r>
            <w:r w:rsidR="00E26F5E">
              <w:rPr>
                <w:rFonts w:asciiTheme="minorHAnsi" w:eastAsia="SimSun" w:hAnsiTheme="minorHAnsi" w:cstheme="minorHAnsi"/>
                <w:sz w:val="18"/>
                <w:szCs w:val="18"/>
              </w:rPr>
              <w:t>MST</w:t>
            </w:r>
            <w:r w:rsidRPr="00A51E75">
              <w:rPr>
                <w:rFonts w:asciiTheme="minorHAnsi" w:eastAsia="SimSun" w:hAnsiTheme="minorHAnsi" w:cstheme="minorHAnsi"/>
                <w:sz w:val="18"/>
                <w:szCs w:val="18"/>
              </w:rPr>
              <w:t xml:space="preserve">). </w:t>
            </w:r>
          </w:p>
        </w:tc>
        <w:tc>
          <w:tcPr>
            <w:tcW w:w="686" w:type="pct"/>
          </w:tcPr>
          <w:p w14:paraId="44FCD463" w14:textId="63F64CE2" w:rsidR="00EE0A28" w:rsidRPr="00D830D9" w:rsidRDefault="00EE0A28" w:rsidP="00EE0A28">
            <w:pPr>
              <w:contextualSpacing/>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lastRenderedPageBreak/>
              <w:t xml:space="preserve"> Anualmente, parcial y final de proyecto (reportado en el PIR del </w:t>
            </w:r>
            <w:r w:rsidR="00BA0C79">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w:t>
            </w:r>
          </w:p>
        </w:tc>
        <w:tc>
          <w:tcPr>
            <w:tcW w:w="571" w:type="pct"/>
          </w:tcPr>
          <w:p w14:paraId="0FBC11B1" w14:textId="408222A7" w:rsidR="00EE0A28" w:rsidRPr="00D830D9" w:rsidRDefault="00EE0A28" w:rsidP="00EE0A28">
            <w:pPr>
              <w:contextualSpacing/>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t xml:space="preserve"> equipo de implementación del proyecto,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técnicos de campo, </w:t>
            </w:r>
            <w:r w:rsidRPr="00A51E75">
              <w:rPr>
                <w:rFonts w:asciiTheme="minorHAnsi" w:eastAsia="SimSun" w:hAnsiTheme="minorHAnsi" w:cstheme="minorHAnsi"/>
                <w:sz w:val="18"/>
                <w:szCs w:val="18"/>
              </w:rPr>
              <w:lastRenderedPageBreak/>
              <w:t xml:space="preserve">productores y comunidades locales </w:t>
            </w:r>
          </w:p>
        </w:tc>
        <w:tc>
          <w:tcPr>
            <w:tcW w:w="783" w:type="pct"/>
          </w:tcPr>
          <w:p w14:paraId="7B7AC566" w14:textId="6A96999C" w:rsidR="00EE0A28" w:rsidRPr="00D830D9" w:rsidRDefault="00EE0A28" w:rsidP="00EE0A28">
            <w:pPr>
              <w:contextualSpacing/>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lastRenderedPageBreak/>
              <w:t xml:space="preserve"> Planes de Gestión Forestal y sus </w:t>
            </w:r>
            <w:proofErr w:type="spellStart"/>
            <w:r w:rsidRPr="00A51E75">
              <w:rPr>
                <w:rFonts w:asciiTheme="minorHAnsi" w:eastAsia="SimSun" w:hAnsiTheme="minorHAnsi" w:cstheme="minorHAnsi"/>
                <w:sz w:val="18"/>
                <w:szCs w:val="18"/>
              </w:rPr>
              <w:t>PMIs</w:t>
            </w:r>
            <w:proofErr w:type="spellEnd"/>
            <w:r w:rsidRPr="00A51E75">
              <w:rPr>
                <w:rFonts w:asciiTheme="minorHAnsi" w:eastAsia="SimSun" w:hAnsiTheme="minorHAnsi" w:cstheme="minorHAnsi"/>
                <w:sz w:val="18"/>
                <w:szCs w:val="18"/>
              </w:rPr>
              <w:t xml:space="preserve">, registros de bioempresas, encuestas, archivos SIG, </w:t>
            </w:r>
            <w:r w:rsidRPr="00A51E75">
              <w:rPr>
                <w:rFonts w:asciiTheme="minorHAnsi" w:eastAsia="SimSun" w:hAnsiTheme="minorHAnsi" w:cstheme="minorHAnsi"/>
                <w:sz w:val="18"/>
                <w:szCs w:val="18"/>
              </w:rPr>
              <w:lastRenderedPageBreak/>
              <w:t xml:space="preserve">informes técnicos, trazabilidad de productos </w:t>
            </w:r>
            <w:r w:rsidR="00414574">
              <w:rPr>
                <w:rFonts w:asciiTheme="minorHAnsi" w:eastAsia="SimSun" w:hAnsiTheme="minorHAnsi" w:cstheme="minorHAnsi"/>
                <w:sz w:val="18"/>
                <w:szCs w:val="18"/>
              </w:rPr>
              <w:t>PFNM</w:t>
            </w:r>
            <w:r w:rsidRPr="00A51E75">
              <w:rPr>
                <w:rFonts w:asciiTheme="minorHAnsi" w:eastAsia="SimSun" w:hAnsiTheme="minorHAnsi" w:cstheme="minorHAnsi"/>
                <w:sz w:val="18"/>
                <w:szCs w:val="18"/>
              </w:rPr>
              <w:t>, planes productivos de gestión del paisaje</w:t>
            </w:r>
          </w:p>
        </w:tc>
      </w:tr>
      <w:bookmarkEnd w:id="39"/>
      <w:tr w:rsidR="003617A0" w:rsidRPr="007D4F41" w14:paraId="5A74D626" w14:textId="77777777" w:rsidTr="1D9DC7A6">
        <w:trPr>
          <w:trHeight w:val="20"/>
        </w:trPr>
        <w:tc>
          <w:tcPr>
            <w:tcW w:w="531" w:type="pct"/>
            <w:vMerge/>
          </w:tcPr>
          <w:p w14:paraId="3756DB2D" w14:textId="77777777" w:rsidR="00EE0A28" w:rsidRPr="00D830D9" w:rsidRDefault="00EE0A28" w:rsidP="00EE0A28">
            <w:pPr>
              <w:widowControl w:val="0"/>
              <w:pBdr>
                <w:top w:val="nil"/>
                <w:left w:val="nil"/>
                <w:bottom w:val="nil"/>
                <w:right w:val="nil"/>
                <w:between w:val="nil"/>
              </w:pBdr>
              <w:spacing w:line="276" w:lineRule="auto"/>
              <w:rPr>
                <w:rFonts w:asciiTheme="minorHAnsi" w:hAnsiTheme="minorHAnsi" w:cstheme="minorHAnsi"/>
                <w:color w:val="000000"/>
                <w:sz w:val="18"/>
                <w:szCs w:val="18"/>
                <w:lang w:val="es-EC"/>
              </w:rPr>
            </w:pPr>
          </w:p>
        </w:tc>
        <w:tc>
          <w:tcPr>
            <w:tcW w:w="410" w:type="pct"/>
            <w:vMerge/>
          </w:tcPr>
          <w:p w14:paraId="1A232F35" w14:textId="77777777" w:rsidR="00EE0A28" w:rsidRPr="00D830D9" w:rsidRDefault="00EE0A28" w:rsidP="00EE0A28">
            <w:pPr>
              <w:widowControl w:val="0"/>
              <w:pBdr>
                <w:top w:val="nil"/>
                <w:left w:val="nil"/>
                <w:bottom w:val="nil"/>
                <w:right w:val="nil"/>
                <w:between w:val="nil"/>
              </w:pBdr>
              <w:spacing w:line="276" w:lineRule="auto"/>
              <w:rPr>
                <w:rFonts w:asciiTheme="minorHAnsi" w:hAnsiTheme="minorHAnsi" w:cstheme="minorHAnsi"/>
                <w:color w:val="000000"/>
                <w:sz w:val="18"/>
                <w:szCs w:val="18"/>
                <w:lang w:val="es-EC"/>
              </w:rPr>
            </w:pPr>
          </w:p>
        </w:tc>
        <w:tc>
          <w:tcPr>
            <w:tcW w:w="727" w:type="pct"/>
          </w:tcPr>
          <w:p w14:paraId="5655067D" w14:textId="65235CB1"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Indicador 5: Evitación de emisiones de gases de efecto invernadero (</w:t>
            </w:r>
            <w:r w:rsidR="00A60D5B">
              <w:rPr>
                <w:rFonts w:asciiTheme="minorHAnsi" w:eastAsia="SimSun" w:hAnsiTheme="minorHAnsi" w:cstheme="minorHAnsi"/>
                <w:sz w:val="18"/>
                <w:szCs w:val="18"/>
              </w:rPr>
              <w:t xml:space="preserve">IC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6)</w:t>
            </w:r>
          </w:p>
          <w:p w14:paraId="16E6CA85" w14:textId="77777777" w:rsidR="00EE0A28" w:rsidRPr="00D830D9" w:rsidRDefault="00EE0A28" w:rsidP="00EE0A28">
            <w:pPr>
              <w:rPr>
                <w:rFonts w:asciiTheme="minorHAnsi" w:eastAsia="SimSun" w:hAnsiTheme="minorHAnsi" w:cstheme="minorHAnsi"/>
                <w:sz w:val="18"/>
                <w:szCs w:val="18"/>
                <w:lang w:val="es-EC"/>
              </w:rPr>
            </w:pPr>
          </w:p>
          <w:p w14:paraId="760C736E" w14:textId="251A5951" w:rsidR="00EE0A28" w:rsidRPr="00D830D9" w:rsidRDefault="00EE0A28" w:rsidP="00EE0A28">
            <w:pPr>
              <w:rPr>
                <w:rFonts w:asciiTheme="minorHAnsi" w:hAnsiTheme="minorHAnsi" w:cstheme="minorHAnsi"/>
                <w:b/>
                <w:color w:val="000000"/>
                <w:sz w:val="18"/>
                <w:szCs w:val="18"/>
                <w:lang w:val="es-EC"/>
              </w:rPr>
            </w:pPr>
            <w:r w:rsidRPr="00A51E75">
              <w:rPr>
                <w:rFonts w:asciiTheme="minorHAnsi" w:eastAsia="SimSun" w:hAnsiTheme="minorHAnsi" w:cstheme="minorHAnsi"/>
                <w:sz w:val="18"/>
                <w:szCs w:val="18"/>
              </w:rPr>
              <w:t xml:space="preserve">Contribuye al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 Subindicadores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11.1 e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11.2: 40% mujeres. </w:t>
            </w:r>
          </w:p>
        </w:tc>
        <w:tc>
          <w:tcPr>
            <w:tcW w:w="600" w:type="pct"/>
          </w:tcPr>
          <w:p w14:paraId="63017496" w14:textId="77777777"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Parcial: 200.000 </w:t>
            </w:r>
            <w:proofErr w:type="spellStart"/>
            <w:r w:rsidRPr="00A51E75">
              <w:rPr>
                <w:rFonts w:asciiTheme="minorHAnsi" w:eastAsia="SimSun" w:hAnsiTheme="minorHAnsi" w:cstheme="minorHAnsi"/>
                <w:sz w:val="18"/>
                <w:szCs w:val="18"/>
              </w:rPr>
              <w:t>tCO₂eq</w:t>
            </w:r>
            <w:proofErr w:type="spellEnd"/>
          </w:p>
          <w:p w14:paraId="151A2DE9" w14:textId="77777777" w:rsidR="00EE0A28" w:rsidRPr="00D830D9" w:rsidRDefault="00EE0A28" w:rsidP="00EE0A28">
            <w:pPr>
              <w:rPr>
                <w:rFonts w:asciiTheme="minorHAnsi" w:eastAsia="SimSun" w:hAnsiTheme="minorHAnsi" w:cstheme="minorHAnsi"/>
                <w:sz w:val="18"/>
                <w:szCs w:val="18"/>
                <w:lang w:val="es-EC"/>
              </w:rPr>
            </w:pPr>
          </w:p>
          <w:p w14:paraId="3C8D9E05" w14:textId="49E29926" w:rsidR="00EE0A28" w:rsidRPr="00D830D9" w:rsidRDefault="00EE0A28" w:rsidP="00EE0A28">
            <w:pPr>
              <w:rPr>
                <w:rFonts w:asciiTheme="minorHAnsi" w:hAnsiTheme="minorHAnsi" w:cstheme="minorHAnsi"/>
                <w:b/>
                <w:color w:val="000000"/>
                <w:sz w:val="18"/>
                <w:szCs w:val="18"/>
                <w:lang w:val="es-EC"/>
              </w:rPr>
            </w:pPr>
            <w:r w:rsidRPr="00A51E75">
              <w:rPr>
                <w:rFonts w:asciiTheme="minorHAnsi" w:eastAsia="SimSun" w:hAnsiTheme="minorHAnsi" w:cstheme="minorHAnsi"/>
                <w:sz w:val="18"/>
                <w:szCs w:val="18"/>
              </w:rPr>
              <w:t xml:space="preserve">Fin del proyecto: 605.643 </w:t>
            </w:r>
            <w:proofErr w:type="spellStart"/>
            <w:r w:rsidRPr="00A51E75">
              <w:rPr>
                <w:rFonts w:asciiTheme="minorHAnsi" w:eastAsia="SimSun" w:hAnsiTheme="minorHAnsi" w:cstheme="minorHAnsi"/>
                <w:sz w:val="18"/>
                <w:szCs w:val="18"/>
              </w:rPr>
              <w:t>tCO₂eq</w:t>
            </w:r>
            <w:proofErr w:type="spellEnd"/>
            <w:r w:rsidRPr="00A51E75">
              <w:rPr>
                <w:rFonts w:asciiTheme="minorHAnsi" w:eastAsia="SimSun" w:hAnsiTheme="minorHAnsi" w:cstheme="minorHAnsi"/>
                <w:sz w:val="18"/>
                <w:szCs w:val="18"/>
              </w:rPr>
              <w:t xml:space="preserve"> </w:t>
            </w:r>
          </w:p>
        </w:tc>
        <w:tc>
          <w:tcPr>
            <w:tcW w:w="692" w:type="pct"/>
          </w:tcPr>
          <w:p w14:paraId="5AB3C687" w14:textId="0124A54D" w:rsidR="00EE0A28" w:rsidRPr="00D830D9" w:rsidRDefault="00EE0A28" w:rsidP="00EE0A28">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Este indicador mide la cantidad de emisiones de gases de efecto invernadero (</w:t>
            </w:r>
            <w:proofErr w:type="spellStart"/>
            <w:r w:rsidRPr="00A51E75">
              <w:rPr>
                <w:rFonts w:asciiTheme="minorHAnsi" w:eastAsia="SimSun" w:hAnsiTheme="minorHAnsi" w:cstheme="minorHAnsi"/>
                <w:sz w:val="18"/>
                <w:szCs w:val="18"/>
              </w:rPr>
              <w:t>tCO₂eq</w:t>
            </w:r>
            <w:proofErr w:type="spellEnd"/>
            <w:r w:rsidRPr="00A51E75">
              <w:rPr>
                <w:rFonts w:asciiTheme="minorHAnsi" w:eastAsia="SimSun" w:hAnsiTheme="minorHAnsi" w:cstheme="minorHAnsi"/>
                <w:sz w:val="18"/>
                <w:szCs w:val="18"/>
              </w:rPr>
              <w:t xml:space="preserve">) evitadas como resultado directo de las actividades del proyecto. La cuantificación se realizará mediante un análisis </w:t>
            </w:r>
            <w:r w:rsidRPr="00A51E75">
              <w:rPr>
                <w:rFonts w:asciiTheme="minorHAnsi" w:eastAsia="SimSun" w:hAnsiTheme="minorHAnsi" w:cstheme="minorHAnsi"/>
                <w:sz w:val="18"/>
                <w:szCs w:val="18"/>
              </w:rPr>
              <w:lastRenderedPageBreak/>
              <w:t xml:space="preserve">multitemporal de la deforestación en las zonas prioritarias del proyecto (Z1, Z2, Z3, Z4, Z5 y Z7), comparando las tasas observadas con las previstas entre 2027 y 2030. Se aplicará la metodología nacional de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utilizando tasas históricas de deforestación (2000–2020) y factores de emisión por estrato forestal del Inventario Nacional de Bosques. La captura de carbono proveniente de la restauración o la producción sostenible no está incluida en esta fase. </w:t>
            </w:r>
          </w:p>
          <w:p w14:paraId="1127FAEA" w14:textId="0585F532" w:rsidR="0044555A" w:rsidRPr="00D830D9" w:rsidRDefault="3FE3B6C6" w:rsidP="1D9DC7A6">
            <w:pPr>
              <w:rPr>
                <w:rFonts w:asciiTheme="minorHAnsi" w:hAnsiTheme="minorHAnsi" w:cstheme="minorBidi"/>
                <w:color w:val="000000"/>
                <w:sz w:val="18"/>
                <w:szCs w:val="18"/>
                <w:lang w:val="es-EC"/>
              </w:rPr>
            </w:pPr>
            <w:r w:rsidRPr="00A51E75">
              <w:rPr>
                <w:rFonts w:asciiTheme="minorHAnsi" w:hAnsiTheme="minorHAnsi" w:cstheme="minorBidi"/>
                <w:color w:val="000000" w:themeColor="text1"/>
                <w:sz w:val="18"/>
                <w:szCs w:val="18"/>
              </w:rPr>
              <w:t>Se incluye la hoja de cálculo "</w:t>
            </w:r>
            <w:r w:rsidR="0059006F" w:rsidRPr="00A51E75">
              <w:rPr>
                <w:rFonts w:asciiTheme="minorHAnsi" w:hAnsiTheme="minorHAnsi" w:cstheme="minorBidi"/>
                <w:color w:val="000000" w:themeColor="text1"/>
                <w:sz w:val="18"/>
                <w:szCs w:val="18"/>
              </w:rPr>
              <w:t>Estimación</w:t>
            </w:r>
            <w:r w:rsidRPr="00A51E75">
              <w:rPr>
                <w:rFonts w:asciiTheme="minorHAnsi" w:hAnsiTheme="minorHAnsi" w:cstheme="minorBidi"/>
                <w:color w:val="000000" w:themeColor="text1"/>
                <w:sz w:val="18"/>
                <w:szCs w:val="18"/>
              </w:rPr>
              <w:t xml:space="preserve"> emisiones V2", que utiliza la metodología </w:t>
            </w:r>
            <w:r w:rsidR="0078696E">
              <w:rPr>
                <w:rFonts w:asciiTheme="minorHAnsi" w:hAnsiTheme="minorHAnsi" w:cstheme="minorBidi"/>
                <w:color w:val="000000" w:themeColor="text1"/>
                <w:sz w:val="18"/>
                <w:szCs w:val="18"/>
              </w:rPr>
              <w:t>FMAM</w:t>
            </w:r>
            <w:r w:rsidRPr="00A51E75">
              <w:rPr>
                <w:rFonts w:asciiTheme="minorHAnsi" w:hAnsiTheme="minorHAnsi" w:cstheme="minorBidi"/>
                <w:color w:val="000000" w:themeColor="text1"/>
                <w:sz w:val="18"/>
                <w:szCs w:val="18"/>
              </w:rPr>
              <w:t xml:space="preserve"> para las emisiones evitadas durante 20 años.</w:t>
            </w:r>
          </w:p>
        </w:tc>
        <w:tc>
          <w:tcPr>
            <w:tcW w:w="686" w:type="pct"/>
          </w:tcPr>
          <w:p w14:paraId="45D18C98" w14:textId="76CCDAE3" w:rsidR="00EE0A28" w:rsidRPr="00D830D9" w:rsidRDefault="00EE0A28" w:rsidP="00EE0A28">
            <w:pPr>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lastRenderedPageBreak/>
              <w:t xml:space="preserve"> Anualmente (reportado en la sección de Progreso Objetivo de Desarrollo del PIR del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cierre de medio mandato y de proyectos </w:t>
            </w:r>
          </w:p>
        </w:tc>
        <w:tc>
          <w:tcPr>
            <w:tcW w:w="571" w:type="pct"/>
          </w:tcPr>
          <w:p w14:paraId="130B75CB" w14:textId="4D47DA50" w:rsidR="00EE0A28" w:rsidRPr="00D830D9" w:rsidRDefault="00EE0A28" w:rsidP="00EE0A28">
            <w:pPr>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t xml:space="preserve"> Equipo de consultoría contratado por el proyecto bajo la supervisión del Sistema </w:t>
            </w:r>
            <w:r w:rsidR="0059006F">
              <w:rPr>
                <w:rFonts w:asciiTheme="minorHAnsi" w:eastAsia="SimSun" w:hAnsiTheme="minorHAnsi" w:cstheme="minorHAnsi"/>
                <w:sz w:val="18"/>
                <w:szCs w:val="18"/>
              </w:rPr>
              <w:t xml:space="preserve">Nacional </w:t>
            </w:r>
            <w:r w:rsidRPr="00A51E75">
              <w:rPr>
                <w:rFonts w:asciiTheme="minorHAnsi" w:eastAsia="SimSun" w:hAnsiTheme="minorHAnsi" w:cstheme="minorHAnsi"/>
                <w:sz w:val="18"/>
                <w:szCs w:val="18"/>
              </w:rPr>
              <w:t>de Monitoreo Forestal (</w:t>
            </w:r>
            <w:r w:rsidR="0059006F">
              <w:rPr>
                <w:rFonts w:asciiTheme="minorHAnsi" w:eastAsia="SimSun" w:hAnsiTheme="minorHAnsi" w:cstheme="minorHAnsi"/>
                <w:sz w:val="18"/>
                <w:szCs w:val="18"/>
              </w:rPr>
              <w:t>SNMB</w:t>
            </w:r>
            <w:r w:rsidRPr="00A51E75">
              <w:rPr>
                <w:rFonts w:asciiTheme="minorHAnsi" w:eastAsia="SimSun" w:hAnsiTheme="minorHAnsi" w:cstheme="minorHAnsi"/>
                <w:sz w:val="18"/>
                <w:szCs w:val="18"/>
              </w:rPr>
              <w:t xml:space="preserve">) de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p>
        </w:tc>
        <w:tc>
          <w:tcPr>
            <w:tcW w:w="783" w:type="pct"/>
          </w:tcPr>
          <w:p w14:paraId="368D013A" w14:textId="588F00F5" w:rsidR="00EE0A28" w:rsidRPr="00D830D9" w:rsidRDefault="00EE0A28" w:rsidP="00EE0A28">
            <w:pPr>
              <w:rPr>
                <w:rFonts w:asciiTheme="minorHAnsi" w:hAnsiTheme="minorHAnsi" w:cstheme="minorHAnsi"/>
                <w:color w:val="000000"/>
                <w:sz w:val="18"/>
                <w:szCs w:val="18"/>
                <w:lang w:val="es-EC"/>
              </w:rPr>
            </w:pPr>
            <w:r w:rsidRPr="00A51E75">
              <w:rPr>
                <w:rFonts w:asciiTheme="minorHAnsi" w:eastAsia="SimSun" w:hAnsiTheme="minorHAnsi" w:cstheme="minorHAnsi"/>
                <w:sz w:val="18"/>
                <w:szCs w:val="18"/>
              </w:rPr>
              <w:t>Informes aprobados por la S</w:t>
            </w:r>
            <w:r w:rsidR="0059006F">
              <w:rPr>
                <w:rFonts w:asciiTheme="minorHAnsi" w:eastAsia="SimSun" w:hAnsiTheme="minorHAnsi" w:cstheme="minorHAnsi"/>
                <w:sz w:val="18"/>
                <w:szCs w:val="18"/>
              </w:rPr>
              <w:t>N</w:t>
            </w:r>
            <w:r w:rsidRPr="00A51E75">
              <w:rPr>
                <w:rFonts w:asciiTheme="minorHAnsi" w:eastAsia="SimSun" w:hAnsiTheme="minorHAnsi" w:cstheme="minorHAnsi"/>
                <w:sz w:val="18"/>
                <w:szCs w:val="18"/>
              </w:rPr>
              <w:t xml:space="preserve">MB de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sobre tasa de deforestación y estimación de emisiones; análisis multitemporal; factores oficiales de emisión; Informes de implementación para zonas prioritarias</w:t>
            </w:r>
          </w:p>
        </w:tc>
      </w:tr>
      <w:tr w:rsidR="00FD2D13" w:rsidRPr="007D4F41" w14:paraId="7F22AF0F" w14:textId="77777777" w:rsidTr="1D9DC7A6">
        <w:trPr>
          <w:trHeight w:val="20"/>
        </w:trPr>
        <w:tc>
          <w:tcPr>
            <w:tcW w:w="531" w:type="pct"/>
            <w:vMerge/>
          </w:tcPr>
          <w:p w14:paraId="4F4865F7" w14:textId="77777777" w:rsidR="00400A1F" w:rsidRPr="00D830D9" w:rsidRDefault="00400A1F" w:rsidP="00400A1F">
            <w:pPr>
              <w:widowControl w:val="0"/>
              <w:pBdr>
                <w:top w:val="nil"/>
                <w:left w:val="nil"/>
                <w:bottom w:val="nil"/>
                <w:right w:val="nil"/>
                <w:between w:val="nil"/>
              </w:pBdr>
              <w:spacing w:line="276" w:lineRule="auto"/>
              <w:rPr>
                <w:rFonts w:asciiTheme="minorHAnsi" w:hAnsiTheme="minorHAnsi" w:cstheme="minorHAnsi"/>
                <w:color w:val="000000"/>
                <w:sz w:val="18"/>
                <w:szCs w:val="18"/>
                <w:lang w:val="es-EC"/>
              </w:rPr>
            </w:pPr>
            <w:bookmarkStart w:id="40" w:name="_Hlk193960792"/>
          </w:p>
        </w:tc>
        <w:tc>
          <w:tcPr>
            <w:tcW w:w="410" w:type="pct"/>
            <w:vMerge w:val="restart"/>
          </w:tcPr>
          <w:p w14:paraId="277C9FBB" w14:textId="77777777" w:rsidR="00400A1F" w:rsidRPr="00A51E75" w:rsidRDefault="00400A1F" w:rsidP="00400A1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Objetivo del proyecto 11</w:t>
            </w:r>
          </w:p>
          <w:p w14:paraId="73088B18" w14:textId="77777777" w:rsidR="00400A1F" w:rsidRPr="00A51E75" w:rsidRDefault="00400A1F" w:rsidP="00400A1F">
            <w:pPr>
              <w:spacing w:after="60"/>
              <w:jc w:val="both"/>
              <w:rPr>
                <w:rFonts w:asciiTheme="minorHAnsi" w:hAnsiTheme="minorHAnsi" w:cstheme="minorHAnsi"/>
                <w:b/>
                <w:sz w:val="18"/>
                <w:szCs w:val="18"/>
              </w:rPr>
            </w:pPr>
          </w:p>
        </w:tc>
        <w:tc>
          <w:tcPr>
            <w:tcW w:w="727" w:type="pct"/>
          </w:tcPr>
          <w:p w14:paraId="744355D5" w14:textId="1B676E36"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 xml:space="preserve">Indicador 6: </w:t>
            </w:r>
            <w:r w:rsidRPr="00A51E75">
              <w:rPr>
                <w:rFonts w:asciiTheme="minorHAnsi" w:hAnsiTheme="minorHAnsi" w:cstheme="minorHAnsi"/>
                <w:color w:val="000000"/>
                <w:sz w:val="18"/>
                <w:szCs w:val="18"/>
              </w:rPr>
              <w:t>Número de regulaciones, políticas y planes de gestión territorial alineados e implementados con la participación efectiva de las mujeres y los pueblos indígenas.</w:t>
            </w:r>
          </w:p>
          <w:p w14:paraId="241D3286" w14:textId="77777777" w:rsidR="00400A1F" w:rsidRPr="00D830D9" w:rsidRDefault="00400A1F" w:rsidP="00400A1F">
            <w:pPr>
              <w:contextualSpacing/>
              <w:rPr>
                <w:rFonts w:asciiTheme="minorHAnsi" w:hAnsiTheme="minorHAnsi" w:cstheme="minorHAnsi"/>
                <w:b/>
                <w:bCs/>
                <w:color w:val="000000"/>
                <w:sz w:val="18"/>
                <w:szCs w:val="18"/>
                <w:lang w:val="es-EC"/>
              </w:rPr>
            </w:pPr>
          </w:p>
          <w:p w14:paraId="3387D923" w14:textId="1AECC651" w:rsidR="00400A1F" w:rsidRPr="00D830D9" w:rsidRDefault="00400A1F" w:rsidP="00400A1F">
            <w:pPr>
              <w:contextualSpacing/>
              <w:rPr>
                <w:rFonts w:asciiTheme="minorHAnsi" w:hAnsiTheme="minorHAnsi" w:cstheme="minorHAnsi"/>
                <w:b/>
                <w:i/>
                <w:sz w:val="18"/>
                <w:szCs w:val="18"/>
                <w:lang w:val="es-EC"/>
              </w:rPr>
            </w:pPr>
            <w:r w:rsidRPr="00A51E75">
              <w:rPr>
                <w:rFonts w:asciiTheme="minorHAnsi" w:hAnsiTheme="minorHAnsi" w:cstheme="minorHAnsi"/>
                <w:b/>
                <w:bCs/>
                <w:color w:val="000000"/>
                <w:sz w:val="18"/>
                <w:szCs w:val="18"/>
              </w:rPr>
              <w:t xml:space="preserve">(Contribuye a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 xml:space="preserve">11: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 xml:space="preserve">11.1 e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11.2 – 40% beneficiarias mujeres)</w:t>
            </w:r>
          </w:p>
        </w:tc>
        <w:tc>
          <w:tcPr>
            <w:tcW w:w="600" w:type="pct"/>
          </w:tcPr>
          <w:p w14:paraId="2B35F5B4" w14:textId="77777777" w:rsidR="00400A1F" w:rsidRPr="00D830D9" w:rsidRDefault="00400A1F" w:rsidP="00400A1F">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Examen parcial:</w:t>
            </w:r>
          </w:p>
          <w:p w14:paraId="7A116ABA"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1 regulación o política pública implementada</w:t>
            </w:r>
          </w:p>
          <w:p w14:paraId="062ACE65"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1 plan de gestión territorial implementado</w:t>
            </w:r>
          </w:p>
          <w:p w14:paraId="702C1968" w14:textId="77777777" w:rsidR="00400A1F" w:rsidRPr="00D830D9" w:rsidRDefault="00400A1F" w:rsidP="00400A1F">
            <w:pPr>
              <w:contextualSpacing/>
              <w:rPr>
                <w:rFonts w:asciiTheme="minorHAnsi" w:hAnsiTheme="minorHAnsi" w:cstheme="minorHAnsi"/>
                <w:b/>
                <w:bCs/>
                <w:color w:val="000000"/>
                <w:sz w:val="18"/>
                <w:szCs w:val="18"/>
                <w:lang w:val="es-EC"/>
              </w:rPr>
            </w:pPr>
          </w:p>
          <w:p w14:paraId="505E0FDA" w14:textId="77777777" w:rsidR="00400A1F" w:rsidRPr="00D830D9" w:rsidRDefault="00400A1F" w:rsidP="00400A1F">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Fin del proyecto:</w:t>
            </w:r>
          </w:p>
          <w:p w14:paraId="3FF6950C"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2 regulaciones o políticas públicas implementadas</w:t>
            </w:r>
          </w:p>
          <w:p w14:paraId="0109A69D" w14:textId="67A584E8" w:rsidR="00400A1F" w:rsidRPr="00D830D9" w:rsidRDefault="00400A1F" w:rsidP="00400A1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Al menos 2 planes de gestión territorial implementados</w:t>
            </w:r>
          </w:p>
        </w:tc>
        <w:tc>
          <w:tcPr>
            <w:tcW w:w="692" w:type="pct"/>
          </w:tcPr>
          <w:p w14:paraId="6A039E13" w14:textId="20E64B23" w:rsidR="00400A1F" w:rsidRPr="00D830D9" w:rsidRDefault="00400A1F" w:rsidP="00400A1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Este indicador rastrea el número de instrumentos formales (por ejemplo, regulaciones, políticas, instrumentos de planificación territorial) que están alineados e implementados eficazmente con procesos de participación inclusiva que involucran a mujeres y pueblos indígenas. Apoya la toma de decisiones, fortalece la gobernanza y garantiza la legitimidad y eficacia de las intervenciones en la gestión del paisaje y los recursos.</w:t>
            </w:r>
          </w:p>
        </w:tc>
        <w:tc>
          <w:tcPr>
            <w:tcW w:w="686" w:type="pct"/>
          </w:tcPr>
          <w:p w14:paraId="608ADAE8" w14:textId="3DDD3CBB" w:rsidR="00400A1F" w:rsidRPr="00D830D9" w:rsidRDefault="00400A1F" w:rsidP="00400A1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Semestralmente, parcial y final del proyecto</w:t>
            </w:r>
          </w:p>
        </w:tc>
        <w:tc>
          <w:tcPr>
            <w:tcW w:w="571" w:type="pct"/>
          </w:tcPr>
          <w:p w14:paraId="3EBB7E2A" w14:textId="737662B6" w:rsidR="00400A1F" w:rsidRPr="00D830D9" w:rsidRDefault="00400A1F" w:rsidP="00400A1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equipo de implementación del proyecto;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gobiernos locales; Socios técnicos implicados en la planificación participativa</w:t>
            </w:r>
          </w:p>
        </w:tc>
        <w:tc>
          <w:tcPr>
            <w:tcW w:w="783" w:type="pct"/>
          </w:tcPr>
          <w:p w14:paraId="56C01CE1"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Informes de seguimiento bienales sobre la participación</w:t>
            </w:r>
          </w:p>
          <w:p w14:paraId="2C78EAE3"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Resoluciones y documentos oficiales</w:t>
            </w:r>
          </w:p>
          <w:p w14:paraId="2214C8D1"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Registros de asistencia de reuniones participativas</w:t>
            </w:r>
          </w:p>
          <w:p w14:paraId="4A03019F"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Grupos focales y entrevistas con mujeres y actores indígenas</w:t>
            </w:r>
          </w:p>
          <w:p w14:paraId="344C6D9B" w14:textId="77777777" w:rsidR="00400A1F" w:rsidRPr="00D830D9" w:rsidRDefault="00400A1F" w:rsidP="00400A1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Registros de decisiones tomadas por actores locales</w:t>
            </w:r>
          </w:p>
          <w:p w14:paraId="2581C9AD" w14:textId="34BC0C82" w:rsidR="00400A1F" w:rsidRPr="00D830D9" w:rsidRDefault="00400A1F" w:rsidP="00400A1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Evidencia de procesos de articulación de gobernanza multisectorial (por ejemplo, regulaciones de cuencas fluviales)</w:t>
            </w:r>
          </w:p>
        </w:tc>
      </w:tr>
      <w:tr w:rsidR="00FD2D13" w:rsidRPr="007D4F41" w14:paraId="59A4865C" w14:textId="77777777" w:rsidTr="1D9DC7A6">
        <w:trPr>
          <w:trHeight w:val="20"/>
        </w:trPr>
        <w:tc>
          <w:tcPr>
            <w:tcW w:w="531" w:type="pct"/>
            <w:vMerge/>
          </w:tcPr>
          <w:p w14:paraId="70A2E202" w14:textId="77777777" w:rsidR="008468A0" w:rsidRPr="00D830D9" w:rsidRDefault="008468A0" w:rsidP="008468A0">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41" w:name="_Hlk193962360"/>
            <w:bookmarkEnd w:id="40"/>
          </w:p>
        </w:tc>
        <w:tc>
          <w:tcPr>
            <w:tcW w:w="410" w:type="pct"/>
            <w:vMerge/>
          </w:tcPr>
          <w:p w14:paraId="33C567D4" w14:textId="77777777" w:rsidR="008468A0" w:rsidRPr="00D830D9" w:rsidRDefault="008468A0" w:rsidP="008468A0">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3E954172" w14:textId="77777777"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b/>
                <w:bCs/>
                <w:color w:val="000000"/>
                <w:sz w:val="18"/>
                <w:szCs w:val="18"/>
              </w:rPr>
              <w:t>Indicador 7:</w:t>
            </w:r>
            <w:r w:rsidRPr="0059006F">
              <w:rPr>
                <w:rFonts w:asciiTheme="minorHAnsi" w:hAnsiTheme="minorHAnsi" w:cstheme="minorHAnsi"/>
                <w:color w:val="000000"/>
                <w:sz w:val="18"/>
                <w:szCs w:val="18"/>
              </w:rPr>
              <w:t xml:space="preserve"> Número de mecanismos de gobernanza (por ejemplo, plataformas de coordinación multisectorial) y acuerdos interinstitucionales </w:t>
            </w:r>
            <w:r w:rsidRPr="0059006F">
              <w:rPr>
                <w:rFonts w:asciiTheme="minorHAnsi" w:hAnsiTheme="minorHAnsi" w:cstheme="minorHAnsi"/>
                <w:color w:val="000000"/>
                <w:sz w:val="18"/>
                <w:szCs w:val="18"/>
              </w:rPr>
              <w:lastRenderedPageBreak/>
              <w:t>(por ejemplo, sobre gestión territorial y de recursos hídricos) implementados o reforzados con la participación efectiva de mujeres y pueblos indígenas.</w:t>
            </w:r>
          </w:p>
          <w:p w14:paraId="0B2D0F04" w14:textId="77777777" w:rsidR="008468A0" w:rsidRPr="0059006F" w:rsidRDefault="008468A0" w:rsidP="008468A0">
            <w:pPr>
              <w:contextualSpacing/>
              <w:rPr>
                <w:rFonts w:asciiTheme="minorHAnsi" w:hAnsiTheme="minorHAnsi" w:cstheme="minorHAnsi"/>
                <w:b/>
                <w:bCs/>
                <w:color w:val="000000"/>
                <w:sz w:val="18"/>
                <w:szCs w:val="18"/>
              </w:rPr>
            </w:pPr>
          </w:p>
          <w:p w14:paraId="372D08A8" w14:textId="2F70CAE9" w:rsidR="008468A0" w:rsidRPr="0059006F" w:rsidRDefault="008468A0" w:rsidP="008468A0">
            <w:pPr>
              <w:contextualSpacing/>
              <w:rPr>
                <w:rFonts w:asciiTheme="minorHAnsi" w:hAnsiTheme="minorHAnsi" w:cstheme="minorHAnsi"/>
                <w:i/>
                <w:sz w:val="18"/>
                <w:szCs w:val="18"/>
              </w:rPr>
            </w:pPr>
            <w:r w:rsidRPr="0059006F">
              <w:rPr>
                <w:rFonts w:asciiTheme="minorHAnsi" w:hAnsiTheme="minorHAnsi" w:cstheme="minorHAnsi"/>
                <w:b/>
                <w:bCs/>
                <w:color w:val="000000"/>
                <w:sz w:val="18"/>
                <w:szCs w:val="18"/>
              </w:rPr>
              <w:t xml:space="preserve">(Contribuye al </w:t>
            </w:r>
            <w:r w:rsidR="00A60D5B">
              <w:rPr>
                <w:rFonts w:asciiTheme="minorHAnsi" w:hAnsiTheme="minorHAnsi" w:cstheme="minorHAnsi"/>
                <w:b/>
                <w:bCs/>
                <w:color w:val="000000"/>
                <w:sz w:val="18"/>
                <w:szCs w:val="18"/>
              </w:rPr>
              <w:t xml:space="preserve">IC </w:t>
            </w:r>
            <w:r w:rsidRPr="0059006F">
              <w:rPr>
                <w:rFonts w:asciiTheme="minorHAnsi" w:hAnsiTheme="minorHAnsi" w:cstheme="minorHAnsi"/>
                <w:b/>
                <w:bCs/>
                <w:color w:val="000000"/>
                <w:sz w:val="18"/>
                <w:szCs w:val="18"/>
              </w:rPr>
              <w:t xml:space="preserve">11 del </w:t>
            </w:r>
            <w:r w:rsidR="0078696E">
              <w:rPr>
                <w:rFonts w:asciiTheme="minorHAnsi" w:hAnsiTheme="minorHAnsi" w:cstheme="minorHAnsi"/>
                <w:b/>
                <w:bCs/>
                <w:color w:val="000000"/>
                <w:sz w:val="18"/>
                <w:szCs w:val="18"/>
              </w:rPr>
              <w:t>FMAM</w:t>
            </w:r>
            <w:r w:rsidRPr="0059006F">
              <w:rPr>
                <w:rFonts w:asciiTheme="minorHAnsi" w:hAnsiTheme="minorHAnsi" w:cstheme="minorHAnsi"/>
                <w:b/>
                <w:bCs/>
                <w:color w:val="000000"/>
                <w:sz w:val="18"/>
                <w:szCs w:val="18"/>
              </w:rPr>
              <w:t xml:space="preserve">: Subindicadores </w:t>
            </w:r>
            <w:r w:rsidR="00A60D5B">
              <w:rPr>
                <w:rFonts w:asciiTheme="minorHAnsi" w:hAnsiTheme="minorHAnsi" w:cstheme="minorHAnsi"/>
                <w:b/>
                <w:bCs/>
                <w:color w:val="000000"/>
                <w:sz w:val="18"/>
                <w:szCs w:val="18"/>
              </w:rPr>
              <w:t xml:space="preserve">IC </w:t>
            </w:r>
            <w:r w:rsidRPr="0059006F">
              <w:rPr>
                <w:rFonts w:asciiTheme="minorHAnsi" w:hAnsiTheme="minorHAnsi" w:cstheme="minorHAnsi"/>
                <w:b/>
                <w:bCs/>
                <w:color w:val="000000"/>
                <w:sz w:val="18"/>
                <w:szCs w:val="18"/>
              </w:rPr>
              <w:t xml:space="preserve">11.1 e </w:t>
            </w:r>
            <w:r w:rsidR="00A60D5B">
              <w:rPr>
                <w:rFonts w:asciiTheme="minorHAnsi" w:hAnsiTheme="minorHAnsi" w:cstheme="minorHAnsi"/>
                <w:b/>
                <w:bCs/>
                <w:color w:val="000000"/>
                <w:sz w:val="18"/>
                <w:szCs w:val="18"/>
              </w:rPr>
              <w:t xml:space="preserve">IC </w:t>
            </w:r>
            <w:r w:rsidRPr="0059006F">
              <w:rPr>
                <w:rFonts w:asciiTheme="minorHAnsi" w:hAnsiTheme="minorHAnsi" w:cstheme="minorHAnsi"/>
                <w:b/>
                <w:bCs/>
                <w:color w:val="000000"/>
                <w:sz w:val="18"/>
                <w:szCs w:val="18"/>
              </w:rPr>
              <w:t>11.2 – 40% beneficiarias mujeres)</w:t>
            </w:r>
          </w:p>
        </w:tc>
        <w:tc>
          <w:tcPr>
            <w:tcW w:w="600" w:type="pct"/>
          </w:tcPr>
          <w:p w14:paraId="3D0A8F14" w14:textId="77777777" w:rsidR="008468A0" w:rsidRPr="0059006F" w:rsidRDefault="008468A0" w:rsidP="008468A0">
            <w:pPr>
              <w:contextualSpacing/>
              <w:rPr>
                <w:rFonts w:asciiTheme="minorHAnsi" w:hAnsiTheme="minorHAnsi" w:cstheme="minorHAnsi"/>
                <w:b/>
                <w:bCs/>
                <w:color w:val="000000"/>
                <w:sz w:val="18"/>
                <w:szCs w:val="18"/>
              </w:rPr>
            </w:pPr>
            <w:r w:rsidRPr="0059006F">
              <w:rPr>
                <w:rFonts w:asciiTheme="minorHAnsi" w:hAnsiTheme="minorHAnsi" w:cstheme="minorHAnsi"/>
                <w:b/>
                <w:bCs/>
                <w:color w:val="000000"/>
                <w:sz w:val="18"/>
                <w:szCs w:val="18"/>
              </w:rPr>
              <w:lastRenderedPageBreak/>
              <w:t>Examen parcial:</w:t>
            </w:r>
          </w:p>
          <w:p w14:paraId="082FB910" w14:textId="77777777"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Al menos 1 mecanismo de gobernanza</w:t>
            </w:r>
          </w:p>
          <w:p w14:paraId="370AC2C0" w14:textId="3EF64131"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Al menos 1 acuerdo interinstitucional</w:t>
            </w:r>
          </w:p>
          <w:p w14:paraId="5957D67F" w14:textId="77777777" w:rsidR="008468A0" w:rsidRPr="0059006F" w:rsidRDefault="008468A0" w:rsidP="008468A0">
            <w:pPr>
              <w:contextualSpacing/>
              <w:rPr>
                <w:rFonts w:asciiTheme="minorHAnsi" w:hAnsiTheme="minorHAnsi" w:cstheme="minorHAnsi"/>
                <w:b/>
                <w:bCs/>
                <w:color w:val="000000"/>
                <w:sz w:val="18"/>
                <w:szCs w:val="18"/>
              </w:rPr>
            </w:pPr>
          </w:p>
          <w:p w14:paraId="4F3E4060" w14:textId="77777777" w:rsidR="008468A0" w:rsidRPr="0059006F" w:rsidRDefault="008468A0" w:rsidP="008468A0">
            <w:pPr>
              <w:contextualSpacing/>
              <w:rPr>
                <w:rFonts w:asciiTheme="minorHAnsi" w:hAnsiTheme="minorHAnsi" w:cstheme="minorHAnsi"/>
                <w:b/>
                <w:bCs/>
                <w:color w:val="000000"/>
                <w:sz w:val="18"/>
                <w:szCs w:val="18"/>
              </w:rPr>
            </w:pPr>
            <w:r w:rsidRPr="0059006F">
              <w:rPr>
                <w:rFonts w:asciiTheme="minorHAnsi" w:hAnsiTheme="minorHAnsi" w:cstheme="minorHAnsi"/>
                <w:b/>
                <w:bCs/>
                <w:color w:val="000000"/>
                <w:sz w:val="18"/>
                <w:szCs w:val="18"/>
              </w:rPr>
              <w:lastRenderedPageBreak/>
              <w:t>Fin del proyecto:</w:t>
            </w:r>
          </w:p>
          <w:p w14:paraId="76D56A88" w14:textId="08CD8399"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Al menos 2 mecanismos de gobernanza</w:t>
            </w:r>
          </w:p>
          <w:p w14:paraId="1631C29B" w14:textId="58065A60" w:rsidR="008468A0" w:rsidRPr="0059006F" w:rsidRDefault="008468A0" w:rsidP="008468A0">
            <w:pPr>
              <w:contextualSpacing/>
              <w:rPr>
                <w:rFonts w:asciiTheme="minorHAnsi" w:hAnsiTheme="minorHAnsi" w:cstheme="minorHAnsi"/>
                <w:i/>
                <w:sz w:val="18"/>
                <w:szCs w:val="18"/>
              </w:rPr>
            </w:pPr>
            <w:r w:rsidRPr="0059006F">
              <w:rPr>
                <w:rFonts w:asciiTheme="minorHAnsi" w:hAnsiTheme="minorHAnsi" w:cstheme="minorHAnsi"/>
                <w:color w:val="000000"/>
                <w:sz w:val="18"/>
                <w:szCs w:val="18"/>
              </w:rPr>
              <w:t>• Al menos 2 acuerdos interinstitucionales</w:t>
            </w:r>
          </w:p>
        </w:tc>
        <w:tc>
          <w:tcPr>
            <w:tcW w:w="692" w:type="pct"/>
          </w:tcPr>
          <w:p w14:paraId="48126FC1" w14:textId="06C5ED5E" w:rsidR="008468A0" w:rsidRPr="0059006F" w:rsidRDefault="008468A0" w:rsidP="008468A0">
            <w:pPr>
              <w:contextualSpacing/>
              <w:rPr>
                <w:rFonts w:asciiTheme="minorHAnsi" w:hAnsiTheme="minorHAnsi" w:cstheme="minorHAnsi"/>
                <w:i/>
                <w:sz w:val="18"/>
                <w:szCs w:val="18"/>
              </w:rPr>
            </w:pPr>
            <w:r w:rsidRPr="0059006F">
              <w:rPr>
                <w:rFonts w:asciiTheme="minorHAnsi" w:hAnsiTheme="minorHAnsi" w:cstheme="minorHAnsi"/>
                <w:color w:val="000000"/>
                <w:sz w:val="18"/>
                <w:szCs w:val="18"/>
              </w:rPr>
              <w:lastRenderedPageBreak/>
              <w:t xml:space="preserve">El indicador mide el número de espacios de gobernanza nuevos o reforzados y acuerdos formales que fomentan la coordinación entre partes interesadas e </w:t>
            </w:r>
            <w:r w:rsidRPr="0059006F">
              <w:rPr>
                <w:rFonts w:asciiTheme="minorHAnsi" w:hAnsiTheme="minorHAnsi" w:cstheme="minorHAnsi"/>
                <w:color w:val="000000"/>
                <w:sz w:val="18"/>
                <w:szCs w:val="18"/>
              </w:rPr>
              <w:lastRenderedPageBreak/>
              <w:t>instituciones para la gestión del paisaje y los recursos naturales. Estos deben ser inclusivos para las mujeres y los Pueblos Indígenas y vinculados a la gobernanza territorial y del agua dentro de los resultados del proyecto.</w:t>
            </w:r>
          </w:p>
        </w:tc>
        <w:tc>
          <w:tcPr>
            <w:tcW w:w="686" w:type="pct"/>
          </w:tcPr>
          <w:p w14:paraId="0FE8E91D" w14:textId="722FF67A" w:rsidR="008468A0" w:rsidRPr="0059006F" w:rsidRDefault="008468A0" w:rsidP="008468A0">
            <w:pPr>
              <w:contextualSpacing/>
              <w:rPr>
                <w:rFonts w:asciiTheme="minorHAnsi" w:hAnsiTheme="minorHAnsi" w:cstheme="minorHAnsi"/>
                <w:sz w:val="18"/>
                <w:szCs w:val="18"/>
              </w:rPr>
            </w:pPr>
            <w:r w:rsidRPr="0059006F">
              <w:rPr>
                <w:rFonts w:asciiTheme="minorHAnsi" w:hAnsiTheme="minorHAnsi" w:cstheme="minorHAnsi"/>
                <w:color w:val="000000"/>
                <w:sz w:val="18"/>
                <w:szCs w:val="18"/>
              </w:rPr>
              <w:lastRenderedPageBreak/>
              <w:t>Semestralmente, parcial y final del proyecto</w:t>
            </w:r>
          </w:p>
        </w:tc>
        <w:tc>
          <w:tcPr>
            <w:tcW w:w="571" w:type="pct"/>
          </w:tcPr>
          <w:p w14:paraId="7543C277" w14:textId="478704D3" w:rsidR="008468A0" w:rsidRPr="0059006F" w:rsidRDefault="0059006F" w:rsidP="008468A0">
            <w:pPr>
              <w:contextualSpacing/>
              <w:rPr>
                <w:rFonts w:asciiTheme="minorHAnsi" w:hAnsiTheme="minorHAnsi" w:cstheme="minorHAnsi"/>
                <w:sz w:val="18"/>
                <w:szCs w:val="18"/>
              </w:rPr>
            </w:pPr>
            <w:r w:rsidRPr="0059006F">
              <w:rPr>
                <w:rFonts w:asciiTheme="minorHAnsi" w:hAnsiTheme="minorHAnsi" w:cstheme="minorHAnsi"/>
                <w:color w:val="000000"/>
                <w:sz w:val="18"/>
                <w:szCs w:val="18"/>
              </w:rPr>
              <w:t>E</w:t>
            </w:r>
            <w:r w:rsidR="008468A0" w:rsidRPr="0059006F">
              <w:rPr>
                <w:rFonts w:asciiTheme="minorHAnsi" w:hAnsiTheme="minorHAnsi" w:cstheme="minorHAnsi"/>
                <w:color w:val="000000"/>
                <w:sz w:val="18"/>
                <w:szCs w:val="18"/>
              </w:rPr>
              <w:t>quipo</w:t>
            </w:r>
            <w:r w:rsidRPr="0059006F">
              <w:rPr>
                <w:rFonts w:asciiTheme="minorHAnsi" w:hAnsiTheme="minorHAnsi" w:cstheme="minorHAnsi"/>
                <w:color w:val="000000"/>
                <w:sz w:val="18"/>
                <w:szCs w:val="18"/>
              </w:rPr>
              <w:t xml:space="preserve"> </w:t>
            </w:r>
            <w:r w:rsidR="008468A0" w:rsidRPr="0059006F">
              <w:rPr>
                <w:rFonts w:asciiTheme="minorHAnsi" w:hAnsiTheme="minorHAnsi" w:cstheme="minorHAnsi"/>
                <w:color w:val="000000"/>
                <w:sz w:val="18"/>
                <w:szCs w:val="18"/>
              </w:rPr>
              <w:t xml:space="preserve">de implementación del proyecto; </w:t>
            </w:r>
            <w:r w:rsidR="009E221F" w:rsidRPr="0059006F">
              <w:rPr>
                <w:rFonts w:asciiTheme="minorHAnsi" w:hAnsiTheme="minorHAnsi" w:cstheme="minorHAnsi"/>
                <w:color w:val="000000"/>
                <w:sz w:val="18"/>
                <w:szCs w:val="18"/>
              </w:rPr>
              <w:t>MAE</w:t>
            </w:r>
            <w:r w:rsidR="008468A0" w:rsidRPr="0059006F">
              <w:rPr>
                <w:rFonts w:asciiTheme="minorHAnsi" w:hAnsiTheme="minorHAnsi" w:cstheme="minorHAnsi"/>
                <w:color w:val="000000"/>
                <w:sz w:val="18"/>
                <w:szCs w:val="18"/>
              </w:rPr>
              <w:t xml:space="preserve">; </w:t>
            </w:r>
            <w:r w:rsidR="009E221F" w:rsidRPr="0059006F">
              <w:rPr>
                <w:rFonts w:asciiTheme="minorHAnsi" w:hAnsiTheme="minorHAnsi" w:cstheme="minorHAnsi"/>
                <w:color w:val="000000"/>
                <w:sz w:val="18"/>
                <w:szCs w:val="18"/>
              </w:rPr>
              <w:t>MAGP</w:t>
            </w:r>
            <w:r w:rsidR="008468A0" w:rsidRPr="0059006F">
              <w:rPr>
                <w:rFonts w:asciiTheme="minorHAnsi" w:hAnsiTheme="minorHAnsi" w:cstheme="minorHAnsi"/>
                <w:color w:val="000000"/>
                <w:sz w:val="18"/>
                <w:szCs w:val="18"/>
              </w:rPr>
              <w:t xml:space="preserve">; </w:t>
            </w:r>
            <w:r w:rsidRPr="0059006F">
              <w:rPr>
                <w:rFonts w:asciiTheme="minorHAnsi" w:hAnsiTheme="minorHAnsi" w:cstheme="minorHAnsi"/>
                <w:color w:val="000000"/>
                <w:sz w:val="18"/>
                <w:szCs w:val="18"/>
              </w:rPr>
              <w:t>GAD</w:t>
            </w:r>
            <w:r w:rsidR="008468A0" w:rsidRPr="0059006F">
              <w:rPr>
                <w:rFonts w:asciiTheme="minorHAnsi" w:hAnsiTheme="minorHAnsi" w:cstheme="minorHAnsi"/>
                <w:color w:val="000000"/>
                <w:sz w:val="18"/>
                <w:szCs w:val="18"/>
              </w:rPr>
              <w:t>; Consejo de Cuenca; Universidad IKIAM; WCS</w:t>
            </w:r>
          </w:p>
        </w:tc>
        <w:tc>
          <w:tcPr>
            <w:tcW w:w="783" w:type="pct"/>
          </w:tcPr>
          <w:p w14:paraId="5C44FE05" w14:textId="77777777"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Revisión de acuerdos firmados, memorandos de entendimiento y actas</w:t>
            </w:r>
          </w:p>
          <w:p w14:paraId="269D4D32" w14:textId="23021843"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xml:space="preserve">• Informes de </w:t>
            </w:r>
            <w:r w:rsidR="009E221F" w:rsidRPr="0059006F">
              <w:rPr>
                <w:rFonts w:asciiTheme="minorHAnsi" w:hAnsiTheme="minorHAnsi" w:cstheme="minorHAnsi"/>
                <w:color w:val="000000"/>
                <w:sz w:val="18"/>
                <w:szCs w:val="18"/>
              </w:rPr>
              <w:t>MAGP</w:t>
            </w:r>
            <w:r w:rsidRPr="0059006F">
              <w:rPr>
                <w:rFonts w:asciiTheme="minorHAnsi" w:hAnsiTheme="minorHAnsi" w:cstheme="minorHAnsi"/>
                <w:color w:val="000000"/>
                <w:sz w:val="18"/>
                <w:szCs w:val="18"/>
              </w:rPr>
              <w:t xml:space="preserve">, </w:t>
            </w:r>
            <w:r w:rsidR="009E221F" w:rsidRPr="0059006F">
              <w:rPr>
                <w:rFonts w:asciiTheme="minorHAnsi" w:hAnsiTheme="minorHAnsi" w:cstheme="minorHAnsi"/>
                <w:color w:val="000000"/>
                <w:sz w:val="18"/>
                <w:szCs w:val="18"/>
              </w:rPr>
              <w:t>MAE</w:t>
            </w:r>
            <w:r w:rsidRPr="0059006F">
              <w:rPr>
                <w:rFonts w:asciiTheme="minorHAnsi" w:hAnsiTheme="minorHAnsi" w:cstheme="minorHAnsi"/>
                <w:color w:val="000000"/>
                <w:sz w:val="18"/>
                <w:szCs w:val="18"/>
              </w:rPr>
              <w:t xml:space="preserve">, </w:t>
            </w:r>
            <w:proofErr w:type="spellStart"/>
            <w:r w:rsidRPr="0059006F">
              <w:rPr>
                <w:rFonts w:asciiTheme="minorHAnsi" w:hAnsiTheme="minorHAnsi" w:cstheme="minorHAnsi"/>
                <w:color w:val="000000"/>
                <w:sz w:val="18"/>
                <w:szCs w:val="18"/>
              </w:rPr>
              <w:t>GADs</w:t>
            </w:r>
            <w:proofErr w:type="spellEnd"/>
            <w:r w:rsidRPr="0059006F">
              <w:rPr>
                <w:rFonts w:asciiTheme="minorHAnsi" w:hAnsiTheme="minorHAnsi" w:cstheme="minorHAnsi"/>
                <w:color w:val="000000"/>
                <w:sz w:val="18"/>
                <w:szCs w:val="18"/>
              </w:rPr>
              <w:t xml:space="preserve">, </w:t>
            </w:r>
            <w:r w:rsidR="0059006F">
              <w:rPr>
                <w:rFonts w:asciiTheme="minorHAnsi" w:hAnsiTheme="minorHAnsi" w:cstheme="minorHAnsi"/>
                <w:color w:val="000000"/>
                <w:sz w:val="18"/>
                <w:szCs w:val="18"/>
              </w:rPr>
              <w:t xml:space="preserve">Mesa </w:t>
            </w:r>
            <w:r w:rsidRPr="0059006F">
              <w:rPr>
                <w:rFonts w:asciiTheme="minorHAnsi" w:hAnsiTheme="minorHAnsi" w:cstheme="minorHAnsi"/>
                <w:color w:val="000000"/>
                <w:sz w:val="18"/>
                <w:szCs w:val="18"/>
              </w:rPr>
              <w:t xml:space="preserve">REDD+ y </w:t>
            </w:r>
            <w:r w:rsidR="00701494" w:rsidRPr="00A51E75">
              <w:rPr>
                <w:rFonts w:asciiTheme="minorHAnsi" w:eastAsia="SimSun" w:hAnsiTheme="minorHAnsi" w:cstheme="minorHAnsi"/>
                <w:sz w:val="18"/>
                <w:szCs w:val="18"/>
              </w:rPr>
              <w:t xml:space="preserve">Observatorio </w:t>
            </w:r>
            <w:r w:rsidR="00701494" w:rsidRPr="00A51E75">
              <w:rPr>
                <w:rFonts w:asciiTheme="minorHAnsi" w:eastAsia="SimSun" w:hAnsiTheme="minorHAnsi" w:cstheme="minorHAnsi"/>
                <w:sz w:val="18"/>
                <w:szCs w:val="18"/>
              </w:rPr>
              <w:lastRenderedPageBreak/>
              <w:t>de Degradación de Tierras</w:t>
            </w:r>
          </w:p>
          <w:p w14:paraId="2D1C27EB" w14:textId="77777777"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Entrevistas y encuestas con participantes (especialmente mujeres y pueblos indígenas)</w:t>
            </w:r>
          </w:p>
          <w:p w14:paraId="3D8488AB" w14:textId="77777777" w:rsidR="008468A0" w:rsidRPr="0059006F" w:rsidRDefault="008468A0" w:rsidP="008468A0">
            <w:pPr>
              <w:contextualSpacing/>
              <w:rPr>
                <w:rFonts w:asciiTheme="minorHAnsi" w:hAnsiTheme="minorHAnsi" w:cstheme="minorHAnsi"/>
                <w:color w:val="000000"/>
                <w:sz w:val="18"/>
                <w:szCs w:val="18"/>
              </w:rPr>
            </w:pPr>
            <w:r w:rsidRPr="0059006F">
              <w:rPr>
                <w:rFonts w:asciiTheme="minorHAnsi" w:hAnsiTheme="minorHAnsi" w:cstheme="minorHAnsi"/>
                <w:color w:val="000000"/>
                <w:sz w:val="18"/>
                <w:szCs w:val="18"/>
              </w:rPr>
              <w:t>• Registros de reuniones desde plataformas multisectoriales</w:t>
            </w:r>
          </w:p>
          <w:p w14:paraId="724845A4" w14:textId="3401399A" w:rsidR="008468A0" w:rsidRPr="0059006F" w:rsidRDefault="008468A0" w:rsidP="008468A0">
            <w:pPr>
              <w:contextualSpacing/>
              <w:rPr>
                <w:rFonts w:asciiTheme="minorHAnsi" w:hAnsiTheme="minorHAnsi" w:cstheme="minorHAnsi"/>
                <w:sz w:val="18"/>
                <w:szCs w:val="18"/>
              </w:rPr>
            </w:pPr>
            <w:r w:rsidRPr="0059006F">
              <w:rPr>
                <w:rFonts w:asciiTheme="minorHAnsi" w:hAnsiTheme="minorHAnsi" w:cstheme="minorHAnsi"/>
                <w:color w:val="000000"/>
                <w:sz w:val="18"/>
                <w:szCs w:val="18"/>
              </w:rPr>
              <w:t>• Informes sobre los procesos de toma de decisiones influenciados por los mecanismos de gobernanza</w:t>
            </w:r>
          </w:p>
        </w:tc>
      </w:tr>
      <w:tr w:rsidR="00633FEC" w:rsidRPr="007D4F41" w14:paraId="3C175539" w14:textId="77777777" w:rsidTr="1D9DC7A6">
        <w:trPr>
          <w:trHeight w:val="20"/>
        </w:trPr>
        <w:tc>
          <w:tcPr>
            <w:tcW w:w="531" w:type="pct"/>
            <w:vMerge/>
          </w:tcPr>
          <w:p w14:paraId="17C352E9" w14:textId="77777777" w:rsidR="00633FEC" w:rsidRPr="00D830D9" w:rsidRDefault="00633FEC" w:rsidP="00633FEC">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42" w:name="_Hlk193963273"/>
            <w:bookmarkEnd w:id="41"/>
          </w:p>
        </w:tc>
        <w:tc>
          <w:tcPr>
            <w:tcW w:w="410" w:type="pct"/>
            <w:vMerge/>
          </w:tcPr>
          <w:p w14:paraId="3B50862B" w14:textId="77777777" w:rsidR="00633FEC" w:rsidRPr="00D830D9" w:rsidRDefault="00633FEC" w:rsidP="00633FEC">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727" w:type="pct"/>
          </w:tcPr>
          <w:p w14:paraId="1B37EB14" w14:textId="7D9093BD" w:rsidR="00633FEC" w:rsidRPr="00D830D9" w:rsidRDefault="00633FEC" w:rsidP="00633FEC">
            <w:pPr>
              <w:spacing w:after="60"/>
              <w:rPr>
                <w:rFonts w:asciiTheme="minorHAnsi" w:hAnsiTheme="minorHAnsi" w:cstheme="minorHAnsi"/>
                <w:sz w:val="18"/>
                <w:szCs w:val="18"/>
                <w:lang w:val="es-EC"/>
              </w:rPr>
            </w:pPr>
            <w:r w:rsidRPr="00A51E75">
              <w:rPr>
                <w:rFonts w:asciiTheme="minorHAnsi" w:hAnsiTheme="minorHAnsi" w:cstheme="minorHAnsi"/>
                <w:b/>
                <w:bCs/>
                <w:color w:val="000000"/>
                <w:sz w:val="18"/>
                <w:szCs w:val="18"/>
              </w:rPr>
              <w:t xml:space="preserve">Indicador 8: </w:t>
            </w:r>
            <w:r w:rsidRPr="00A51E75">
              <w:rPr>
                <w:rFonts w:asciiTheme="minorHAnsi" w:hAnsiTheme="minorHAnsi" w:cstheme="minorHAnsi"/>
                <w:color w:val="000000"/>
                <w:sz w:val="18"/>
                <w:szCs w:val="18"/>
              </w:rPr>
              <w:t xml:space="preserve">Número de proyectos alineados con instrumentos de planificación territorial (PDOT, PIA, REDD+ y </w:t>
            </w:r>
            <w:r w:rsidR="00672FDF">
              <w:rPr>
                <w:rFonts w:asciiTheme="minorHAnsi" w:hAnsiTheme="minorHAnsi" w:cstheme="minorHAnsi"/>
                <w:color w:val="000000"/>
                <w:sz w:val="18"/>
                <w:szCs w:val="18"/>
              </w:rPr>
              <w:t>Planes de vida</w:t>
            </w:r>
            <w:r w:rsidRPr="00A51E75">
              <w:rPr>
                <w:rFonts w:asciiTheme="minorHAnsi" w:hAnsiTheme="minorHAnsi" w:cstheme="minorHAnsi"/>
                <w:color w:val="000000"/>
                <w:sz w:val="18"/>
                <w:szCs w:val="18"/>
              </w:rPr>
              <w:t>), incorporando criterios de conservación de la biodiversidad y equidad de género, y contribuyendo a la sostenibilidad financiera.</w:t>
            </w:r>
          </w:p>
        </w:tc>
        <w:tc>
          <w:tcPr>
            <w:tcW w:w="600" w:type="pct"/>
          </w:tcPr>
          <w:p w14:paraId="44372FAA" w14:textId="77777777" w:rsidR="00633FEC" w:rsidRPr="00D830D9" w:rsidRDefault="00633FEC" w:rsidP="00633FEC">
            <w:pPr>
              <w:spacing w:after="60"/>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A medio plazo:</w:t>
            </w:r>
            <w:r w:rsidRPr="00A51E75">
              <w:rPr>
                <w:rFonts w:asciiTheme="minorHAnsi" w:hAnsiTheme="minorHAnsi" w:cstheme="minorHAnsi"/>
                <w:color w:val="000000"/>
                <w:sz w:val="18"/>
                <w:szCs w:val="18"/>
              </w:rPr>
              <w:t xml:space="preserve"> Al menos 2 proyectos diseñados y alineados con instrumentos de planificación territorial, incorporando criterios de conservación de la biodiversidad y equidad de género, con evidencia de compromiso financiero.  </w:t>
            </w:r>
          </w:p>
          <w:p w14:paraId="62E26135" w14:textId="2F900C5E" w:rsidR="00633FEC" w:rsidRPr="00D830D9" w:rsidRDefault="00633FEC" w:rsidP="00633FEC">
            <w:pPr>
              <w:spacing w:after="60"/>
              <w:rPr>
                <w:rFonts w:asciiTheme="minorHAnsi" w:hAnsiTheme="minorHAnsi" w:cstheme="minorHAnsi"/>
                <w:i/>
                <w:sz w:val="18"/>
                <w:szCs w:val="18"/>
                <w:lang w:val="es-EC"/>
              </w:rPr>
            </w:pPr>
            <w:r w:rsidRPr="00A51E75">
              <w:rPr>
                <w:rFonts w:asciiTheme="minorHAnsi" w:hAnsiTheme="minorHAnsi" w:cstheme="minorHAnsi"/>
                <w:b/>
                <w:bCs/>
                <w:color w:val="000000"/>
                <w:sz w:val="18"/>
                <w:szCs w:val="18"/>
              </w:rPr>
              <w:t>Fin del proyecto:</w:t>
            </w:r>
            <w:r w:rsidRPr="00A51E75">
              <w:rPr>
                <w:rFonts w:asciiTheme="minorHAnsi" w:hAnsiTheme="minorHAnsi" w:cstheme="minorHAnsi"/>
                <w:color w:val="000000"/>
                <w:sz w:val="18"/>
                <w:szCs w:val="18"/>
              </w:rPr>
              <w:t xml:space="preserve"> Al menos 5 </w:t>
            </w:r>
            <w:r w:rsidRPr="00A51E75">
              <w:rPr>
                <w:rFonts w:asciiTheme="minorHAnsi" w:hAnsiTheme="minorHAnsi" w:cstheme="minorHAnsi"/>
                <w:color w:val="000000"/>
                <w:sz w:val="18"/>
                <w:szCs w:val="18"/>
              </w:rPr>
              <w:lastRenderedPageBreak/>
              <w:t>proyectos totalmente alineados, operativos y financiados, integrando la biodiversidad y las salvaguardas de género.</w:t>
            </w:r>
          </w:p>
        </w:tc>
        <w:tc>
          <w:tcPr>
            <w:tcW w:w="692" w:type="pct"/>
          </w:tcPr>
          <w:p w14:paraId="30C15CDA" w14:textId="31D9F8F0" w:rsidR="00633FEC" w:rsidRPr="00D830D9" w:rsidRDefault="00633FEC" w:rsidP="00633FEC">
            <w:pPr>
              <w:rPr>
                <w:rFonts w:asciiTheme="minorHAnsi" w:hAnsiTheme="minorHAnsi" w:cstheme="minorHAnsi"/>
                <w:i/>
                <w:sz w:val="18"/>
                <w:szCs w:val="18"/>
                <w:lang w:val="es-EC"/>
              </w:rPr>
            </w:pPr>
            <w:r w:rsidRPr="00A51E75">
              <w:rPr>
                <w:rFonts w:asciiTheme="minorHAnsi" w:hAnsiTheme="minorHAnsi" w:cstheme="minorHAnsi"/>
                <w:color w:val="000000"/>
                <w:sz w:val="18"/>
                <w:szCs w:val="18"/>
              </w:rPr>
              <w:lastRenderedPageBreak/>
              <w:t xml:space="preserve">Este indicador mide el número de proyectos que están alineados tanto técnica como institucionalmente con instrumentos formales de planificación territorial y que han incorporado salvaguardas de biodiversidad y equidad de género en su diseño e implementación, contribuyendo a la sostenibilidad </w:t>
            </w:r>
            <w:r w:rsidRPr="00A51E75">
              <w:rPr>
                <w:rFonts w:asciiTheme="minorHAnsi" w:hAnsiTheme="minorHAnsi" w:cstheme="minorHAnsi"/>
                <w:color w:val="000000"/>
                <w:sz w:val="18"/>
                <w:szCs w:val="18"/>
              </w:rPr>
              <w:lastRenderedPageBreak/>
              <w:t>financiera a largo plazo. El objetivo incluye una participación mínima del 40% de mujeres como beneficiarias directas.</w:t>
            </w:r>
          </w:p>
        </w:tc>
        <w:tc>
          <w:tcPr>
            <w:tcW w:w="686" w:type="pct"/>
          </w:tcPr>
          <w:p w14:paraId="0513DE75" w14:textId="4FBB895E" w:rsidR="00633FEC" w:rsidRPr="00D830D9" w:rsidRDefault="00633FEC" w:rsidP="00633FEC">
            <w:pPr>
              <w:spacing w:after="60"/>
              <w:rPr>
                <w:rFonts w:asciiTheme="minorHAnsi" w:hAnsiTheme="minorHAnsi" w:cstheme="minorHAnsi"/>
                <w:sz w:val="18"/>
                <w:szCs w:val="18"/>
                <w:lang w:val="es-EC"/>
              </w:rPr>
            </w:pPr>
            <w:r w:rsidRPr="00A51E75">
              <w:rPr>
                <w:rFonts w:asciiTheme="minorHAnsi" w:hAnsiTheme="minorHAnsi" w:cstheme="minorHAnsi"/>
                <w:color w:val="000000"/>
                <w:sz w:val="18"/>
                <w:szCs w:val="18"/>
              </w:rPr>
              <w:lastRenderedPageBreak/>
              <w:t>Anual (con evaluaciones de mitad de curso y final)</w:t>
            </w:r>
          </w:p>
        </w:tc>
        <w:tc>
          <w:tcPr>
            <w:tcW w:w="571" w:type="pct"/>
          </w:tcPr>
          <w:p w14:paraId="6649D803" w14:textId="12860B13" w:rsidR="00633FEC" w:rsidRPr="00D830D9" w:rsidRDefault="00633FEC" w:rsidP="00633FEC">
            <w:pPr>
              <w:spacing w:after="60"/>
              <w:rPr>
                <w:rFonts w:asciiTheme="minorHAnsi" w:hAnsiTheme="minorHAnsi" w:cstheme="minorHAnsi"/>
                <w:sz w:val="18"/>
                <w:szCs w:val="18"/>
                <w:lang w:val="es-EC"/>
              </w:rPr>
            </w:pPr>
            <w:r w:rsidRPr="00A51E75">
              <w:rPr>
                <w:rFonts w:asciiTheme="minorHAnsi" w:hAnsiTheme="minorHAnsi" w:cstheme="minorHAnsi"/>
                <w:color w:val="000000"/>
                <w:sz w:val="18"/>
                <w:szCs w:val="18"/>
              </w:rPr>
              <w:t xml:space="preserve">Equipos técnicos de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xml:space="preserve">, </w:t>
            </w:r>
            <w:proofErr w:type="spellStart"/>
            <w:r w:rsidRPr="00A51E75">
              <w:rPr>
                <w:rFonts w:asciiTheme="minorHAnsi" w:hAnsiTheme="minorHAnsi" w:cstheme="minorHAnsi"/>
                <w:color w:val="000000"/>
                <w:sz w:val="18"/>
                <w:szCs w:val="18"/>
              </w:rPr>
              <w:t>GADs</w:t>
            </w:r>
            <w:proofErr w:type="spellEnd"/>
            <w:r w:rsidRPr="00A51E75">
              <w:rPr>
                <w:rFonts w:asciiTheme="minorHAnsi" w:hAnsiTheme="minorHAnsi" w:cstheme="minorHAnsi"/>
                <w:color w:val="000000"/>
                <w:sz w:val="18"/>
                <w:szCs w:val="18"/>
              </w:rPr>
              <w:t>, ProAmazonía y socios de implementación</w:t>
            </w:r>
          </w:p>
        </w:tc>
        <w:tc>
          <w:tcPr>
            <w:tcW w:w="783" w:type="pct"/>
          </w:tcPr>
          <w:p w14:paraId="7D77F2E4" w14:textId="77777777" w:rsidR="00633FEC" w:rsidRPr="00D830D9" w:rsidRDefault="00633FEC" w:rsidP="00633FEC">
            <w:pPr>
              <w:spacing w:after="60"/>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Documentos aprobados del proyecto </w:t>
            </w:r>
          </w:p>
          <w:p w14:paraId="1C524FAC" w14:textId="77777777" w:rsidR="00633FEC" w:rsidRPr="00D830D9" w:rsidRDefault="00633FEC" w:rsidP="00633FEC">
            <w:pPr>
              <w:spacing w:after="60"/>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Evidencia de alineación con instrumentos de planificación (por ejemplo, SIGTIERRAS, SIGMA, Planes de Vida) </w:t>
            </w:r>
          </w:p>
          <w:p w14:paraId="1F9070FE" w14:textId="77777777" w:rsidR="00633FEC" w:rsidRPr="00D830D9" w:rsidRDefault="00633FEC" w:rsidP="00633FEC">
            <w:pPr>
              <w:spacing w:after="60"/>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Registros financieros que muestran fuentes de financiación y desembolsos </w:t>
            </w:r>
          </w:p>
          <w:p w14:paraId="2A453537" w14:textId="1CC72984" w:rsidR="00633FEC" w:rsidRPr="00D830D9" w:rsidRDefault="00633FEC" w:rsidP="00633FEC">
            <w:pPr>
              <w:spacing w:after="60"/>
              <w:rPr>
                <w:rFonts w:asciiTheme="minorHAnsi" w:hAnsiTheme="minorHAnsi" w:cstheme="minorHAnsi"/>
                <w:sz w:val="18"/>
                <w:szCs w:val="18"/>
                <w:lang w:val="es-EC"/>
              </w:rPr>
            </w:pPr>
            <w:r w:rsidRPr="00A51E75">
              <w:rPr>
                <w:rFonts w:asciiTheme="minorHAnsi" w:hAnsiTheme="minorHAnsi" w:cstheme="minorHAnsi"/>
                <w:color w:val="000000"/>
                <w:sz w:val="18"/>
                <w:szCs w:val="18"/>
              </w:rPr>
              <w:t xml:space="preserve">- Informes de campo y entrevistas con partes interesadas - Datos de beneficiarios </w:t>
            </w:r>
            <w:r w:rsidRPr="00A51E75">
              <w:rPr>
                <w:rFonts w:asciiTheme="minorHAnsi" w:hAnsiTheme="minorHAnsi" w:cstheme="minorHAnsi"/>
                <w:color w:val="000000"/>
                <w:sz w:val="18"/>
                <w:szCs w:val="18"/>
              </w:rPr>
              <w:lastRenderedPageBreak/>
              <w:t>desagregados por género</w:t>
            </w:r>
          </w:p>
        </w:tc>
      </w:tr>
      <w:bookmarkEnd w:id="42"/>
      <w:tr w:rsidR="003617A0" w:rsidRPr="007D4F41" w14:paraId="2C983E8C" w14:textId="77777777" w:rsidTr="1D9DC7A6">
        <w:trPr>
          <w:trHeight w:val="20"/>
        </w:trPr>
        <w:tc>
          <w:tcPr>
            <w:tcW w:w="531" w:type="pct"/>
            <w:vMerge/>
          </w:tcPr>
          <w:p w14:paraId="662D482B" w14:textId="77777777" w:rsidR="00A83E4B" w:rsidRPr="00D830D9" w:rsidRDefault="00A83E4B" w:rsidP="00A83E4B">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410" w:type="pct"/>
            <w:vMerge/>
          </w:tcPr>
          <w:p w14:paraId="72367901" w14:textId="77777777" w:rsidR="00A83E4B" w:rsidRPr="00D830D9" w:rsidRDefault="00A83E4B" w:rsidP="00A83E4B">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727" w:type="pct"/>
          </w:tcPr>
          <w:p w14:paraId="55C36802" w14:textId="77777777" w:rsidR="008C0BCA" w:rsidRPr="00D830D9" w:rsidRDefault="00A83E4B" w:rsidP="00A83E4B">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Indicador 9: Número de unidades hidrológicas en la cuenca del río Napo que implementan y utilizan herramientas digitales integradas para monitorizar la degradación de tierras y la gestión integrada del paisaje. </w:t>
            </w:r>
          </w:p>
          <w:p w14:paraId="19009177" w14:textId="77777777" w:rsidR="008C0BCA" w:rsidRPr="00D830D9" w:rsidRDefault="008C0BCA" w:rsidP="00A83E4B">
            <w:pPr>
              <w:contextualSpacing/>
              <w:rPr>
                <w:rFonts w:asciiTheme="minorHAnsi" w:eastAsia="SimSun" w:hAnsiTheme="minorHAnsi" w:cstheme="minorHAnsi"/>
                <w:sz w:val="18"/>
                <w:szCs w:val="18"/>
                <w:lang w:val="es-EC"/>
              </w:rPr>
            </w:pPr>
          </w:p>
          <w:p w14:paraId="2ECCFDF8" w14:textId="447A0AE3" w:rsidR="00A83E4B" w:rsidRPr="00D830D9" w:rsidRDefault="00A83E4B" w:rsidP="00A83E4B">
            <w:pPr>
              <w:contextualSpacing/>
              <w:rPr>
                <w:rFonts w:asciiTheme="minorHAnsi" w:hAnsiTheme="minorHAnsi" w:cstheme="minorHAnsi"/>
                <w:b/>
                <w:i/>
                <w:sz w:val="18"/>
                <w:szCs w:val="18"/>
                <w:lang w:val="es-EC"/>
              </w:rPr>
            </w:pPr>
            <w:r w:rsidRPr="00A51E75">
              <w:rPr>
                <w:rFonts w:asciiTheme="minorHAnsi" w:eastAsia="SimSun" w:hAnsiTheme="minorHAnsi" w:cstheme="minorHAnsi"/>
                <w:sz w:val="18"/>
                <w:szCs w:val="18"/>
              </w:rPr>
              <w:t xml:space="preserve">Contribuye al Indicador Básico 11: Subindicadores 11.1 y 11.2: personas, 40% mujeres. </w:t>
            </w:r>
          </w:p>
        </w:tc>
        <w:tc>
          <w:tcPr>
            <w:tcW w:w="600" w:type="pct"/>
          </w:tcPr>
          <w:p w14:paraId="36C39332" w14:textId="77777777" w:rsidR="00A83E4B" w:rsidRPr="00D830D9" w:rsidRDefault="00A83E4B" w:rsidP="00A83E4B">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Parcial: 1 unidad hidrológica  </w:t>
            </w:r>
          </w:p>
          <w:p w14:paraId="03B39C47" w14:textId="77777777" w:rsidR="00A83E4B" w:rsidRPr="00D830D9" w:rsidRDefault="00A83E4B" w:rsidP="00A83E4B">
            <w:pPr>
              <w:contextualSpacing/>
              <w:rPr>
                <w:rFonts w:asciiTheme="minorHAnsi" w:eastAsia="SimSun" w:hAnsiTheme="minorHAnsi" w:cstheme="minorHAnsi"/>
                <w:sz w:val="18"/>
                <w:szCs w:val="18"/>
                <w:lang w:val="es-EC"/>
              </w:rPr>
            </w:pPr>
          </w:p>
          <w:p w14:paraId="41C2DBE9" w14:textId="07F2ABC0" w:rsidR="00A83E4B" w:rsidRPr="00D830D9" w:rsidRDefault="00A83E4B" w:rsidP="00A83E4B">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Fin del proyecto: 2 unidades hidrológicas </w:t>
            </w:r>
          </w:p>
        </w:tc>
        <w:tc>
          <w:tcPr>
            <w:tcW w:w="692" w:type="pct"/>
          </w:tcPr>
          <w:p w14:paraId="6B7B4D56" w14:textId="2BE4542B" w:rsidR="00A83E4B" w:rsidRPr="00D830D9" w:rsidRDefault="00A83E4B" w:rsidP="00A83E4B">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Este indicador mide el número de unidades hidrológicas que implementan y utilizan herramientas digitales integradas para monitorizar la degradación de tierras y gestionar el paisaje en la cuenca del río Napo. Las herramientas deben proporcionar datos relevantes para la decisión </w:t>
            </w:r>
            <w:proofErr w:type="gramStart"/>
            <w:r w:rsidRPr="00A51E75">
              <w:rPr>
                <w:rFonts w:asciiTheme="minorHAnsi" w:eastAsia="SimSun" w:hAnsiTheme="minorHAnsi" w:cstheme="minorHAnsi"/>
                <w:sz w:val="18"/>
                <w:szCs w:val="18"/>
              </w:rPr>
              <w:t>e</w:t>
            </w:r>
            <w:proofErr w:type="gramEnd"/>
            <w:r w:rsidRPr="00A51E75">
              <w:rPr>
                <w:rFonts w:asciiTheme="minorHAnsi" w:eastAsia="SimSun" w:hAnsiTheme="minorHAnsi" w:cstheme="minorHAnsi"/>
                <w:sz w:val="18"/>
                <w:szCs w:val="18"/>
              </w:rPr>
              <w:t xml:space="preserve"> alimentar los sistemas de monitorización y gestión del conocimiento del proyecto. Se espera que al menos una unidad hidrológica operativa con herramientas digitales para el </w:t>
            </w:r>
            <w:r w:rsidRPr="00A51E75">
              <w:rPr>
                <w:rFonts w:asciiTheme="minorHAnsi" w:eastAsia="SimSun" w:hAnsiTheme="minorHAnsi" w:cstheme="minorHAnsi"/>
                <w:sz w:val="18"/>
                <w:szCs w:val="18"/>
              </w:rPr>
              <w:lastRenderedPageBreak/>
              <w:t xml:space="preserve">periodo intermedio y dos para el final del proyecto. </w:t>
            </w:r>
          </w:p>
        </w:tc>
        <w:tc>
          <w:tcPr>
            <w:tcW w:w="686" w:type="pct"/>
          </w:tcPr>
          <w:p w14:paraId="7452D852" w14:textId="7D9BEC70" w:rsidR="00A83E4B" w:rsidRPr="00D830D9" w:rsidRDefault="00A83E4B" w:rsidP="00A83E4B">
            <w:pPr>
              <w:contextualSpacing/>
              <w:rPr>
                <w:rFonts w:asciiTheme="minorHAnsi" w:hAnsiTheme="minorHAnsi" w:cstheme="minorHAnsi"/>
                <w:sz w:val="18"/>
                <w:szCs w:val="18"/>
                <w:lang w:val="es-EC"/>
              </w:rPr>
            </w:pPr>
            <w:r w:rsidRPr="00A51E75">
              <w:rPr>
                <w:rFonts w:asciiTheme="minorHAnsi" w:eastAsia="SimSun" w:hAnsiTheme="minorHAnsi" w:cstheme="minorHAnsi"/>
                <w:sz w:val="18"/>
                <w:szCs w:val="18"/>
              </w:rPr>
              <w:lastRenderedPageBreak/>
              <w:t xml:space="preserve"> Anualmente, parcial y final del proyecto </w:t>
            </w:r>
          </w:p>
        </w:tc>
        <w:tc>
          <w:tcPr>
            <w:tcW w:w="571" w:type="pct"/>
          </w:tcPr>
          <w:p w14:paraId="2941BA33" w14:textId="777A500A" w:rsidR="00A83E4B" w:rsidRPr="00D830D9" w:rsidRDefault="00A83E4B" w:rsidP="00A83E4B">
            <w:pPr>
              <w:contextualSpacing/>
              <w:rPr>
                <w:rFonts w:asciiTheme="minorHAnsi" w:hAnsiTheme="minorHAnsi" w:cstheme="minorHAnsi"/>
                <w:sz w:val="18"/>
                <w:szCs w:val="18"/>
                <w:lang w:val="es-EC"/>
              </w:rPr>
            </w:pP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Pr="00A51E75">
              <w:rPr>
                <w:rFonts w:asciiTheme="minorHAnsi" w:eastAsia="SimSun" w:hAnsiTheme="minorHAnsi" w:cstheme="minorHAnsi"/>
                <w:sz w:val="18"/>
                <w:szCs w:val="18"/>
              </w:rPr>
              <w:t xml:space="preserve">, GAD locales, universidades, Observatorio de Degradación de Tierras </w:t>
            </w:r>
          </w:p>
        </w:tc>
        <w:tc>
          <w:tcPr>
            <w:tcW w:w="783" w:type="pct"/>
          </w:tcPr>
          <w:p w14:paraId="59910C78" w14:textId="5FE5B333" w:rsidR="00A83E4B" w:rsidRPr="00D830D9" w:rsidRDefault="00A83E4B" w:rsidP="00A83E4B">
            <w:pPr>
              <w:contextualSpacing/>
              <w:rPr>
                <w:rFonts w:asciiTheme="minorHAnsi" w:hAnsiTheme="minorHAnsi" w:cstheme="minorHAnsi"/>
                <w:sz w:val="18"/>
                <w:szCs w:val="18"/>
                <w:lang w:val="es-EC"/>
              </w:rPr>
            </w:pPr>
            <w:r w:rsidRPr="00A51E75">
              <w:rPr>
                <w:rFonts w:asciiTheme="minorHAnsi" w:eastAsia="SimSun" w:hAnsiTheme="minorHAnsi" w:cstheme="minorHAnsi"/>
                <w:sz w:val="18"/>
                <w:szCs w:val="18"/>
              </w:rPr>
              <w:t xml:space="preserve"> Revisión de informes de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Pr="00A51E75">
              <w:rPr>
                <w:rFonts w:asciiTheme="minorHAnsi" w:eastAsia="SimSun" w:hAnsiTheme="minorHAnsi" w:cstheme="minorHAnsi"/>
                <w:sz w:val="18"/>
                <w:szCs w:val="18"/>
              </w:rPr>
              <w:t xml:space="preserve"> y </w:t>
            </w:r>
            <w:proofErr w:type="spellStart"/>
            <w:r w:rsidRPr="00A51E75">
              <w:rPr>
                <w:rFonts w:asciiTheme="minorHAnsi" w:eastAsia="SimSun" w:hAnsiTheme="minorHAnsi" w:cstheme="minorHAnsi"/>
                <w:sz w:val="18"/>
                <w:szCs w:val="18"/>
              </w:rPr>
              <w:t>GADs</w:t>
            </w:r>
            <w:proofErr w:type="spellEnd"/>
            <w:r w:rsidRPr="00A51E75">
              <w:rPr>
                <w:rFonts w:asciiTheme="minorHAnsi" w:eastAsia="SimSun" w:hAnsiTheme="minorHAnsi" w:cstheme="minorHAnsi"/>
                <w:sz w:val="18"/>
                <w:szCs w:val="18"/>
              </w:rPr>
              <w:t>; encuestas a usuarios; análisis de datos de plataformas digitales; verificación de acuerdos de cooperación; Revisión de la integración en sistemas de monitorización y conocimiento.</w:t>
            </w:r>
          </w:p>
        </w:tc>
      </w:tr>
      <w:tr w:rsidR="00FD2D13" w:rsidRPr="007D4F41" w14:paraId="5F182F9B" w14:textId="77777777" w:rsidTr="1D9DC7A6">
        <w:trPr>
          <w:trHeight w:val="20"/>
        </w:trPr>
        <w:tc>
          <w:tcPr>
            <w:tcW w:w="531" w:type="pct"/>
            <w:vMerge/>
          </w:tcPr>
          <w:p w14:paraId="67A44A5D" w14:textId="77777777" w:rsidR="0015093F" w:rsidRPr="00D830D9" w:rsidRDefault="0015093F" w:rsidP="0015093F">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43" w:name="_Hlk193968732"/>
          </w:p>
        </w:tc>
        <w:tc>
          <w:tcPr>
            <w:tcW w:w="410" w:type="pct"/>
            <w:vMerge w:val="restart"/>
          </w:tcPr>
          <w:p w14:paraId="24C5B2E5" w14:textId="77777777" w:rsidR="0015093F" w:rsidRPr="00A51E75" w:rsidRDefault="0015093F" w:rsidP="0015093F">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Resultado del proyecto 21</w:t>
            </w:r>
          </w:p>
          <w:p w14:paraId="4F6CBE40" w14:textId="77777777" w:rsidR="0015093F" w:rsidRPr="00A51E75" w:rsidRDefault="0015093F" w:rsidP="0015093F">
            <w:pPr>
              <w:spacing w:after="60"/>
              <w:jc w:val="both"/>
              <w:rPr>
                <w:rFonts w:asciiTheme="minorHAnsi" w:hAnsiTheme="minorHAnsi" w:cstheme="minorHAnsi"/>
                <w:b/>
                <w:sz w:val="18"/>
                <w:szCs w:val="18"/>
              </w:rPr>
            </w:pPr>
          </w:p>
        </w:tc>
        <w:tc>
          <w:tcPr>
            <w:tcW w:w="727" w:type="pct"/>
          </w:tcPr>
          <w:p w14:paraId="5E17D47B" w14:textId="77777777"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Indicador 10:</w:t>
            </w:r>
            <w:r w:rsidRPr="00A51E75">
              <w:rPr>
                <w:rFonts w:asciiTheme="minorHAnsi" w:hAnsiTheme="minorHAnsi" w:cstheme="minorHAnsi"/>
                <w:color w:val="000000"/>
                <w:sz w:val="18"/>
                <w:szCs w:val="18"/>
              </w:rPr>
              <w:t xml:space="preserve"> Número de planes de gestión o territorios que implementan medidas de conservación para especies paraguas o amenazadas (por ejemplo, jaguar, tapir), con mecanismos locales de monitorización.</w:t>
            </w:r>
          </w:p>
          <w:p w14:paraId="3C036CD0" w14:textId="77777777" w:rsidR="0015093F" w:rsidRPr="00D830D9" w:rsidRDefault="0015093F" w:rsidP="0015093F">
            <w:pPr>
              <w:contextualSpacing/>
              <w:rPr>
                <w:rFonts w:asciiTheme="minorHAnsi" w:hAnsiTheme="minorHAnsi" w:cstheme="minorHAnsi"/>
                <w:b/>
                <w:bCs/>
                <w:color w:val="000000"/>
                <w:sz w:val="18"/>
                <w:szCs w:val="18"/>
                <w:lang w:val="es-EC"/>
              </w:rPr>
            </w:pPr>
          </w:p>
          <w:p w14:paraId="7425B30E" w14:textId="4B7089AB" w:rsidR="0015093F" w:rsidRPr="00D830D9" w:rsidRDefault="0015093F" w:rsidP="0015093F">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 xml:space="preserve">4.1 del </w:t>
            </w:r>
            <w:r w:rsidR="00701494">
              <w:rPr>
                <w:rFonts w:asciiTheme="minorHAnsi" w:hAnsiTheme="minorHAnsi" w:cstheme="minorHAnsi"/>
                <w:b/>
                <w:bCs/>
                <w:color w:val="000000"/>
                <w:sz w:val="18"/>
                <w:szCs w:val="18"/>
              </w:rPr>
              <w:t>FMAM</w:t>
            </w:r>
            <w:r w:rsidRPr="00A51E75">
              <w:rPr>
                <w:rFonts w:asciiTheme="minorHAnsi" w:hAnsiTheme="minorHAnsi" w:cstheme="minorHAnsi"/>
                <w:b/>
                <w:bCs/>
                <w:color w:val="000000"/>
                <w:sz w:val="18"/>
                <w:szCs w:val="18"/>
              </w:rPr>
              <w:t xml:space="preserve"> – Gestión sostenible para beneficios de biodiversidad)</w:t>
            </w:r>
          </w:p>
          <w:p w14:paraId="2A9F149D" w14:textId="77777777" w:rsidR="0015093F" w:rsidRPr="00D830D9" w:rsidRDefault="0015093F" w:rsidP="0015093F">
            <w:pPr>
              <w:contextualSpacing/>
              <w:rPr>
                <w:rFonts w:asciiTheme="minorHAnsi" w:hAnsiTheme="minorHAnsi" w:cstheme="minorHAnsi"/>
                <w:b/>
                <w:bCs/>
                <w:color w:val="000000"/>
                <w:sz w:val="18"/>
                <w:szCs w:val="18"/>
                <w:lang w:val="es-EC"/>
              </w:rPr>
            </w:pPr>
          </w:p>
          <w:p w14:paraId="19CB8CE5" w14:textId="0C954EF6" w:rsidR="0015093F" w:rsidRPr="00D830D9" w:rsidRDefault="0015093F" w:rsidP="0015093F">
            <w:pPr>
              <w:contextualSpacing/>
              <w:rPr>
                <w:rFonts w:asciiTheme="minorHAnsi" w:hAnsiTheme="minorHAnsi" w:cstheme="minorHAnsi"/>
                <w:b/>
                <w:i/>
                <w:sz w:val="18"/>
                <w:szCs w:val="18"/>
                <w:lang w:val="es-EC"/>
              </w:rPr>
            </w:pPr>
            <w:r w:rsidRPr="00A51E75">
              <w:rPr>
                <w:rFonts w:asciiTheme="minorHAnsi" w:hAnsiTheme="minorHAnsi" w:cstheme="minorHAnsi"/>
                <w:b/>
                <w:bCs/>
                <w:color w:val="000000"/>
                <w:sz w:val="18"/>
                <w:szCs w:val="18"/>
              </w:rPr>
              <w:t xml:space="preserve">Contribuye a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 xml:space="preserve">11.1 y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11.2: 40% mujeres</w:t>
            </w:r>
          </w:p>
        </w:tc>
        <w:tc>
          <w:tcPr>
            <w:tcW w:w="600" w:type="pct"/>
          </w:tcPr>
          <w:p w14:paraId="4D45471C" w14:textId="77777777" w:rsidR="0015093F" w:rsidRPr="00D830D9" w:rsidRDefault="0015093F" w:rsidP="0015093F">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Examen parcial:</w:t>
            </w:r>
          </w:p>
          <w:p w14:paraId="75274F30" w14:textId="77777777" w:rsidR="0015093F" w:rsidRPr="00D830D9" w:rsidRDefault="0015093F" w:rsidP="0015093F">
            <w:pPr>
              <w:contextualSpacing/>
              <w:rPr>
                <w:rFonts w:asciiTheme="minorHAnsi" w:hAnsiTheme="minorHAnsi" w:cstheme="minorHAnsi"/>
                <w:b/>
                <w:bCs/>
                <w:color w:val="000000"/>
                <w:sz w:val="18"/>
                <w:szCs w:val="18"/>
                <w:lang w:val="es-EC"/>
              </w:rPr>
            </w:pPr>
          </w:p>
          <w:p w14:paraId="1AC6A63F" w14:textId="77777777"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Al menos 1 plan o territorio con medidas de conservación y seguimiento implementados</w:t>
            </w:r>
          </w:p>
          <w:p w14:paraId="19194EC8" w14:textId="77777777" w:rsidR="0015093F" w:rsidRPr="00D830D9" w:rsidRDefault="0015093F" w:rsidP="0015093F">
            <w:pPr>
              <w:contextualSpacing/>
              <w:rPr>
                <w:rFonts w:asciiTheme="minorHAnsi" w:hAnsiTheme="minorHAnsi" w:cstheme="minorHAnsi"/>
                <w:b/>
                <w:bCs/>
                <w:color w:val="000000"/>
                <w:sz w:val="18"/>
                <w:szCs w:val="18"/>
                <w:lang w:val="es-EC"/>
              </w:rPr>
            </w:pPr>
          </w:p>
          <w:p w14:paraId="60DD5957" w14:textId="77777777" w:rsidR="0015093F" w:rsidRPr="00D830D9" w:rsidRDefault="0015093F" w:rsidP="0015093F">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Fin del proyecto:</w:t>
            </w:r>
          </w:p>
          <w:p w14:paraId="2EA9D429" w14:textId="7EC29758" w:rsidR="0015093F" w:rsidRPr="00D830D9" w:rsidRDefault="0015093F" w:rsidP="0015093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Al menos 2 planes o territorios con medidas de conservación y monitorización comunitaria activa</w:t>
            </w:r>
          </w:p>
        </w:tc>
        <w:tc>
          <w:tcPr>
            <w:tcW w:w="692" w:type="pct"/>
          </w:tcPr>
          <w:p w14:paraId="6F322AEC" w14:textId="0A350CAC" w:rsidR="0015093F" w:rsidRPr="00D830D9" w:rsidRDefault="0015093F" w:rsidP="0015093F">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Este indicador rastrea el número de territorios o planes de gestión que incorporan medidas específicas de conservación para especies amenazadas o paraguas. También evalúa el establecimiento y la operación de sistemas participativos de monitoreo de la biodiversidad que involucren a las comunidades locales.</w:t>
            </w:r>
          </w:p>
        </w:tc>
        <w:tc>
          <w:tcPr>
            <w:tcW w:w="686" w:type="pct"/>
          </w:tcPr>
          <w:p w14:paraId="72A5858F" w14:textId="3033E625" w:rsidR="0015093F" w:rsidRPr="00D830D9" w:rsidRDefault="0015093F" w:rsidP="0015093F">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t>Semestralmente, parcial y final del proyecto</w:t>
            </w:r>
          </w:p>
        </w:tc>
        <w:tc>
          <w:tcPr>
            <w:tcW w:w="571" w:type="pct"/>
          </w:tcPr>
          <w:p w14:paraId="5301B975" w14:textId="5083C62B" w:rsidR="0015093F" w:rsidRPr="00D830D9" w:rsidRDefault="00701494" w:rsidP="0015093F">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t>E</w:t>
            </w:r>
            <w:r w:rsidR="0015093F" w:rsidRPr="00A51E75">
              <w:rPr>
                <w:rFonts w:asciiTheme="minorHAnsi" w:hAnsiTheme="minorHAnsi" w:cstheme="minorHAnsi"/>
                <w:color w:val="000000"/>
                <w:sz w:val="18"/>
                <w:szCs w:val="18"/>
              </w:rPr>
              <w:t>quipo</w:t>
            </w:r>
            <w:r>
              <w:rPr>
                <w:rFonts w:asciiTheme="minorHAnsi" w:hAnsiTheme="minorHAnsi" w:cstheme="minorHAnsi"/>
                <w:color w:val="000000"/>
                <w:sz w:val="18"/>
                <w:szCs w:val="18"/>
              </w:rPr>
              <w:t xml:space="preserve"> </w:t>
            </w:r>
            <w:r w:rsidR="0015093F" w:rsidRPr="00A51E75">
              <w:rPr>
                <w:rFonts w:asciiTheme="minorHAnsi" w:hAnsiTheme="minorHAnsi" w:cstheme="minorHAnsi"/>
                <w:color w:val="000000"/>
                <w:sz w:val="18"/>
                <w:szCs w:val="18"/>
              </w:rPr>
              <w:t xml:space="preserve">de implementación del proyecto; </w:t>
            </w:r>
            <w:r w:rsidR="009E221F">
              <w:rPr>
                <w:rFonts w:asciiTheme="minorHAnsi" w:hAnsiTheme="minorHAnsi" w:cstheme="minorHAnsi"/>
                <w:color w:val="000000"/>
                <w:sz w:val="18"/>
                <w:szCs w:val="18"/>
              </w:rPr>
              <w:t>MAE</w:t>
            </w:r>
            <w:r w:rsidR="0015093F" w:rsidRPr="00A51E75">
              <w:rPr>
                <w:rFonts w:asciiTheme="minorHAnsi" w:hAnsiTheme="minorHAnsi" w:cstheme="minorHAnsi"/>
                <w:color w:val="000000"/>
                <w:sz w:val="18"/>
                <w:szCs w:val="18"/>
              </w:rPr>
              <w:t xml:space="preserve">; </w:t>
            </w:r>
            <w:r>
              <w:rPr>
                <w:rFonts w:asciiTheme="minorHAnsi" w:hAnsiTheme="minorHAnsi" w:cstheme="minorHAnsi"/>
                <w:color w:val="000000"/>
                <w:sz w:val="18"/>
                <w:szCs w:val="18"/>
              </w:rPr>
              <w:t>GAD</w:t>
            </w:r>
            <w:r w:rsidR="0015093F" w:rsidRPr="00A51E75">
              <w:rPr>
                <w:rFonts w:asciiTheme="minorHAnsi" w:hAnsiTheme="minorHAnsi" w:cstheme="minorHAnsi"/>
                <w:color w:val="000000"/>
                <w:sz w:val="18"/>
                <w:szCs w:val="18"/>
              </w:rPr>
              <w:t>; organizaciones indígenas; Grupos locales de monitorización</w:t>
            </w:r>
          </w:p>
        </w:tc>
        <w:tc>
          <w:tcPr>
            <w:tcW w:w="783" w:type="pct"/>
          </w:tcPr>
          <w:p w14:paraId="06D6740F" w14:textId="77DB01F7"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Revisión de </w:t>
            </w:r>
            <w:proofErr w:type="spellStart"/>
            <w:r w:rsidRPr="00A51E75">
              <w:rPr>
                <w:rFonts w:asciiTheme="minorHAnsi" w:hAnsiTheme="minorHAnsi" w:cstheme="minorHAnsi"/>
                <w:color w:val="000000"/>
                <w:sz w:val="18"/>
                <w:szCs w:val="18"/>
              </w:rPr>
              <w:t>PDOTs</w:t>
            </w:r>
            <w:proofErr w:type="spellEnd"/>
            <w:r w:rsidRPr="00A51E75">
              <w:rPr>
                <w:rFonts w:asciiTheme="minorHAnsi" w:hAnsiTheme="minorHAnsi" w:cstheme="minorHAnsi"/>
                <w:color w:val="000000"/>
                <w:sz w:val="18"/>
                <w:szCs w:val="18"/>
              </w:rPr>
              <w:t xml:space="preserve">, Planes de Vida, Planes de </w:t>
            </w:r>
            <w:r w:rsidR="008459D1">
              <w:rPr>
                <w:rFonts w:asciiTheme="minorHAnsi" w:hAnsiTheme="minorHAnsi" w:cstheme="minorHAnsi"/>
                <w:color w:val="000000"/>
                <w:sz w:val="18"/>
                <w:szCs w:val="18"/>
              </w:rPr>
              <w:t>Manejo</w:t>
            </w:r>
            <w:r w:rsidRPr="00A51E75">
              <w:rPr>
                <w:rFonts w:asciiTheme="minorHAnsi" w:hAnsiTheme="minorHAnsi" w:cstheme="minorHAnsi"/>
                <w:color w:val="000000"/>
                <w:sz w:val="18"/>
                <w:szCs w:val="18"/>
              </w:rPr>
              <w:t xml:space="preserve"> Forestal (</w:t>
            </w:r>
            <w:proofErr w:type="spellStart"/>
            <w:r w:rsidRPr="00A51E75">
              <w:rPr>
                <w:rFonts w:asciiTheme="minorHAnsi" w:hAnsiTheme="minorHAnsi" w:cstheme="minorHAnsi"/>
                <w:color w:val="000000"/>
                <w:sz w:val="18"/>
                <w:szCs w:val="18"/>
              </w:rPr>
              <w:t>PMFs</w:t>
            </w:r>
            <w:proofErr w:type="spellEnd"/>
            <w:r w:rsidRPr="00A51E75">
              <w:rPr>
                <w:rFonts w:asciiTheme="minorHAnsi" w:hAnsiTheme="minorHAnsi" w:cstheme="minorHAnsi"/>
                <w:color w:val="000000"/>
                <w:sz w:val="18"/>
                <w:szCs w:val="18"/>
              </w:rPr>
              <w:t>) y otros instrumentos de planificación</w:t>
            </w:r>
          </w:p>
          <w:p w14:paraId="52F7B208" w14:textId="477CCF30"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Informes de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xml:space="preserve"> y gobiernos locales sobre especies amenazadas</w:t>
            </w:r>
          </w:p>
          <w:p w14:paraId="7730022C" w14:textId="77777777"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Verificación de las actividades de conservación implementadas in situ</w:t>
            </w:r>
          </w:p>
          <w:p w14:paraId="3F230080" w14:textId="77777777"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Registros de sistemas de monitorización basados en la comunidad</w:t>
            </w:r>
          </w:p>
          <w:p w14:paraId="76CBEFD0" w14:textId="77777777" w:rsidR="0015093F" w:rsidRPr="00D830D9" w:rsidRDefault="0015093F" w:rsidP="0015093F">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Entrevistas con actores locales y equipos técnicos</w:t>
            </w:r>
          </w:p>
          <w:p w14:paraId="3B4B9ECF" w14:textId="6F718167" w:rsidR="0015093F" w:rsidRPr="00D830D9" w:rsidRDefault="0015093F" w:rsidP="0015093F">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t>• Visitas a los yacimientos y evidencia fotográfica/geoespacial de acciones de conservación</w:t>
            </w:r>
          </w:p>
        </w:tc>
      </w:tr>
      <w:tr w:rsidR="00FD2D13" w:rsidRPr="007D4F41" w14:paraId="67BF2ED1" w14:textId="77777777" w:rsidTr="1D9DC7A6">
        <w:trPr>
          <w:trHeight w:val="20"/>
        </w:trPr>
        <w:tc>
          <w:tcPr>
            <w:tcW w:w="531" w:type="pct"/>
            <w:vMerge/>
          </w:tcPr>
          <w:p w14:paraId="3DE7474B" w14:textId="77777777" w:rsidR="00A44B2E" w:rsidRPr="00D830D9" w:rsidRDefault="00A44B2E" w:rsidP="00A44B2E">
            <w:pPr>
              <w:widowControl w:val="0"/>
              <w:pBdr>
                <w:top w:val="nil"/>
                <w:left w:val="nil"/>
                <w:bottom w:val="nil"/>
                <w:right w:val="nil"/>
                <w:between w:val="nil"/>
              </w:pBdr>
              <w:spacing w:line="276" w:lineRule="auto"/>
              <w:rPr>
                <w:rFonts w:asciiTheme="minorHAnsi" w:hAnsiTheme="minorHAnsi" w:cstheme="minorHAnsi"/>
                <w:sz w:val="18"/>
                <w:szCs w:val="18"/>
                <w:lang w:val="es-EC"/>
              </w:rPr>
            </w:pPr>
            <w:bookmarkStart w:id="44" w:name="_Hlk193970287"/>
            <w:bookmarkEnd w:id="43"/>
          </w:p>
        </w:tc>
        <w:tc>
          <w:tcPr>
            <w:tcW w:w="410" w:type="pct"/>
            <w:vMerge/>
          </w:tcPr>
          <w:p w14:paraId="6CA6D6FE" w14:textId="77777777" w:rsidR="00A44B2E" w:rsidRPr="00D830D9" w:rsidRDefault="00A44B2E" w:rsidP="00A44B2E">
            <w:pPr>
              <w:widowControl w:val="0"/>
              <w:pBdr>
                <w:top w:val="nil"/>
                <w:left w:val="nil"/>
                <w:bottom w:val="nil"/>
                <w:right w:val="nil"/>
                <w:between w:val="nil"/>
              </w:pBdr>
              <w:spacing w:line="276" w:lineRule="auto"/>
              <w:rPr>
                <w:rFonts w:asciiTheme="minorHAnsi" w:hAnsiTheme="minorHAnsi" w:cstheme="minorHAnsi"/>
                <w:sz w:val="18"/>
                <w:szCs w:val="18"/>
                <w:lang w:val="es-EC"/>
              </w:rPr>
            </w:pPr>
          </w:p>
        </w:tc>
        <w:tc>
          <w:tcPr>
            <w:tcW w:w="727" w:type="pct"/>
          </w:tcPr>
          <w:p w14:paraId="12B4E165" w14:textId="4D64CA11" w:rsidR="00A44B2E" w:rsidRPr="00D830D9" w:rsidRDefault="0257FA6F"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themeColor="text1"/>
                <w:sz w:val="18"/>
                <w:szCs w:val="18"/>
              </w:rPr>
              <w:t>Indicador 11:</w:t>
            </w:r>
            <w:r w:rsidRPr="00A51E75">
              <w:rPr>
                <w:rFonts w:asciiTheme="minorHAnsi" w:hAnsiTheme="minorHAnsi" w:cstheme="minorHAnsi"/>
                <w:color w:val="000000" w:themeColor="text1"/>
                <w:sz w:val="18"/>
                <w:szCs w:val="18"/>
              </w:rPr>
              <w:t xml:space="preserve"> Número de corredores biológicos o áreas de conectividad de hábitat establecidas o reforzadas para </w:t>
            </w:r>
            <w:r w:rsidRPr="00A51E75">
              <w:rPr>
                <w:rFonts w:asciiTheme="minorHAnsi" w:hAnsiTheme="minorHAnsi" w:cstheme="minorHAnsi"/>
                <w:color w:val="000000" w:themeColor="text1"/>
                <w:sz w:val="18"/>
                <w:szCs w:val="18"/>
              </w:rPr>
              <w:lastRenderedPageBreak/>
              <w:t>apoyar el movimiento de especies amenazadas.</w:t>
            </w:r>
          </w:p>
          <w:p w14:paraId="559089A7" w14:textId="77777777" w:rsidR="00A44B2E" w:rsidRPr="00D830D9" w:rsidRDefault="00A44B2E" w:rsidP="00A44B2E">
            <w:pPr>
              <w:contextualSpacing/>
              <w:rPr>
                <w:rFonts w:asciiTheme="minorHAnsi" w:hAnsiTheme="minorHAnsi" w:cstheme="minorHAnsi"/>
                <w:b/>
                <w:bCs/>
                <w:color w:val="000000"/>
                <w:sz w:val="18"/>
                <w:szCs w:val="18"/>
                <w:lang w:val="es-EC"/>
              </w:rPr>
            </w:pPr>
          </w:p>
          <w:p w14:paraId="13105875" w14:textId="26F12C09" w:rsidR="00A44B2E" w:rsidRPr="00D830D9" w:rsidRDefault="00A44B2E" w:rsidP="00A44B2E">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w:t>
            </w:r>
            <w:r w:rsidR="00701494">
              <w:rPr>
                <w:rFonts w:asciiTheme="minorHAnsi" w:hAnsiTheme="minorHAnsi" w:cstheme="minorHAnsi"/>
                <w:b/>
                <w:bCs/>
                <w:color w:val="000000"/>
                <w:sz w:val="18"/>
                <w:szCs w:val="18"/>
              </w:rPr>
              <w:t>FMAM</w:t>
            </w:r>
            <w:r w:rsidRPr="00A51E75">
              <w:rPr>
                <w:rFonts w:asciiTheme="minorHAnsi" w:hAnsiTheme="minorHAnsi" w:cstheme="minorHAnsi"/>
                <w:b/>
                <w:bCs/>
                <w:color w:val="000000"/>
                <w:sz w:val="18"/>
                <w:szCs w:val="18"/>
              </w:rPr>
              <w:t xml:space="preserve">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3.2 – Restauración ecológica)</w:t>
            </w:r>
          </w:p>
          <w:p w14:paraId="2D27EBA1" w14:textId="77777777" w:rsidR="00A44B2E" w:rsidRPr="00D830D9" w:rsidRDefault="00A44B2E" w:rsidP="00A44B2E">
            <w:pPr>
              <w:contextualSpacing/>
              <w:rPr>
                <w:rFonts w:asciiTheme="minorHAnsi" w:hAnsiTheme="minorHAnsi" w:cstheme="minorHAnsi"/>
                <w:b/>
                <w:bCs/>
                <w:color w:val="000000"/>
                <w:sz w:val="18"/>
                <w:szCs w:val="18"/>
                <w:lang w:val="es-EC"/>
              </w:rPr>
            </w:pPr>
          </w:p>
          <w:p w14:paraId="5792CACE" w14:textId="634EE1F3" w:rsidR="00A44B2E" w:rsidRPr="00D830D9" w:rsidRDefault="00A44B2E" w:rsidP="00A44B2E">
            <w:pPr>
              <w:contextualSpacing/>
              <w:rPr>
                <w:rFonts w:asciiTheme="minorHAnsi" w:hAnsiTheme="minorHAnsi" w:cstheme="minorHAnsi"/>
                <w:sz w:val="18"/>
                <w:szCs w:val="18"/>
                <w:lang w:val="es-EC"/>
              </w:rPr>
            </w:pPr>
            <w:r w:rsidRPr="00A51E75">
              <w:rPr>
                <w:rFonts w:asciiTheme="minorHAnsi" w:hAnsiTheme="minorHAnsi" w:cstheme="minorHAnsi"/>
                <w:b/>
                <w:bCs/>
                <w:color w:val="000000"/>
                <w:sz w:val="18"/>
                <w:szCs w:val="18"/>
              </w:rPr>
              <w:t xml:space="preserve">Contribuye a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 xml:space="preserve">11.1 y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11.2: 40% mujeres beneficiarias</w:t>
            </w:r>
          </w:p>
        </w:tc>
        <w:tc>
          <w:tcPr>
            <w:tcW w:w="600" w:type="pct"/>
          </w:tcPr>
          <w:p w14:paraId="19E2B83D" w14:textId="77777777" w:rsidR="00A44B2E" w:rsidRPr="00D830D9" w:rsidRDefault="00A44B2E" w:rsidP="00A44B2E">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lastRenderedPageBreak/>
              <w:t>Examen parcial:</w:t>
            </w:r>
          </w:p>
          <w:p w14:paraId="5E06EBB3" w14:textId="77777777" w:rsidR="00A44B2E" w:rsidRPr="00D830D9" w:rsidRDefault="00A44B2E"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Identificado al menos un corredor o área de conectividad y comenzó la restauración inicial</w:t>
            </w:r>
          </w:p>
          <w:p w14:paraId="15779104" w14:textId="77777777" w:rsidR="00A44B2E" w:rsidRPr="00D830D9" w:rsidRDefault="00A44B2E" w:rsidP="00A44B2E">
            <w:pPr>
              <w:contextualSpacing/>
              <w:rPr>
                <w:rFonts w:asciiTheme="minorHAnsi" w:hAnsiTheme="minorHAnsi" w:cstheme="minorHAnsi"/>
                <w:b/>
                <w:bCs/>
                <w:color w:val="000000"/>
                <w:sz w:val="18"/>
                <w:szCs w:val="18"/>
                <w:lang w:val="es-EC"/>
              </w:rPr>
            </w:pPr>
          </w:p>
          <w:p w14:paraId="2A294196" w14:textId="6AD55700" w:rsidR="00A44B2E" w:rsidRPr="00D830D9" w:rsidRDefault="00A44B2E" w:rsidP="00A44B2E">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Fin del proyecto:</w:t>
            </w:r>
          </w:p>
          <w:p w14:paraId="0022107C" w14:textId="2F6CC02C" w:rsidR="00A44B2E" w:rsidRPr="00D830D9" w:rsidRDefault="00A44B2E" w:rsidP="00A44B2E">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Al menos 2 corredores o áreas de conectividad establecidos o reforzados con restauración activa o pasiva, e incluidos en herramientas de planificación territorial</w:t>
            </w:r>
          </w:p>
        </w:tc>
        <w:tc>
          <w:tcPr>
            <w:tcW w:w="692" w:type="pct"/>
          </w:tcPr>
          <w:p w14:paraId="489D56CC" w14:textId="7A151F3D" w:rsidR="00A44B2E" w:rsidRPr="00D830D9" w:rsidRDefault="00A44B2E" w:rsidP="00A44B2E">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lastRenderedPageBreak/>
              <w:t xml:space="preserve">Este indicador mide la identificación, establecimiento o fortalecimiento de corredores biológicos o zonas de conectividad que </w:t>
            </w:r>
            <w:r w:rsidRPr="00A51E75">
              <w:rPr>
                <w:rFonts w:asciiTheme="minorHAnsi" w:hAnsiTheme="minorHAnsi" w:cstheme="minorHAnsi"/>
                <w:color w:val="000000"/>
                <w:sz w:val="18"/>
                <w:szCs w:val="18"/>
              </w:rPr>
              <w:lastRenderedPageBreak/>
              <w:t>facilitan el movimiento de especies amenazadas. Las acciones incluyen la restauración ecológica (activa o pasiva) y su inclusión formal en herramientas de planificación local o regional como PDOT o Planes de Vida.</w:t>
            </w:r>
          </w:p>
        </w:tc>
        <w:tc>
          <w:tcPr>
            <w:tcW w:w="686" w:type="pct"/>
          </w:tcPr>
          <w:p w14:paraId="57179D22" w14:textId="175C5D66" w:rsidR="00A44B2E" w:rsidRPr="00D830D9" w:rsidRDefault="00A44B2E" w:rsidP="00A44B2E">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lastRenderedPageBreak/>
              <w:t>Semestralmente, parcial y final del proyecto</w:t>
            </w:r>
          </w:p>
        </w:tc>
        <w:tc>
          <w:tcPr>
            <w:tcW w:w="571" w:type="pct"/>
          </w:tcPr>
          <w:p w14:paraId="3FF41710" w14:textId="79204C0C" w:rsidR="00A44B2E" w:rsidRPr="00701494" w:rsidRDefault="009E221F" w:rsidP="00A44B2E">
            <w:pPr>
              <w:contextualSpacing/>
              <w:rPr>
                <w:rFonts w:asciiTheme="minorHAnsi" w:hAnsiTheme="minorHAnsi" w:cstheme="minorHAnsi"/>
                <w:sz w:val="18"/>
                <w:szCs w:val="18"/>
                <w:lang w:val="es-EC"/>
              </w:rPr>
            </w:pPr>
            <w:r>
              <w:rPr>
                <w:rFonts w:asciiTheme="minorHAnsi" w:hAnsiTheme="minorHAnsi" w:cstheme="minorHAnsi"/>
                <w:color w:val="000000"/>
                <w:sz w:val="18"/>
                <w:szCs w:val="18"/>
              </w:rPr>
              <w:t>MAE</w:t>
            </w:r>
            <w:r w:rsidR="00A44B2E" w:rsidRPr="00A51E75">
              <w:rPr>
                <w:rFonts w:asciiTheme="minorHAnsi" w:hAnsiTheme="minorHAnsi" w:cstheme="minorHAnsi"/>
                <w:color w:val="000000"/>
                <w:sz w:val="18"/>
                <w:szCs w:val="18"/>
              </w:rPr>
              <w:t xml:space="preserve"> (SAF, SIGMA, PNRP), </w:t>
            </w:r>
            <w:proofErr w:type="spellStart"/>
            <w:r w:rsidR="00A44B2E" w:rsidRPr="00A51E75">
              <w:rPr>
                <w:rFonts w:asciiTheme="minorHAnsi" w:hAnsiTheme="minorHAnsi" w:cstheme="minorHAnsi"/>
                <w:color w:val="000000"/>
                <w:sz w:val="18"/>
                <w:szCs w:val="18"/>
              </w:rPr>
              <w:t>GADs</w:t>
            </w:r>
            <w:proofErr w:type="spellEnd"/>
            <w:r w:rsidR="00A44B2E" w:rsidRPr="00A51E75">
              <w:rPr>
                <w:rFonts w:asciiTheme="minorHAnsi" w:hAnsiTheme="minorHAnsi" w:cstheme="minorHAnsi"/>
                <w:color w:val="000000"/>
                <w:sz w:val="18"/>
                <w:szCs w:val="18"/>
              </w:rPr>
              <w:t>, ProAmazonía, CTEA, equipos técnicos de campo, socios de conservación</w:t>
            </w:r>
          </w:p>
        </w:tc>
        <w:tc>
          <w:tcPr>
            <w:tcW w:w="783" w:type="pct"/>
          </w:tcPr>
          <w:p w14:paraId="31AE7BF4" w14:textId="77777777" w:rsidR="00A44B2E" w:rsidRPr="00D830D9" w:rsidRDefault="00A44B2E"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Revisión de mapas actualizados de conectividad ecológica y documentos técnicos de planificación de corredores</w:t>
            </w:r>
          </w:p>
          <w:p w14:paraId="7D5B6219" w14:textId="77777777" w:rsidR="00A44B2E" w:rsidRPr="00D830D9" w:rsidRDefault="00A44B2E"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lastRenderedPageBreak/>
              <w:t>• Verificación de acuerdos de cogestión con los GAD y las partes interesadas</w:t>
            </w:r>
          </w:p>
          <w:p w14:paraId="42ED7F8A" w14:textId="77777777" w:rsidR="00A44B2E" w:rsidRPr="00D830D9" w:rsidRDefault="00A44B2E"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Análisis de solapamientos con PNRP y SNAP</w:t>
            </w:r>
          </w:p>
          <w:p w14:paraId="14DB1B36" w14:textId="77777777" w:rsidR="00A44B2E" w:rsidRPr="00D830D9" w:rsidRDefault="00A44B2E"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Informes de actividades de monitorización y restauración en el campo</w:t>
            </w:r>
          </w:p>
          <w:p w14:paraId="52041C28" w14:textId="2AD63431" w:rsidR="00A44B2E" w:rsidRPr="00D830D9" w:rsidRDefault="00A44B2E" w:rsidP="00A44B2E">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Entrevistas con funcionarios de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representantes de GAD y miembros de la comunidad</w:t>
            </w:r>
          </w:p>
          <w:p w14:paraId="0D5A997E" w14:textId="0A851A2E" w:rsidR="00A44B2E" w:rsidRPr="00D830D9" w:rsidRDefault="00A44B2E" w:rsidP="00A44B2E">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t>• Documentación de incorporación en instrumentos de planificación territorial</w:t>
            </w:r>
          </w:p>
        </w:tc>
      </w:tr>
      <w:tr w:rsidR="00FD2D13" w:rsidRPr="007D4F41" w14:paraId="2D713351" w14:textId="77777777" w:rsidTr="1D9DC7A6">
        <w:trPr>
          <w:trHeight w:val="20"/>
        </w:trPr>
        <w:tc>
          <w:tcPr>
            <w:tcW w:w="531" w:type="pct"/>
            <w:vMerge/>
          </w:tcPr>
          <w:p w14:paraId="7CF51566" w14:textId="77777777" w:rsidR="001E7E85" w:rsidRPr="00D830D9" w:rsidRDefault="001E7E85" w:rsidP="001E7E85">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45" w:name="_Hlk193971818"/>
            <w:bookmarkEnd w:id="44"/>
          </w:p>
        </w:tc>
        <w:tc>
          <w:tcPr>
            <w:tcW w:w="410" w:type="pct"/>
            <w:vMerge w:val="restart"/>
          </w:tcPr>
          <w:p w14:paraId="6142F7D1" w14:textId="77777777" w:rsidR="001E7E85" w:rsidRPr="00A51E75" w:rsidRDefault="001E7E85" w:rsidP="001E7E85">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Resultado del proyecto 22</w:t>
            </w:r>
          </w:p>
        </w:tc>
        <w:tc>
          <w:tcPr>
            <w:tcW w:w="727" w:type="pct"/>
          </w:tcPr>
          <w:p w14:paraId="5A6EF3A4" w14:textId="3A842F82" w:rsidR="001E7E85" w:rsidRPr="00D830D9" w:rsidRDefault="001E7E85" w:rsidP="001E7E85">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Indicador 12:</w:t>
            </w:r>
            <w:r w:rsidRPr="00A51E75">
              <w:rPr>
                <w:rFonts w:asciiTheme="minorHAnsi" w:hAnsiTheme="minorHAnsi" w:cstheme="minorHAnsi"/>
                <w:color w:val="000000"/>
                <w:sz w:val="18"/>
                <w:szCs w:val="18"/>
              </w:rPr>
              <w:t xml:space="preserve"> Número de hogares que reportaron un aumento de la seguridad alimentaria como resultado de la implementación de prácticas de </w:t>
            </w:r>
            <w:r w:rsidR="00E26F5E">
              <w:rPr>
                <w:rFonts w:asciiTheme="minorHAnsi" w:hAnsiTheme="minorHAnsi" w:cstheme="minorHAnsi"/>
                <w:color w:val="000000"/>
                <w:sz w:val="18"/>
                <w:szCs w:val="18"/>
              </w:rPr>
              <w:t>MST</w:t>
            </w:r>
            <w:r w:rsidRPr="00A51E75">
              <w:rPr>
                <w:rFonts w:asciiTheme="minorHAnsi" w:hAnsiTheme="minorHAnsi" w:cstheme="minorHAnsi"/>
                <w:color w:val="000000"/>
                <w:sz w:val="18"/>
                <w:szCs w:val="18"/>
              </w:rPr>
              <w:t xml:space="preserve"> promovidas por el proyecto </w:t>
            </w:r>
          </w:p>
          <w:p w14:paraId="7AB54C6D" w14:textId="77777777" w:rsidR="001E7E85" w:rsidRPr="00D830D9" w:rsidRDefault="001E7E85" w:rsidP="001E7E85">
            <w:pPr>
              <w:contextualSpacing/>
              <w:rPr>
                <w:rFonts w:asciiTheme="minorHAnsi" w:hAnsiTheme="minorHAnsi" w:cstheme="minorHAnsi"/>
                <w:b/>
                <w:bCs/>
                <w:color w:val="000000"/>
                <w:sz w:val="18"/>
                <w:szCs w:val="18"/>
                <w:lang w:val="es-EC"/>
              </w:rPr>
            </w:pPr>
          </w:p>
          <w:p w14:paraId="777DE3D2" w14:textId="6145A01E" w:rsidR="00A94A5E" w:rsidRPr="00D830D9" w:rsidRDefault="001E7E85" w:rsidP="001E7E85">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 xml:space="preserve">(Indicador Central 4: </w:t>
            </w:r>
            <w:r w:rsidR="00A60D5B">
              <w:rPr>
                <w:rFonts w:asciiTheme="minorHAnsi" w:hAnsiTheme="minorHAnsi" w:cstheme="minorHAnsi"/>
                <w:b/>
                <w:bCs/>
                <w:color w:val="000000"/>
                <w:sz w:val="18"/>
                <w:szCs w:val="18"/>
              </w:rPr>
              <w:t xml:space="preserve">IC </w:t>
            </w:r>
            <w:r w:rsidRPr="00A51E75">
              <w:rPr>
                <w:rFonts w:asciiTheme="minorHAnsi" w:hAnsiTheme="minorHAnsi" w:cstheme="minorHAnsi"/>
                <w:b/>
                <w:bCs/>
                <w:color w:val="000000"/>
                <w:sz w:val="18"/>
                <w:szCs w:val="18"/>
              </w:rPr>
              <w:t xml:space="preserve">4.3 – Gestión sostenible en </w:t>
            </w:r>
            <w:r w:rsidRPr="00A51E75">
              <w:rPr>
                <w:rFonts w:asciiTheme="minorHAnsi" w:hAnsiTheme="minorHAnsi" w:cstheme="minorHAnsi"/>
                <w:b/>
                <w:bCs/>
                <w:color w:val="000000"/>
                <w:sz w:val="18"/>
                <w:szCs w:val="18"/>
              </w:rPr>
              <w:lastRenderedPageBreak/>
              <w:t>sistemas de producción)</w:t>
            </w:r>
          </w:p>
          <w:p w14:paraId="612A003D" w14:textId="762A6198" w:rsidR="001E7E85" w:rsidRPr="00A51E75" w:rsidRDefault="001E7E85" w:rsidP="001E7E85">
            <w:pPr>
              <w:contextualSpacing/>
              <w:rPr>
                <w:rFonts w:asciiTheme="minorHAnsi" w:hAnsiTheme="minorHAnsi" w:cstheme="minorHAnsi"/>
                <w:b/>
                <w:i/>
                <w:sz w:val="18"/>
                <w:szCs w:val="18"/>
                <w:lang w:val="en-US"/>
              </w:rPr>
            </w:pPr>
            <w:r w:rsidRPr="00A51E75">
              <w:rPr>
                <w:rFonts w:asciiTheme="minorHAnsi" w:hAnsiTheme="minorHAnsi" w:cstheme="minorHAnsi"/>
                <w:b/>
                <w:bCs/>
                <w:color w:val="000000"/>
                <w:sz w:val="18"/>
                <w:szCs w:val="18"/>
              </w:rPr>
              <w:t>(Indicador Núcleo 11: 2.265 personas, 40% mujeres)</w:t>
            </w:r>
          </w:p>
        </w:tc>
        <w:tc>
          <w:tcPr>
            <w:tcW w:w="600" w:type="pct"/>
          </w:tcPr>
          <w:p w14:paraId="178D7D22" w14:textId="77777777" w:rsidR="00A94A5E" w:rsidRPr="00D830D9" w:rsidRDefault="001E7E85" w:rsidP="001E7E85">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lastRenderedPageBreak/>
              <w:t>Examen parcial:</w:t>
            </w:r>
            <w:r w:rsidRPr="00A51E75">
              <w:rPr>
                <w:rFonts w:asciiTheme="minorHAnsi" w:hAnsiTheme="minorHAnsi" w:cstheme="minorHAnsi"/>
                <w:color w:val="000000"/>
                <w:sz w:val="18"/>
                <w:szCs w:val="18"/>
              </w:rPr>
              <w:t xml:space="preserve"> Al menos 150 hogares</w:t>
            </w:r>
          </w:p>
          <w:p w14:paraId="36529BFA" w14:textId="77777777" w:rsidR="00A94A5E" w:rsidRPr="00D830D9" w:rsidRDefault="00A94A5E" w:rsidP="001E7E85">
            <w:pPr>
              <w:contextualSpacing/>
              <w:rPr>
                <w:rFonts w:asciiTheme="minorHAnsi" w:hAnsiTheme="minorHAnsi" w:cstheme="minorHAnsi"/>
                <w:b/>
                <w:bCs/>
                <w:color w:val="000000"/>
                <w:sz w:val="18"/>
                <w:szCs w:val="18"/>
                <w:lang w:val="es-EC"/>
              </w:rPr>
            </w:pPr>
          </w:p>
          <w:p w14:paraId="04DA1398" w14:textId="5A2FBC01" w:rsidR="001E7E85" w:rsidRPr="00D830D9" w:rsidRDefault="001E7E85" w:rsidP="001E7E85">
            <w:pPr>
              <w:contextualSpacing/>
              <w:rPr>
                <w:rFonts w:asciiTheme="minorHAnsi" w:hAnsiTheme="minorHAnsi" w:cstheme="minorHAnsi"/>
                <w:i/>
                <w:sz w:val="18"/>
                <w:szCs w:val="18"/>
                <w:lang w:val="es-EC"/>
              </w:rPr>
            </w:pPr>
            <w:r w:rsidRPr="00A51E75">
              <w:rPr>
                <w:rFonts w:asciiTheme="minorHAnsi" w:hAnsiTheme="minorHAnsi" w:cstheme="minorHAnsi"/>
                <w:b/>
                <w:bCs/>
                <w:color w:val="000000"/>
                <w:sz w:val="18"/>
                <w:szCs w:val="18"/>
              </w:rPr>
              <w:t>Fin del proyecto:</w:t>
            </w:r>
            <w:r w:rsidRPr="00A51E75">
              <w:rPr>
                <w:rFonts w:asciiTheme="minorHAnsi" w:hAnsiTheme="minorHAnsi" w:cstheme="minorHAnsi"/>
                <w:color w:val="000000"/>
                <w:sz w:val="18"/>
                <w:szCs w:val="18"/>
              </w:rPr>
              <w:t xml:space="preserve"> Al menos 300 hogares</w:t>
            </w:r>
          </w:p>
        </w:tc>
        <w:tc>
          <w:tcPr>
            <w:tcW w:w="692" w:type="pct"/>
          </w:tcPr>
          <w:p w14:paraId="5BA764A5" w14:textId="1EF064C5" w:rsidR="001E7E85" w:rsidRPr="00D830D9" w:rsidRDefault="001E7E85" w:rsidP="001E7E85">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Este indicador mide mejoras en la seguridad alimentaria de los hogares atribuidas a la adopción de prácticas de </w:t>
            </w:r>
            <w:r w:rsidR="000A54C4">
              <w:rPr>
                <w:rFonts w:asciiTheme="minorHAnsi" w:hAnsiTheme="minorHAnsi" w:cstheme="minorHAnsi"/>
                <w:color w:val="000000"/>
                <w:sz w:val="18"/>
                <w:szCs w:val="18"/>
              </w:rPr>
              <w:t>Manejo Sostenible de la Tierra</w:t>
            </w:r>
            <w:r w:rsidRPr="00A51E75">
              <w:rPr>
                <w:rFonts w:asciiTheme="minorHAnsi" w:hAnsiTheme="minorHAnsi" w:cstheme="minorHAnsi"/>
                <w:color w:val="000000"/>
                <w:sz w:val="18"/>
                <w:szCs w:val="18"/>
              </w:rPr>
              <w:t xml:space="preserve"> (</w:t>
            </w:r>
            <w:r w:rsidR="00E26F5E">
              <w:rPr>
                <w:rFonts w:asciiTheme="minorHAnsi" w:hAnsiTheme="minorHAnsi" w:cstheme="minorHAnsi"/>
                <w:color w:val="000000"/>
                <w:sz w:val="18"/>
                <w:szCs w:val="18"/>
              </w:rPr>
              <w:t>MST</w:t>
            </w:r>
            <w:r w:rsidRPr="00A51E75">
              <w:rPr>
                <w:rFonts w:asciiTheme="minorHAnsi" w:hAnsiTheme="minorHAnsi" w:cstheme="minorHAnsi"/>
                <w:color w:val="000000"/>
                <w:sz w:val="18"/>
                <w:szCs w:val="18"/>
              </w:rPr>
              <w:t xml:space="preserve">). Se centra en cómo las prácticas agrícolas apoyadas por proyectos diversifican la </w:t>
            </w:r>
            <w:r w:rsidRPr="00A51E75">
              <w:rPr>
                <w:rFonts w:asciiTheme="minorHAnsi" w:hAnsiTheme="minorHAnsi" w:cstheme="minorHAnsi"/>
                <w:color w:val="000000"/>
                <w:sz w:val="18"/>
                <w:szCs w:val="18"/>
              </w:rPr>
              <w:lastRenderedPageBreak/>
              <w:t>producción y mejoran la disponibilidad nutricional a nivel doméstico, prestando atención a la inclusión de género.</w:t>
            </w:r>
          </w:p>
        </w:tc>
        <w:tc>
          <w:tcPr>
            <w:tcW w:w="686" w:type="pct"/>
          </w:tcPr>
          <w:p w14:paraId="3FCD05E7" w14:textId="30B7BA2C" w:rsidR="001E7E85" w:rsidRPr="00D830D9" w:rsidRDefault="001E7E85" w:rsidP="001E7E85">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lastRenderedPageBreak/>
              <w:t>Parcial y final del proyecto</w:t>
            </w:r>
          </w:p>
        </w:tc>
        <w:tc>
          <w:tcPr>
            <w:tcW w:w="571" w:type="pct"/>
          </w:tcPr>
          <w:p w14:paraId="37684157" w14:textId="136DFA16" w:rsidR="001E7E85" w:rsidRPr="00D830D9" w:rsidRDefault="001E7E85" w:rsidP="001E7E85">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Equipo de Proyecto de M&amp;E, en colaboración con socios implementadores y facilitadores locales</w:t>
            </w:r>
          </w:p>
        </w:tc>
        <w:tc>
          <w:tcPr>
            <w:tcW w:w="783" w:type="pct"/>
          </w:tcPr>
          <w:p w14:paraId="04075E1E" w14:textId="77777777" w:rsidR="008C0AE0" w:rsidRPr="008C0AE0" w:rsidRDefault="001E7E85" w:rsidP="008C0AE0">
            <w:pPr>
              <w:rPr>
                <w:rFonts w:asciiTheme="minorHAnsi" w:hAnsiTheme="minorHAnsi" w:cstheme="minorHAnsi"/>
                <w:color w:val="000000"/>
                <w:sz w:val="18"/>
                <w:szCs w:val="18"/>
              </w:rPr>
            </w:pPr>
            <w:r w:rsidRPr="00A51E75">
              <w:rPr>
                <w:rFonts w:asciiTheme="minorHAnsi" w:hAnsiTheme="minorHAnsi" w:cstheme="minorHAnsi"/>
                <w:color w:val="000000"/>
                <w:sz w:val="18"/>
                <w:szCs w:val="18"/>
              </w:rPr>
              <w:t xml:space="preserve">• Encuestas a hogares utilizando instrumentos estandarizados de seguridad alimentaria (por ejemplo, </w:t>
            </w:r>
            <w:r w:rsidR="008C0AE0" w:rsidRPr="008C0AE0">
              <w:rPr>
                <w:rFonts w:asciiTheme="minorHAnsi" w:hAnsiTheme="minorHAnsi" w:cstheme="minorHAnsi"/>
                <w:color w:val="000000"/>
                <w:sz w:val="18"/>
                <w:szCs w:val="18"/>
              </w:rPr>
              <w:t>HFIAS (</w:t>
            </w:r>
            <w:proofErr w:type="spellStart"/>
            <w:r w:rsidR="008C0AE0" w:rsidRPr="008C0AE0">
              <w:rPr>
                <w:rFonts w:asciiTheme="minorHAnsi" w:hAnsiTheme="minorHAnsi" w:cstheme="minorHAnsi"/>
                <w:color w:val="000000"/>
                <w:sz w:val="18"/>
                <w:szCs w:val="18"/>
              </w:rPr>
              <w:t>Household</w:t>
            </w:r>
            <w:proofErr w:type="spellEnd"/>
            <w:r w:rsidR="008C0AE0" w:rsidRPr="008C0AE0">
              <w:rPr>
                <w:rFonts w:asciiTheme="minorHAnsi" w:hAnsiTheme="minorHAnsi" w:cstheme="minorHAnsi"/>
                <w:color w:val="000000"/>
                <w:sz w:val="18"/>
                <w:szCs w:val="18"/>
              </w:rPr>
              <w:t xml:space="preserve"> </w:t>
            </w:r>
            <w:proofErr w:type="spellStart"/>
            <w:r w:rsidR="008C0AE0" w:rsidRPr="008C0AE0">
              <w:rPr>
                <w:rFonts w:asciiTheme="minorHAnsi" w:hAnsiTheme="minorHAnsi" w:cstheme="minorHAnsi"/>
                <w:color w:val="000000"/>
                <w:sz w:val="18"/>
                <w:szCs w:val="18"/>
              </w:rPr>
              <w:t>Food</w:t>
            </w:r>
            <w:proofErr w:type="spellEnd"/>
            <w:r w:rsidR="008C0AE0" w:rsidRPr="008C0AE0">
              <w:rPr>
                <w:rFonts w:asciiTheme="minorHAnsi" w:hAnsiTheme="minorHAnsi" w:cstheme="minorHAnsi"/>
                <w:color w:val="000000"/>
                <w:sz w:val="18"/>
                <w:szCs w:val="18"/>
              </w:rPr>
              <w:t xml:space="preserve"> </w:t>
            </w:r>
            <w:proofErr w:type="spellStart"/>
            <w:r w:rsidR="008C0AE0" w:rsidRPr="008C0AE0">
              <w:rPr>
                <w:rFonts w:asciiTheme="minorHAnsi" w:hAnsiTheme="minorHAnsi" w:cstheme="minorHAnsi"/>
                <w:color w:val="000000"/>
                <w:sz w:val="18"/>
                <w:szCs w:val="18"/>
              </w:rPr>
              <w:t>Insecurity</w:t>
            </w:r>
            <w:proofErr w:type="spellEnd"/>
            <w:r w:rsidR="008C0AE0" w:rsidRPr="008C0AE0">
              <w:rPr>
                <w:rFonts w:asciiTheme="minorHAnsi" w:hAnsiTheme="minorHAnsi" w:cstheme="minorHAnsi"/>
                <w:color w:val="000000"/>
                <w:sz w:val="18"/>
                <w:szCs w:val="18"/>
              </w:rPr>
              <w:t xml:space="preserve"> Access </w:t>
            </w:r>
            <w:proofErr w:type="spellStart"/>
            <w:r w:rsidR="008C0AE0" w:rsidRPr="008C0AE0">
              <w:rPr>
                <w:rFonts w:asciiTheme="minorHAnsi" w:hAnsiTheme="minorHAnsi" w:cstheme="minorHAnsi"/>
                <w:color w:val="000000"/>
                <w:sz w:val="18"/>
                <w:szCs w:val="18"/>
              </w:rPr>
              <w:t>Scale</w:t>
            </w:r>
            <w:proofErr w:type="spellEnd"/>
            <w:r w:rsidR="008C0AE0" w:rsidRPr="008C0AE0">
              <w:rPr>
                <w:rFonts w:asciiTheme="minorHAnsi" w:hAnsiTheme="minorHAnsi" w:cstheme="minorHAnsi"/>
                <w:color w:val="000000"/>
                <w:sz w:val="18"/>
                <w:szCs w:val="18"/>
              </w:rPr>
              <w:t>): Escala de Acceso a la Inseguridad Alimentaria en el Hogar.</w:t>
            </w:r>
          </w:p>
          <w:p w14:paraId="2A6B5F2C" w14:textId="224B2B81" w:rsidR="00A94A5E" w:rsidRPr="00D830D9" w:rsidRDefault="008C0AE0" w:rsidP="008C0AE0">
            <w:pPr>
              <w:rPr>
                <w:rFonts w:asciiTheme="minorHAnsi" w:hAnsiTheme="minorHAnsi" w:cstheme="minorHAnsi"/>
                <w:color w:val="000000"/>
                <w:sz w:val="18"/>
                <w:szCs w:val="18"/>
                <w:lang w:val="es-EC"/>
              </w:rPr>
            </w:pPr>
            <w:r w:rsidRPr="008C0AE0">
              <w:rPr>
                <w:rFonts w:asciiTheme="minorHAnsi" w:hAnsiTheme="minorHAnsi" w:cstheme="minorHAnsi"/>
                <w:color w:val="000000"/>
                <w:sz w:val="18"/>
                <w:szCs w:val="18"/>
              </w:rPr>
              <w:t>FIES (</w:t>
            </w:r>
            <w:proofErr w:type="spellStart"/>
            <w:r w:rsidRPr="008C0AE0">
              <w:rPr>
                <w:rFonts w:asciiTheme="minorHAnsi" w:hAnsiTheme="minorHAnsi" w:cstheme="minorHAnsi"/>
                <w:color w:val="000000"/>
                <w:sz w:val="18"/>
                <w:szCs w:val="18"/>
              </w:rPr>
              <w:t>Food</w:t>
            </w:r>
            <w:proofErr w:type="spellEnd"/>
            <w:r w:rsidRPr="008C0AE0">
              <w:rPr>
                <w:rFonts w:asciiTheme="minorHAnsi" w:hAnsiTheme="minorHAnsi" w:cstheme="minorHAnsi"/>
                <w:color w:val="000000"/>
                <w:sz w:val="18"/>
                <w:szCs w:val="18"/>
              </w:rPr>
              <w:t xml:space="preserve"> </w:t>
            </w:r>
            <w:proofErr w:type="spellStart"/>
            <w:r w:rsidRPr="008C0AE0">
              <w:rPr>
                <w:rFonts w:asciiTheme="minorHAnsi" w:hAnsiTheme="minorHAnsi" w:cstheme="minorHAnsi"/>
                <w:color w:val="000000"/>
                <w:sz w:val="18"/>
                <w:szCs w:val="18"/>
              </w:rPr>
              <w:t>Insecurity</w:t>
            </w:r>
            <w:proofErr w:type="spellEnd"/>
            <w:r w:rsidRPr="008C0AE0">
              <w:rPr>
                <w:rFonts w:asciiTheme="minorHAnsi" w:hAnsiTheme="minorHAnsi" w:cstheme="minorHAnsi"/>
                <w:color w:val="000000"/>
                <w:sz w:val="18"/>
                <w:szCs w:val="18"/>
              </w:rPr>
              <w:t xml:space="preserve"> Experience </w:t>
            </w:r>
            <w:proofErr w:type="spellStart"/>
            <w:r w:rsidRPr="008C0AE0">
              <w:rPr>
                <w:rFonts w:asciiTheme="minorHAnsi" w:hAnsiTheme="minorHAnsi" w:cstheme="minorHAnsi"/>
                <w:color w:val="000000"/>
                <w:sz w:val="18"/>
                <w:szCs w:val="18"/>
              </w:rPr>
              <w:t>Scale</w:t>
            </w:r>
            <w:proofErr w:type="spellEnd"/>
            <w:r w:rsidRPr="008C0AE0">
              <w:rPr>
                <w:rFonts w:asciiTheme="minorHAnsi" w:hAnsiTheme="minorHAnsi" w:cstheme="minorHAnsi"/>
                <w:color w:val="000000"/>
                <w:sz w:val="18"/>
                <w:szCs w:val="18"/>
              </w:rPr>
              <w:t xml:space="preserve">): Escala de Experiencia </w:t>
            </w:r>
            <w:r w:rsidRPr="008C0AE0">
              <w:rPr>
                <w:rFonts w:asciiTheme="minorHAnsi" w:hAnsiTheme="minorHAnsi" w:cstheme="minorHAnsi"/>
                <w:color w:val="000000"/>
                <w:sz w:val="18"/>
                <w:szCs w:val="18"/>
              </w:rPr>
              <w:lastRenderedPageBreak/>
              <w:t>de Inseguridad Alimentaria</w:t>
            </w:r>
            <w:r w:rsidR="001E7E85" w:rsidRPr="00A51E75">
              <w:rPr>
                <w:rFonts w:asciiTheme="minorHAnsi" w:hAnsiTheme="minorHAnsi" w:cstheme="minorHAnsi"/>
                <w:color w:val="000000"/>
                <w:sz w:val="18"/>
                <w:szCs w:val="18"/>
              </w:rPr>
              <w:t>)</w:t>
            </w:r>
          </w:p>
          <w:p w14:paraId="5839D93D" w14:textId="77777777" w:rsidR="00A94A5E" w:rsidRPr="00D830D9" w:rsidRDefault="001E7E85" w:rsidP="001E7E85">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Entrevistas y grupos focales con beneficiarios mujeres y hombres</w:t>
            </w:r>
          </w:p>
          <w:p w14:paraId="4E594F1A" w14:textId="77777777" w:rsidR="00A94A5E" w:rsidRPr="00D830D9" w:rsidRDefault="001E7E85" w:rsidP="001E7E85">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Registros de producción agrícola a nivel de hogar</w:t>
            </w:r>
          </w:p>
          <w:p w14:paraId="41EFF405" w14:textId="1F832FB4" w:rsidR="001E7E85" w:rsidRPr="00D830D9" w:rsidRDefault="001E7E85" w:rsidP="001E7E85">
            <w:pPr>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 Informes de verificación sobre el terreno sobre la adopción de prácticas de </w:t>
            </w:r>
            <w:r w:rsidR="00E26F5E">
              <w:rPr>
                <w:rFonts w:asciiTheme="minorHAnsi" w:hAnsiTheme="minorHAnsi" w:cstheme="minorHAnsi"/>
                <w:color w:val="000000"/>
                <w:sz w:val="18"/>
                <w:szCs w:val="18"/>
              </w:rPr>
              <w:t>MST</w:t>
            </w:r>
          </w:p>
        </w:tc>
      </w:tr>
      <w:tr w:rsidR="003617A0" w:rsidRPr="007D4F41" w14:paraId="04D52502" w14:textId="77777777" w:rsidTr="1D9DC7A6">
        <w:trPr>
          <w:trHeight w:val="20"/>
        </w:trPr>
        <w:tc>
          <w:tcPr>
            <w:tcW w:w="531" w:type="pct"/>
            <w:vMerge/>
          </w:tcPr>
          <w:p w14:paraId="6ACA798C" w14:textId="77777777" w:rsidR="00B60919" w:rsidRPr="00D830D9" w:rsidRDefault="00B60919" w:rsidP="00B60919">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46" w:name="_Hlk193974972"/>
            <w:bookmarkEnd w:id="45"/>
          </w:p>
        </w:tc>
        <w:tc>
          <w:tcPr>
            <w:tcW w:w="410" w:type="pct"/>
            <w:vMerge/>
          </w:tcPr>
          <w:p w14:paraId="74A5E8DE" w14:textId="77777777" w:rsidR="00B60919" w:rsidRPr="00D830D9" w:rsidRDefault="00B60919" w:rsidP="00B60919">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1BE373FA" w14:textId="49B38EC1" w:rsidR="00B60919" w:rsidRPr="00A51E75" w:rsidRDefault="00B60919" w:rsidP="00B60919">
            <w:pPr>
              <w:contextualSpacing/>
              <w:rPr>
                <w:rFonts w:asciiTheme="minorHAnsi" w:hAnsiTheme="minorHAnsi" w:cstheme="minorHAnsi"/>
                <w:b/>
                <w:i/>
                <w:sz w:val="18"/>
                <w:szCs w:val="18"/>
              </w:rPr>
            </w:pPr>
            <w:r w:rsidRPr="00A51E75">
              <w:rPr>
                <w:rFonts w:asciiTheme="minorHAnsi" w:eastAsia="SimSun" w:hAnsiTheme="minorHAnsi" w:cstheme="minorHAnsi"/>
                <w:sz w:val="18"/>
                <w:szCs w:val="18"/>
              </w:rPr>
              <w:t>Indicador 13: El aumento en el número de empresas mejoró gracias a la restauración de tierras agrícolas degradadas. (</w:t>
            </w:r>
            <w:proofErr w:type="spellStart"/>
            <w:r w:rsidRPr="00A51E75">
              <w:rPr>
                <w:rFonts w:asciiTheme="minorHAnsi" w:eastAsia="SimSun" w:hAnsiTheme="minorHAnsi" w:cstheme="minorHAnsi"/>
                <w:sz w:val="18"/>
                <w:szCs w:val="18"/>
              </w:rPr>
              <w:t>Co-beneficio</w:t>
            </w:r>
            <w:proofErr w:type="spellEnd"/>
            <w:r w:rsidRPr="00A51E75">
              <w:rPr>
                <w:rFonts w:asciiTheme="minorHAnsi" w:eastAsia="SimSun" w:hAnsiTheme="minorHAnsi" w:cstheme="minorHAnsi"/>
                <w:sz w:val="18"/>
                <w:szCs w:val="18"/>
              </w:rPr>
              <w:t xml:space="preserve"> del Indicador Central 4: 3.020 ha en restauración) </w:t>
            </w:r>
          </w:p>
        </w:tc>
        <w:tc>
          <w:tcPr>
            <w:tcW w:w="600" w:type="pct"/>
          </w:tcPr>
          <w:p w14:paraId="094DE229" w14:textId="77777777" w:rsidR="00B60919" w:rsidRPr="00D830D9" w:rsidRDefault="00B60919" w:rsidP="00B60919">
            <w:pPr>
              <w:contextualSpacing/>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Elección intermedia: 91 + 10 = 101 empresas</w:t>
            </w:r>
          </w:p>
          <w:p w14:paraId="2A292AFE" w14:textId="77777777" w:rsidR="00B60919" w:rsidRPr="00D830D9" w:rsidRDefault="00B60919" w:rsidP="00B60919">
            <w:pPr>
              <w:contextualSpacing/>
              <w:rPr>
                <w:rFonts w:asciiTheme="minorHAnsi" w:eastAsia="SimSun" w:hAnsiTheme="minorHAnsi" w:cstheme="minorHAnsi"/>
                <w:sz w:val="18"/>
                <w:szCs w:val="18"/>
                <w:lang w:val="es-EC"/>
              </w:rPr>
            </w:pPr>
          </w:p>
          <w:p w14:paraId="5F305909" w14:textId="0BE9FA04"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Fin del proyecto: 91 + 25 = 114 empresas </w:t>
            </w:r>
          </w:p>
        </w:tc>
        <w:tc>
          <w:tcPr>
            <w:tcW w:w="692" w:type="pct"/>
          </w:tcPr>
          <w:p w14:paraId="5CD49991" w14:textId="2FA3DEE6"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Este indicador mide el aumento de las empresas fortalecidas como resultado directo de acciones degradadas de restauración de tierras agrícolas. Prioriza vincular a productores y comunidades con cadenas de valor sostenibles, bioeconomía y productos forestales no madereros (</w:t>
            </w:r>
            <w:r w:rsidR="00414574">
              <w:rPr>
                <w:rFonts w:asciiTheme="minorHAnsi" w:eastAsia="SimSun" w:hAnsiTheme="minorHAnsi" w:cstheme="minorHAnsi"/>
                <w:sz w:val="18"/>
                <w:szCs w:val="18"/>
              </w:rPr>
              <w:t>PFNM</w:t>
            </w:r>
            <w:r w:rsidRPr="00A51E75">
              <w:rPr>
                <w:rFonts w:asciiTheme="minorHAnsi" w:eastAsia="SimSun" w:hAnsiTheme="minorHAnsi" w:cstheme="minorHAnsi"/>
                <w:sz w:val="18"/>
                <w:szCs w:val="18"/>
              </w:rPr>
              <w:t xml:space="preserve">), así como mejorar las capacidades emprendedoras y el acceso al mercado. </w:t>
            </w:r>
          </w:p>
        </w:tc>
        <w:tc>
          <w:tcPr>
            <w:tcW w:w="686" w:type="pct"/>
          </w:tcPr>
          <w:p w14:paraId="63142DB5" w14:textId="588EEA66"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Anualmente, parcial y final del proyecto </w:t>
            </w:r>
          </w:p>
        </w:tc>
        <w:tc>
          <w:tcPr>
            <w:tcW w:w="571" w:type="pct"/>
          </w:tcPr>
          <w:p w14:paraId="182A7763" w14:textId="0EE4D4DD"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Técnicos de campo en coordinación con los responsables de los componentes de producción y el equipo de seguimiento del proyecto </w:t>
            </w:r>
          </w:p>
        </w:tc>
        <w:tc>
          <w:tcPr>
            <w:tcW w:w="783" w:type="pct"/>
          </w:tcPr>
          <w:p w14:paraId="68A45EC9" w14:textId="3F09D9E6"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 Registros de empresas apoyadas; encuestas de referencia y de seguimiento; informes sobre producción, ventas y fortalecimiento organizativo; análisis de sostenibilidad económica y ambiental; Base de datos de beneficiarios vinculados a los procesos de restauración.</w:t>
            </w:r>
          </w:p>
        </w:tc>
      </w:tr>
      <w:tr w:rsidR="00FD2D13" w:rsidRPr="007D4F41" w14:paraId="48BAC78F" w14:textId="77777777" w:rsidTr="1D9DC7A6">
        <w:trPr>
          <w:trHeight w:val="20"/>
        </w:trPr>
        <w:tc>
          <w:tcPr>
            <w:tcW w:w="531" w:type="pct"/>
            <w:vMerge/>
          </w:tcPr>
          <w:p w14:paraId="75D171C0" w14:textId="77777777" w:rsidR="00DA6BA9" w:rsidRPr="00D830D9" w:rsidRDefault="00DA6BA9" w:rsidP="00DA6BA9">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410" w:type="pct"/>
            <w:vMerge/>
          </w:tcPr>
          <w:p w14:paraId="7F05D4F9" w14:textId="77777777" w:rsidR="00DA6BA9" w:rsidRPr="00D830D9" w:rsidRDefault="00DA6BA9" w:rsidP="00DA6BA9">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1DC848F9" w14:textId="2EA6FE6A" w:rsidR="00DA6BA9" w:rsidRPr="00D830D9" w:rsidRDefault="00DA6BA9" w:rsidP="00DA6BA9">
            <w:pPr>
              <w:pBdr>
                <w:top w:val="nil"/>
                <w:left w:val="nil"/>
                <w:bottom w:val="nil"/>
                <w:right w:val="nil"/>
                <w:between w:val="nil"/>
              </w:pBdr>
              <w:rPr>
                <w:rFonts w:asciiTheme="minorHAnsi" w:hAnsiTheme="minorHAnsi" w:cstheme="minorHAnsi"/>
                <w:b/>
                <w:color w:val="000000"/>
                <w:sz w:val="18"/>
                <w:szCs w:val="18"/>
                <w:lang w:val="es-EC"/>
              </w:rPr>
            </w:pPr>
            <w:r w:rsidRPr="00A51E75">
              <w:rPr>
                <w:rFonts w:asciiTheme="minorHAnsi" w:hAnsiTheme="minorHAnsi" w:cstheme="minorHAnsi"/>
                <w:b/>
                <w:bCs/>
                <w:color w:val="000000"/>
                <w:sz w:val="18"/>
                <w:szCs w:val="18"/>
              </w:rPr>
              <w:t>Indicador 14:</w:t>
            </w:r>
            <w:r w:rsidRPr="00A51E75">
              <w:rPr>
                <w:rFonts w:asciiTheme="minorHAnsi" w:hAnsiTheme="minorHAnsi" w:cstheme="minorHAnsi"/>
                <w:color w:val="000000"/>
                <w:sz w:val="18"/>
                <w:szCs w:val="18"/>
              </w:rPr>
              <w:t xml:space="preserve"> Número de iniciativas de medios de vida sostenibles implementadas en áreas restauradas que promueven alternativas económicas como la silvicultura analógica, la silvicultura comercial, los </w:t>
            </w:r>
            <w:r w:rsidR="00414574">
              <w:rPr>
                <w:rFonts w:asciiTheme="minorHAnsi" w:hAnsiTheme="minorHAnsi" w:cstheme="minorHAnsi"/>
                <w:color w:val="000000"/>
                <w:sz w:val="18"/>
                <w:szCs w:val="18"/>
              </w:rPr>
              <w:t>PFNM</w:t>
            </w:r>
            <w:r w:rsidRPr="00A51E75">
              <w:rPr>
                <w:rFonts w:asciiTheme="minorHAnsi" w:hAnsiTheme="minorHAnsi" w:cstheme="minorHAnsi"/>
                <w:color w:val="000000"/>
                <w:sz w:val="18"/>
                <w:szCs w:val="18"/>
              </w:rPr>
              <w:t xml:space="preserve"> o los mecanismos de compensación.</w:t>
            </w:r>
          </w:p>
        </w:tc>
        <w:tc>
          <w:tcPr>
            <w:tcW w:w="600" w:type="pct"/>
          </w:tcPr>
          <w:p w14:paraId="0E0FEA3B" w14:textId="77777777" w:rsidR="00DA6BA9" w:rsidRPr="00A51E75" w:rsidRDefault="00DA6BA9" w:rsidP="00DA6BA9">
            <w:pPr>
              <w:pBdr>
                <w:top w:val="nil"/>
                <w:left w:val="nil"/>
                <w:bottom w:val="nil"/>
                <w:right w:val="nil"/>
                <w:between w:val="nil"/>
              </w:pBdr>
              <w:rPr>
                <w:rFonts w:asciiTheme="minorHAnsi" w:hAnsiTheme="minorHAnsi" w:cstheme="minorHAnsi"/>
                <w:color w:val="000000"/>
                <w:sz w:val="18"/>
                <w:szCs w:val="18"/>
              </w:rPr>
            </w:pPr>
            <w:r w:rsidRPr="00A51E75">
              <w:rPr>
                <w:rFonts w:asciiTheme="minorHAnsi" w:hAnsiTheme="minorHAnsi" w:cstheme="minorHAnsi"/>
                <w:b/>
                <w:bCs/>
                <w:color w:val="000000"/>
                <w:sz w:val="18"/>
                <w:szCs w:val="18"/>
              </w:rPr>
              <w:t>Examen parcial:</w:t>
            </w:r>
            <w:r w:rsidRPr="00A51E75">
              <w:rPr>
                <w:rFonts w:asciiTheme="minorHAnsi" w:hAnsiTheme="minorHAnsi" w:cstheme="minorHAnsi"/>
                <w:color w:val="000000"/>
                <w:sz w:val="18"/>
                <w:szCs w:val="18"/>
              </w:rPr>
              <w:t xml:space="preserve"> 1 </w:t>
            </w:r>
          </w:p>
          <w:p w14:paraId="79589D29" w14:textId="77777777" w:rsidR="00DA6BA9" w:rsidRPr="00A51E75" w:rsidRDefault="00DA6BA9" w:rsidP="00DA6BA9">
            <w:pPr>
              <w:pBdr>
                <w:top w:val="nil"/>
                <w:left w:val="nil"/>
                <w:bottom w:val="nil"/>
                <w:right w:val="nil"/>
                <w:between w:val="nil"/>
              </w:pBdr>
              <w:rPr>
                <w:rFonts w:asciiTheme="minorHAnsi" w:hAnsiTheme="minorHAnsi" w:cstheme="minorHAnsi"/>
                <w:b/>
                <w:bCs/>
                <w:color w:val="000000"/>
                <w:sz w:val="18"/>
                <w:szCs w:val="18"/>
              </w:rPr>
            </w:pPr>
          </w:p>
          <w:p w14:paraId="27A43D51" w14:textId="0AE721B3" w:rsidR="00DA6BA9" w:rsidRPr="00D830D9" w:rsidRDefault="00DA6BA9" w:rsidP="00DA6BA9">
            <w:pPr>
              <w:pBdr>
                <w:top w:val="nil"/>
                <w:left w:val="nil"/>
                <w:bottom w:val="nil"/>
                <w:right w:val="nil"/>
                <w:between w:val="nil"/>
              </w:pBdr>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Fin del proyecto:</w:t>
            </w:r>
            <w:r w:rsidRPr="00A51E75">
              <w:rPr>
                <w:rFonts w:asciiTheme="minorHAnsi" w:hAnsiTheme="minorHAnsi" w:cstheme="minorHAnsi"/>
                <w:color w:val="000000"/>
                <w:sz w:val="18"/>
                <w:szCs w:val="18"/>
              </w:rPr>
              <w:t>3</w:t>
            </w:r>
          </w:p>
        </w:tc>
        <w:tc>
          <w:tcPr>
            <w:tcW w:w="692" w:type="pct"/>
          </w:tcPr>
          <w:p w14:paraId="62D1237E" w14:textId="3CAAE33D" w:rsidR="00DA6BA9" w:rsidRPr="00D830D9" w:rsidRDefault="00DA6BA9" w:rsidP="00DA6BA9">
            <w:pPr>
              <w:pBdr>
                <w:top w:val="nil"/>
                <w:left w:val="nil"/>
                <w:bottom w:val="nil"/>
                <w:right w:val="nil"/>
                <w:between w:val="nil"/>
              </w:pBd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Este indicador mide la implementación de iniciativas de medios de vida vinculadas a las áreas restauradas bajo el proyecto. Estas actividades incluyen actividades </w:t>
            </w:r>
            <w:proofErr w:type="spellStart"/>
            <w:r w:rsidRPr="00A51E75">
              <w:rPr>
                <w:rFonts w:asciiTheme="minorHAnsi" w:hAnsiTheme="minorHAnsi" w:cstheme="minorHAnsi"/>
                <w:color w:val="000000"/>
                <w:sz w:val="18"/>
                <w:szCs w:val="18"/>
              </w:rPr>
              <w:t>bioeconómicas</w:t>
            </w:r>
            <w:proofErr w:type="spellEnd"/>
            <w:r w:rsidRPr="00A51E75">
              <w:rPr>
                <w:rFonts w:asciiTheme="minorHAnsi" w:hAnsiTheme="minorHAnsi" w:cstheme="minorHAnsi"/>
                <w:color w:val="000000"/>
                <w:sz w:val="18"/>
                <w:szCs w:val="18"/>
              </w:rPr>
              <w:t xml:space="preserve"> como la silvicultura analógica, los </w:t>
            </w:r>
            <w:r w:rsidR="00414574">
              <w:rPr>
                <w:rFonts w:asciiTheme="minorHAnsi" w:hAnsiTheme="minorHAnsi" w:cstheme="minorHAnsi"/>
                <w:color w:val="000000"/>
                <w:sz w:val="18"/>
                <w:szCs w:val="18"/>
              </w:rPr>
              <w:t>PFNM</w:t>
            </w:r>
            <w:r w:rsidRPr="00A51E75">
              <w:rPr>
                <w:rFonts w:asciiTheme="minorHAnsi" w:hAnsiTheme="minorHAnsi" w:cstheme="minorHAnsi"/>
                <w:color w:val="000000"/>
                <w:sz w:val="18"/>
                <w:szCs w:val="18"/>
              </w:rPr>
              <w:t>, la silvicultura comercial y los mecanismos de compensación, contribuyendo a la sostenibilidad y la resiliencia comunitaria.</w:t>
            </w:r>
          </w:p>
        </w:tc>
        <w:tc>
          <w:tcPr>
            <w:tcW w:w="686" w:type="pct"/>
          </w:tcPr>
          <w:p w14:paraId="0C4B752A" w14:textId="2AB6C0B2" w:rsidR="00DA6BA9" w:rsidRPr="00D830D9" w:rsidRDefault="00DA6BA9" w:rsidP="00DA6BA9">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Parcial y final del proyecto</w:t>
            </w:r>
          </w:p>
        </w:tc>
        <w:tc>
          <w:tcPr>
            <w:tcW w:w="571" w:type="pct"/>
          </w:tcPr>
          <w:p w14:paraId="45DA7E4F" w14:textId="400B47C7" w:rsidR="00DA6BA9" w:rsidRPr="00D830D9" w:rsidRDefault="00DA6BA9" w:rsidP="00DA6BA9">
            <w:pP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Equipo de implementación del proyecto en colaboración con socios implementadores y autoridades locales (por ejemplo, GAD)</w:t>
            </w:r>
          </w:p>
        </w:tc>
        <w:tc>
          <w:tcPr>
            <w:tcW w:w="783" w:type="pct"/>
          </w:tcPr>
          <w:p w14:paraId="22E39DE7" w14:textId="77777777" w:rsidR="00DA6BA9" w:rsidRPr="00D830D9" w:rsidRDefault="00DA6BA9" w:rsidP="00DA6BA9">
            <w:pPr>
              <w:pBdr>
                <w:top w:val="nil"/>
                <w:left w:val="nil"/>
                <w:bottom w:val="nil"/>
                <w:right w:val="nil"/>
                <w:between w:val="nil"/>
              </w:pBd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Revisión documental de acuerdos de cofinanciación y planes de negocio</w:t>
            </w:r>
          </w:p>
          <w:p w14:paraId="55C20903" w14:textId="77777777" w:rsidR="00DA6BA9" w:rsidRPr="00D830D9" w:rsidRDefault="00DA6BA9" w:rsidP="00DA6BA9">
            <w:pPr>
              <w:pBdr>
                <w:top w:val="nil"/>
                <w:left w:val="nil"/>
                <w:bottom w:val="nil"/>
                <w:right w:val="nil"/>
                <w:between w:val="nil"/>
              </w:pBd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Registros de campo de restauración y actividades productivas</w:t>
            </w:r>
          </w:p>
          <w:p w14:paraId="3B0B174E" w14:textId="77777777" w:rsidR="00DA6BA9" w:rsidRPr="00D830D9" w:rsidRDefault="00DA6BA9" w:rsidP="00DA6BA9">
            <w:pPr>
              <w:pBdr>
                <w:top w:val="nil"/>
                <w:left w:val="nil"/>
                <w:bottom w:val="nil"/>
                <w:right w:val="nil"/>
                <w:between w:val="nil"/>
              </w:pBd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Encuestas y entrevistas con beneficiarios participantes</w:t>
            </w:r>
          </w:p>
          <w:p w14:paraId="6A2C836C" w14:textId="0BCD7257" w:rsidR="00DA6BA9" w:rsidRPr="00D830D9" w:rsidRDefault="00DA6BA9" w:rsidP="00DA6BA9">
            <w:pPr>
              <w:pBdr>
                <w:top w:val="nil"/>
                <w:left w:val="nil"/>
                <w:bottom w:val="nil"/>
                <w:right w:val="nil"/>
                <w:between w:val="nil"/>
              </w:pBd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Verificación de la actividad empresarial y los vínculos con el mercado</w:t>
            </w:r>
          </w:p>
        </w:tc>
      </w:tr>
      <w:bookmarkEnd w:id="46"/>
      <w:tr w:rsidR="008A5834" w:rsidRPr="007D4F41" w14:paraId="7F73A766" w14:textId="77777777" w:rsidTr="1D9DC7A6">
        <w:trPr>
          <w:trHeight w:val="20"/>
        </w:trPr>
        <w:tc>
          <w:tcPr>
            <w:tcW w:w="531" w:type="pct"/>
            <w:vMerge/>
          </w:tcPr>
          <w:p w14:paraId="274319A5" w14:textId="77777777" w:rsidR="008A5834" w:rsidRPr="00D830D9" w:rsidRDefault="008A5834" w:rsidP="008A5834">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410" w:type="pct"/>
            <w:vMerge w:val="restart"/>
          </w:tcPr>
          <w:p w14:paraId="543BA21C" w14:textId="77777777" w:rsidR="008A5834" w:rsidRPr="00A51E75" w:rsidRDefault="008A5834" w:rsidP="008A5834">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Objetivo del Proyecto 31</w:t>
            </w:r>
          </w:p>
        </w:tc>
        <w:tc>
          <w:tcPr>
            <w:tcW w:w="727" w:type="pct"/>
          </w:tcPr>
          <w:p w14:paraId="6524ECF3" w14:textId="77777777" w:rsidR="008A5834" w:rsidRPr="00D830D9" w:rsidRDefault="008A5834" w:rsidP="008A583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Indicador 15: Cantidad (USD) de financiación movilizada mediante mecanismos financieros (diseñados o reforzados por el proyecto) para apoyar la conservación, restauración y producción sostenible. Incluye líneas de crédito </w:t>
            </w:r>
            <w:r w:rsidRPr="00A51E75">
              <w:rPr>
                <w:rFonts w:asciiTheme="minorHAnsi" w:hAnsiTheme="minorHAnsi" w:cstheme="minorHAnsi"/>
                <w:color w:val="000000"/>
                <w:sz w:val="18"/>
                <w:szCs w:val="18"/>
              </w:rPr>
              <w:lastRenderedPageBreak/>
              <w:t>verde, pagos por servicios ecosistémicos (PES), fondos comunitarios rotativos y esquemas de conservación basados en incentivos.</w:t>
            </w:r>
          </w:p>
          <w:p w14:paraId="0E115C03" w14:textId="77777777" w:rsidR="008A5834" w:rsidRPr="00D830D9" w:rsidRDefault="008A5834" w:rsidP="008A5834">
            <w:pPr>
              <w:contextualSpacing/>
              <w:rPr>
                <w:rFonts w:asciiTheme="minorHAnsi" w:hAnsiTheme="minorHAnsi" w:cstheme="minorHAnsi"/>
                <w:color w:val="000000"/>
                <w:sz w:val="18"/>
                <w:szCs w:val="18"/>
                <w:lang w:val="es-EC"/>
              </w:rPr>
            </w:pPr>
          </w:p>
          <w:p w14:paraId="0EC6FDD7" w14:textId="3A71340C" w:rsidR="008A5834" w:rsidRPr="00D830D9" w:rsidRDefault="008A5834" w:rsidP="008A583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Contribuye a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 xml:space="preserve">11.1 y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11.2 (al menos un 40% de beneficiarias mujeres).</w:t>
            </w:r>
          </w:p>
        </w:tc>
        <w:tc>
          <w:tcPr>
            <w:tcW w:w="600" w:type="pct"/>
          </w:tcPr>
          <w:p w14:paraId="62937C6D" w14:textId="77777777" w:rsidR="008A5834" w:rsidRPr="00D830D9" w:rsidRDefault="008A5834" w:rsidP="008A583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lastRenderedPageBreak/>
              <w:t>A medio plazo: 500.000 USD movilizados</w:t>
            </w:r>
          </w:p>
          <w:p w14:paraId="1640A6E8" w14:textId="77777777" w:rsidR="008A5834" w:rsidRPr="00D830D9" w:rsidRDefault="008A5834" w:rsidP="008A5834">
            <w:pPr>
              <w:contextualSpacing/>
              <w:rPr>
                <w:rFonts w:asciiTheme="minorHAnsi" w:hAnsiTheme="minorHAnsi" w:cstheme="minorHAnsi"/>
                <w:color w:val="000000"/>
                <w:sz w:val="18"/>
                <w:szCs w:val="18"/>
                <w:lang w:val="es-EC"/>
              </w:rPr>
            </w:pPr>
          </w:p>
          <w:p w14:paraId="2C2F05FB" w14:textId="4F193CDC" w:rsidR="008A5834" w:rsidRPr="00D830D9" w:rsidRDefault="008A5834" w:rsidP="008A583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Fin del proyecto: 2.000.000 USD movilizados En ambos casos, al menos el 40% de los beneficiarios directos deben ser mujeres.</w:t>
            </w:r>
          </w:p>
        </w:tc>
        <w:tc>
          <w:tcPr>
            <w:tcW w:w="692" w:type="pct"/>
          </w:tcPr>
          <w:p w14:paraId="6A3E47C4" w14:textId="5E6D4450" w:rsidR="008A5834" w:rsidRPr="00D830D9" w:rsidRDefault="008A5834" w:rsidP="008A583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Mide la cantidad total de financiación movilizada a través de mecanismos financieros apoyados por el proyecto. Estos pueden ser instrumentos diseñados o reforzados para permitir inversiones inclusivas y sostenibles. El indicador también registra la </w:t>
            </w:r>
            <w:r w:rsidRPr="00A51E75">
              <w:rPr>
                <w:rFonts w:asciiTheme="minorHAnsi" w:hAnsiTheme="minorHAnsi" w:cstheme="minorHAnsi"/>
                <w:color w:val="000000"/>
                <w:sz w:val="18"/>
                <w:szCs w:val="18"/>
              </w:rPr>
              <w:lastRenderedPageBreak/>
              <w:t>proporción de mujeres entre el total de beneficiarios.</w:t>
            </w:r>
          </w:p>
        </w:tc>
        <w:tc>
          <w:tcPr>
            <w:tcW w:w="686" w:type="pct"/>
          </w:tcPr>
          <w:p w14:paraId="725429E1" w14:textId="32C2FA5E" w:rsidR="008A5834" w:rsidRPr="00D830D9" w:rsidRDefault="008A5834" w:rsidP="008A583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lastRenderedPageBreak/>
              <w:t>Anual (con revisión detallada a mitad de curso y final del proyecto)</w:t>
            </w:r>
          </w:p>
        </w:tc>
        <w:tc>
          <w:tcPr>
            <w:tcW w:w="571" w:type="pct"/>
          </w:tcPr>
          <w:p w14:paraId="21D78A5C" w14:textId="5E141796" w:rsidR="008A5834" w:rsidRPr="00D830D9" w:rsidRDefault="009E221F" w:rsidP="008A5834">
            <w:pPr>
              <w:contextualSpacing/>
              <w:rPr>
                <w:rFonts w:asciiTheme="minorHAnsi" w:hAnsiTheme="minorHAnsi" w:cstheme="minorHAnsi"/>
                <w:i/>
                <w:sz w:val="18"/>
                <w:szCs w:val="18"/>
                <w:lang w:val="es-EC"/>
              </w:rPr>
            </w:pPr>
            <w:r>
              <w:rPr>
                <w:rFonts w:asciiTheme="minorHAnsi" w:hAnsiTheme="minorHAnsi" w:cstheme="minorHAnsi"/>
                <w:color w:val="000000"/>
                <w:sz w:val="18"/>
                <w:szCs w:val="18"/>
              </w:rPr>
              <w:t>MAE</w:t>
            </w:r>
            <w:r w:rsidR="008A5834" w:rsidRPr="00A51E75">
              <w:rPr>
                <w:rFonts w:asciiTheme="minorHAnsi" w:hAnsiTheme="minorHAnsi" w:cstheme="minorHAnsi"/>
                <w:color w:val="000000"/>
                <w:sz w:val="18"/>
                <w:szCs w:val="18"/>
              </w:rPr>
              <w:t xml:space="preserve"> (Unidad de Finanzas Verdes), BIOFIN, </w:t>
            </w:r>
            <w:r>
              <w:rPr>
                <w:rFonts w:asciiTheme="minorHAnsi" w:hAnsiTheme="minorHAnsi" w:cstheme="minorHAnsi"/>
                <w:color w:val="000000"/>
                <w:sz w:val="18"/>
                <w:szCs w:val="18"/>
              </w:rPr>
              <w:t>MAGP</w:t>
            </w:r>
            <w:r w:rsidR="008A5834" w:rsidRPr="00A51E75">
              <w:rPr>
                <w:rFonts w:asciiTheme="minorHAnsi" w:hAnsiTheme="minorHAnsi" w:cstheme="minorHAnsi"/>
                <w:color w:val="000000"/>
                <w:sz w:val="18"/>
                <w:szCs w:val="18"/>
              </w:rPr>
              <w:t>, MEF, socios implementadores; en coordinación con BanEcuador, CONAFIPS y proveedores de servicios financieros.</w:t>
            </w:r>
          </w:p>
        </w:tc>
        <w:tc>
          <w:tcPr>
            <w:tcW w:w="783" w:type="pct"/>
          </w:tcPr>
          <w:p w14:paraId="3E7DCB42" w14:textId="77777777" w:rsidR="008A5834" w:rsidRPr="00D830D9" w:rsidRDefault="008A5834" w:rsidP="008A583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Acuerdos financieros e informes de desembolso </w:t>
            </w:r>
          </w:p>
          <w:p w14:paraId="38EC1AE8" w14:textId="77777777" w:rsidR="008A5834" w:rsidRPr="00D830D9" w:rsidRDefault="008A5834" w:rsidP="008A583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Cartas y declaraciones de cofinanciación </w:t>
            </w:r>
          </w:p>
          <w:p w14:paraId="7244D3DD" w14:textId="77777777" w:rsidR="008A5834" w:rsidRPr="00D830D9" w:rsidRDefault="008A5834" w:rsidP="008A583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Registros de beneficiarios desagregados por género </w:t>
            </w:r>
          </w:p>
          <w:p w14:paraId="46987001" w14:textId="77777777" w:rsidR="008A5834" w:rsidRPr="00D830D9" w:rsidRDefault="008A5834" w:rsidP="008A5834">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Base de datos de seguimiento de proyectos </w:t>
            </w:r>
          </w:p>
          <w:p w14:paraId="4AE64862" w14:textId="5580BB25" w:rsidR="008A5834" w:rsidRPr="00D830D9" w:rsidRDefault="008A5834" w:rsidP="008A5834">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Entrevistas y validación de campo con los interesados</w:t>
            </w:r>
          </w:p>
        </w:tc>
      </w:tr>
      <w:tr w:rsidR="003617A0" w:rsidRPr="007D4F41" w14:paraId="0B71DA1D" w14:textId="77777777" w:rsidTr="1D9DC7A6">
        <w:trPr>
          <w:trHeight w:val="20"/>
        </w:trPr>
        <w:tc>
          <w:tcPr>
            <w:tcW w:w="531" w:type="pct"/>
            <w:vMerge/>
          </w:tcPr>
          <w:p w14:paraId="12E9DF0E" w14:textId="77777777" w:rsidR="00B60919" w:rsidRPr="00D830D9" w:rsidRDefault="00B60919" w:rsidP="00B60919">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47" w:name="_Hlk193976529"/>
          </w:p>
        </w:tc>
        <w:tc>
          <w:tcPr>
            <w:tcW w:w="410" w:type="pct"/>
            <w:vMerge/>
          </w:tcPr>
          <w:p w14:paraId="311EDE40" w14:textId="77777777" w:rsidR="00B60919" w:rsidRPr="00D830D9" w:rsidRDefault="00B60919" w:rsidP="00B60919">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568E0A93" w14:textId="77777777" w:rsidR="00B60919" w:rsidRPr="00D830D9" w:rsidRDefault="00B60919" w:rsidP="00B6091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Indicador 16: Número de proyectos productivos sostenibles implementados y financiados, alineados con los Planes de Vida de los pueblos y nacionalidades indígenas, priorizando iniciativas lideradas por mujeres y jóvenes.</w:t>
            </w:r>
          </w:p>
          <w:p w14:paraId="22388258" w14:textId="77777777" w:rsidR="00B60919" w:rsidRPr="00D830D9" w:rsidRDefault="00B60919" w:rsidP="00B60919">
            <w:pPr>
              <w:rPr>
                <w:rFonts w:asciiTheme="minorHAnsi" w:eastAsia="SimSun" w:hAnsiTheme="minorHAnsi" w:cstheme="minorHAnsi"/>
                <w:sz w:val="18"/>
                <w:szCs w:val="18"/>
                <w:lang w:val="es-EC"/>
              </w:rPr>
            </w:pPr>
          </w:p>
          <w:p w14:paraId="6CED34BF" w14:textId="2E785FAF" w:rsidR="00B60919" w:rsidRPr="00895463" w:rsidRDefault="00B60919" w:rsidP="00B6091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Contribuye a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 Subindicadores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 xml:space="preserve">11.1 e </w:t>
            </w:r>
            <w:r w:rsidR="00A60D5B">
              <w:rPr>
                <w:rFonts w:asciiTheme="minorHAnsi" w:eastAsia="SimSun" w:hAnsiTheme="minorHAnsi" w:cstheme="minorHAnsi"/>
                <w:sz w:val="18"/>
                <w:szCs w:val="18"/>
              </w:rPr>
              <w:t xml:space="preserve">IC </w:t>
            </w:r>
            <w:r w:rsidRPr="00A51E75">
              <w:rPr>
                <w:rFonts w:asciiTheme="minorHAnsi" w:eastAsia="SimSun" w:hAnsiTheme="minorHAnsi" w:cstheme="minorHAnsi"/>
                <w:sz w:val="18"/>
                <w:szCs w:val="18"/>
              </w:rPr>
              <w:t>11.2: 1100 personas, 40% mujeres.</w:t>
            </w:r>
          </w:p>
          <w:p w14:paraId="0840FFA4" w14:textId="0F33AC37" w:rsidR="00B60919" w:rsidRPr="00895463" w:rsidRDefault="00B60919" w:rsidP="00B60919">
            <w:pPr>
              <w:contextualSpacing/>
              <w:rPr>
                <w:rFonts w:asciiTheme="minorHAnsi" w:hAnsiTheme="minorHAnsi" w:cstheme="minorHAnsi"/>
                <w:b/>
                <w:i/>
                <w:sz w:val="18"/>
                <w:szCs w:val="18"/>
                <w:lang w:val="es-EC"/>
              </w:rPr>
            </w:pPr>
          </w:p>
        </w:tc>
        <w:tc>
          <w:tcPr>
            <w:tcW w:w="600" w:type="pct"/>
          </w:tcPr>
          <w:p w14:paraId="14567975" w14:textId="77777777" w:rsidR="00B60919" w:rsidRPr="00D830D9" w:rsidRDefault="00B60919" w:rsidP="00B6091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A mitad de plazo: 3 proyectos (al menos 1 dirigido por mujeres)</w:t>
            </w:r>
          </w:p>
          <w:p w14:paraId="54AB5D5B" w14:textId="77777777" w:rsidR="00B60919" w:rsidRPr="00D830D9" w:rsidRDefault="00B60919" w:rsidP="00B60919">
            <w:pPr>
              <w:contextualSpacing/>
              <w:rPr>
                <w:rFonts w:asciiTheme="minorHAnsi" w:eastAsia="SimSun" w:hAnsiTheme="minorHAnsi" w:cstheme="minorHAnsi"/>
                <w:sz w:val="18"/>
                <w:szCs w:val="18"/>
                <w:lang w:val="es-EC"/>
              </w:rPr>
            </w:pPr>
          </w:p>
          <w:p w14:paraId="522D6BBB" w14:textId="14387348"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Fin del proyecto: 7 proyectos (al menos 3 dirigidos por mujeres)</w:t>
            </w:r>
          </w:p>
        </w:tc>
        <w:tc>
          <w:tcPr>
            <w:tcW w:w="692" w:type="pct"/>
          </w:tcPr>
          <w:p w14:paraId="7F5DF0D6" w14:textId="438387A6"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Este indicador mide el número de proyectos productivos sostenibles que se han implementado y financiado con apoyo técnico y financiero, en línea con los Planes de Vida de los pueblos y nacionalidades indígenas. Se da prioridad al liderazgo de mujeres y jóvenes en la gestión e implementación de estos proyectos.</w:t>
            </w:r>
          </w:p>
        </w:tc>
        <w:tc>
          <w:tcPr>
            <w:tcW w:w="686" w:type="pct"/>
          </w:tcPr>
          <w:p w14:paraId="51ED4B29" w14:textId="68EB1BBF"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Anualmente, a mitad de plazo y al final del proyecto</w:t>
            </w:r>
          </w:p>
        </w:tc>
        <w:tc>
          <w:tcPr>
            <w:tcW w:w="571" w:type="pct"/>
          </w:tcPr>
          <w:p w14:paraId="176942D5" w14:textId="3DDC7A1E"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 xml:space="preserve">Equipo técnico del proyecto en coordinación con CTEA, FODESNA, BIOFIN, BanEcuador, CONAFIPS, </w:t>
            </w:r>
            <w:proofErr w:type="spellStart"/>
            <w:r w:rsidRPr="00A51E75">
              <w:rPr>
                <w:rFonts w:asciiTheme="minorHAnsi" w:eastAsia="SimSun" w:hAnsiTheme="minorHAnsi" w:cstheme="minorHAnsi"/>
                <w:sz w:val="18"/>
                <w:szCs w:val="18"/>
              </w:rPr>
              <w:t>GADs</w:t>
            </w:r>
            <w:proofErr w:type="spellEnd"/>
            <w:r w:rsidRPr="00A51E75">
              <w:rPr>
                <w:rFonts w:asciiTheme="minorHAnsi" w:eastAsia="SimSun" w:hAnsiTheme="minorHAnsi" w:cstheme="minorHAnsi"/>
                <w:sz w:val="18"/>
                <w:szCs w:val="18"/>
              </w:rPr>
              <w:t xml:space="preserve"> y ONG asociadas</w:t>
            </w:r>
          </w:p>
        </w:tc>
        <w:tc>
          <w:tcPr>
            <w:tcW w:w="783" w:type="pct"/>
          </w:tcPr>
          <w:p w14:paraId="4011F1B1" w14:textId="5F63C0F9" w:rsidR="00B60919" w:rsidRPr="00D830D9" w:rsidRDefault="00B60919" w:rsidP="00B60919">
            <w:pPr>
              <w:contextualSpacing/>
              <w:rPr>
                <w:rFonts w:asciiTheme="minorHAnsi" w:hAnsiTheme="minorHAnsi" w:cstheme="minorHAnsi"/>
                <w:i/>
                <w:sz w:val="18"/>
                <w:szCs w:val="18"/>
                <w:lang w:val="es-EC"/>
              </w:rPr>
            </w:pPr>
            <w:r w:rsidRPr="00A51E75">
              <w:rPr>
                <w:rFonts w:asciiTheme="minorHAnsi" w:eastAsia="SimSun" w:hAnsiTheme="minorHAnsi" w:cstheme="minorHAnsi"/>
                <w:sz w:val="18"/>
                <w:szCs w:val="18"/>
              </w:rPr>
              <w:t>Acuerdos y registros de financiación, informes técnicos y financieros de ejecución, encuestas y entrevistas con beneficiarios, visitas de campo, registros de participación y liderazgo desglosados por género y edad.</w:t>
            </w:r>
          </w:p>
        </w:tc>
      </w:tr>
      <w:tr w:rsidR="00FD2D13" w:rsidRPr="007D4F41" w14:paraId="49EE3793" w14:textId="77777777" w:rsidTr="1D9DC7A6">
        <w:trPr>
          <w:trHeight w:val="20"/>
        </w:trPr>
        <w:tc>
          <w:tcPr>
            <w:tcW w:w="531" w:type="pct"/>
            <w:vMerge/>
          </w:tcPr>
          <w:p w14:paraId="29C9309A" w14:textId="77777777" w:rsidR="000B1A69" w:rsidRPr="00D830D9" w:rsidRDefault="000B1A69" w:rsidP="000B1A69">
            <w:pPr>
              <w:widowControl w:val="0"/>
              <w:pBdr>
                <w:top w:val="nil"/>
                <w:left w:val="nil"/>
                <w:bottom w:val="nil"/>
                <w:right w:val="nil"/>
                <w:between w:val="nil"/>
              </w:pBdr>
              <w:spacing w:line="276" w:lineRule="auto"/>
              <w:rPr>
                <w:rFonts w:asciiTheme="minorHAnsi" w:hAnsiTheme="minorHAnsi" w:cstheme="minorHAnsi"/>
                <w:i/>
                <w:sz w:val="18"/>
                <w:szCs w:val="18"/>
                <w:lang w:val="es-EC"/>
              </w:rPr>
            </w:pPr>
            <w:bookmarkStart w:id="48" w:name="_Hlk193977101"/>
            <w:bookmarkEnd w:id="47"/>
          </w:p>
        </w:tc>
        <w:tc>
          <w:tcPr>
            <w:tcW w:w="410" w:type="pct"/>
            <w:vMerge w:val="restart"/>
          </w:tcPr>
          <w:p w14:paraId="265A41EA" w14:textId="77777777" w:rsidR="000B1A69" w:rsidRPr="00A51E75" w:rsidRDefault="000B1A69" w:rsidP="000B1A69">
            <w:pPr>
              <w:spacing w:after="60"/>
              <w:jc w:val="both"/>
              <w:rPr>
                <w:rFonts w:asciiTheme="minorHAnsi" w:hAnsiTheme="minorHAnsi" w:cstheme="minorHAnsi"/>
                <w:b/>
                <w:sz w:val="18"/>
                <w:szCs w:val="18"/>
              </w:rPr>
            </w:pPr>
            <w:r w:rsidRPr="00A51E75">
              <w:rPr>
                <w:rFonts w:asciiTheme="minorHAnsi" w:hAnsiTheme="minorHAnsi" w:cstheme="minorHAnsi"/>
                <w:b/>
                <w:sz w:val="18"/>
                <w:szCs w:val="18"/>
              </w:rPr>
              <w:t>Resultado del Proyecto 41</w:t>
            </w:r>
          </w:p>
        </w:tc>
        <w:tc>
          <w:tcPr>
            <w:tcW w:w="727" w:type="pct"/>
          </w:tcPr>
          <w:p w14:paraId="33FBCB26" w14:textId="77777777" w:rsidR="000B1A69" w:rsidRPr="00D830D9" w:rsidRDefault="000B1A69" w:rsidP="000B1A6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Indicador 17: Número de sistemas de monitorización territorial (por unidad hidrográfica) implementados para apoyar la toma de decisiones en conservación y gestión de tierras, con datos desglosados por género, edad y etnia. </w:t>
            </w:r>
          </w:p>
          <w:p w14:paraId="2E2E1FE3" w14:textId="77777777" w:rsidR="000B1A69" w:rsidRPr="00D830D9" w:rsidRDefault="000B1A69" w:rsidP="000B1A69">
            <w:pPr>
              <w:contextualSpacing/>
              <w:rPr>
                <w:rFonts w:asciiTheme="minorHAnsi" w:hAnsiTheme="minorHAnsi" w:cstheme="minorHAnsi"/>
                <w:color w:val="000000"/>
                <w:sz w:val="18"/>
                <w:szCs w:val="18"/>
                <w:lang w:val="es-EC"/>
              </w:rPr>
            </w:pPr>
          </w:p>
          <w:p w14:paraId="6F9F69CC" w14:textId="5724BFFF" w:rsidR="000B1A69" w:rsidRPr="00895463" w:rsidRDefault="000B1A69" w:rsidP="000B1A69">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Contribuye a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 xml:space="preserve">11: Subindicadores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 xml:space="preserve">11.1 e </w:t>
            </w:r>
            <w:r w:rsidR="00A60D5B">
              <w:rPr>
                <w:rFonts w:asciiTheme="minorHAnsi" w:hAnsiTheme="minorHAnsi" w:cstheme="minorHAnsi"/>
                <w:color w:val="000000"/>
                <w:sz w:val="18"/>
                <w:szCs w:val="18"/>
              </w:rPr>
              <w:t xml:space="preserve">IC </w:t>
            </w:r>
            <w:r w:rsidRPr="00A51E75">
              <w:rPr>
                <w:rFonts w:asciiTheme="minorHAnsi" w:hAnsiTheme="minorHAnsi" w:cstheme="minorHAnsi"/>
                <w:color w:val="000000"/>
                <w:sz w:val="18"/>
                <w:szCs w:val="18"/>
              </w:rPr>
              <w:t>11.2: 1.100 personas, 40% mujeres</w:t>
            </w:r>
          </w:p>
        </w:tc>
        <w:tc>
          <w:tcPr>
            <w:tcW w:w="600" w:type="pct"/>
          </w:tcPr>
          <w:p w14:paraId="536B38BE" w14:textId="77777777" w:rsidR="000B1A69" w:rsidRPr="00D830D9" w:rsidRDefault="000B1A69" w:rsidP="000B1A6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A mitad de mandato: 2 unidades hidrográficas con sistemas territoriales funcionales</w:t>
            </w:r>
            <w:r w:rsidRPr="00A51E75">
              <w:rPr>
                <w:rFonts w:asciiTheme="minorHAnsi" w:hAnsiTheme="minorHAnsi" w:cstheme="minorHAnsi"/>
                <w:color w:val="000000"/>
                <w:sz w:val="18"/>
                <w:szCs w:val="18"/>
              </w:rPr>
              <w:br/>
            </w:r>
          </w:p>
          <w:p w14:paraId="1F4AADF3" w14:textId="70BD5CE4" w:rsidR="000B1A69" w:rsidRPr="00D830D9" w:rsidRDefault="000B1A69" w:rsidP="000B1A69">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Fin del proyecto: 3 unidades hidrográficas con sistemas de monitorización totalmente integrados</w:t>
            </w:r>
          </w:p>
        </w:tc>
        <w:tc>
          <w:tcPr>
            <w:tcW w:w="692" w:type="pct"/>
          </w:tcPr>
          <w:p w14:paraId="4C9833D1" w14:textId="2BA17F34" w:rsidR="000B1A69" w:rsidRPr="00D830D9" w:rsidRDefault="000B1A69" w:rsidP="000B1A69">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Este indicador rastrea el establecimiento y la operativización de los sistemas de monitorización en las unidades hidrográficas. Estos sistemas integran observatorios hidrometeorológicos, ambientales, de biodiversidad y de calidad del agua para informar la toma de decisiones. Los datos deben desagregarse por género, edad y etnia para garantizar un seguimiento inclusivo.</w:t>
            </w:r>
          </w:p>
        </w:tc>
        <w:tc>
          <w:tcPr>
            <w:tcW w:w="686" w:type="pct"/>
          </w:tcPr>
          <w:p w14:paraId="0608C906" w14:textId="6D99C8C7" w:rsidR="000B1A69" w:rsidRPr="00D830D9" w:rsidRDefault="000B1A69" w:rsidP="000B1A69">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Examen parcial y fin del proyecto</w:t>
            </w:r>
          </w:p>
        </w:tc>
        <w:tc>
          <w:tcPr>
            <w:tcW w:w="571" w:type="pct"/>
          </w:tcPr>
          <w:p w14:paraId="1A149478" w14:textId="4B05C42A" w:rsidR="000B1A69" w:rsidRPr="00D830D9" w:rsidRDefault="000B1A69" w:rsidP="000B1A69">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Equipo de implementación del proyecto en colaboración con INAMHI, ARCA,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xml:space="preserve"> y equipos técnicos locales</w:t>
            </w:r>
          </w:p>
        </w:tc>
        <w:tc>
          <w:tcPr>
            <w:tcW w:w="783" w:type="pct"/>
          </w:tcPr>
          <w:p w14:paraId="36432BA5" w14:textId="310940C0" w:rsidR="000B1A69" w:rsidRPr="00D830D9" w:rsidRDefault="000B1A69" w:rsidP="000B1A69">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revisión de informes institucionales y bases de datos (INAMHI, ARCA, </w:t>
            </w:r>
            <w:r w:rsidR="009E221F">
              <w:rPr>
                <w:rFonts w:asciiTheme="minorHAnsi" w:hAnsiTheme="minorHAnsi" w:cstheme="minorHAnsi"/>
                <w:color w:val="000000"/>
                <w:sz w:val="18"/>
                <w:szCs w:val="18"/>
              </w:rPr>
              <w:t>MAE</w:t>
            </w:r>
            <w:r w:rsidRPr="00A51E75">
              <w:rPr>
                <w:rFonts w:asciiTheme="minorHAnsi" w:hAnsiTheme="minorHAnsi" w:cstheme="minorHAnsi"/>
                <w:color w:val="000000"/>
                <w:sz w:val="18"/>
                <w:szCs w:val="18"/>
              </w:rPr>
              <w:t>); verificación de plataformas digitales operativas; entrevistas con técnicos y partes interesadas; registros de asistencia a los entrenamientos; Visitas de campo e informes de progreso.</w:t>
            </w:r>
          </w:p>
        </w:tc>
      </w:tr>
      <w:bookmarkEnd w:id="48"/>
      <w:tr w:rsidR="00FD2D13" w:rsidRPr="007D4F41" w14:paraId="70AD8E88" w14:textId="77777777" w:rsidTr="1D9DC7A6">
        <w:trPr>
          <w:trHeight w:val="20"/>
        </w:trPr>
        <w:tc>
          <w:tcPr>
            <w:tcW w:w="531" w:type="pct"/>
            <w:vMerge/>
          </w:tcPr>
          <w:p w14:paraId="52D6EC0D" w14:textId="77777777" w:rsidR="00FD2D13" w:rsidRPr="00D830D9" w:rsidRDefault="00FD2D13" w:rsidP="00FD2D13">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410" w:type="pct"/>
            <w:vMerge/>
          </w:tcPr>
          <w:p w14:paraId="1A2A8CE9" w14:textId="77777777" w:rsidR="00FD2D13" w:rsidRPr="00D830D9" w:rsidRDefault="00FD2D13" w:rsidP="00FD2D13">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6D6C867B" w14:textId="22DA3DB7" w:rsidR="00FD2D13" w:rsidRPr="00D830D9" w:rsidRDefault="00FD2D13" w:rsidP="00FD2D13">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 xml:space="preserve">Indicador 18: Número de productos de comunicación y gestión del conocimiento desarrollados y adaptados a públicos clave, y dirigidos a la </w:t>
            </w:r>
            <w:r w:rsidR="000A54C4">
              <w:rPr>
                <w:rFonts w:asciiTheme="minorHAnsi" w:hAnsiTheme="minorHAnsi" w:cstheme="minorHAnsi"/>
                <w:color w:val="000000"/>
                <w:sz w:val="18"/>
                <w:szCs w:val="18"/>
              </w:rPr>
              <w:t>Manejo Sostenible de la Tierra</w:t>
            </w:r>
            <w:r w:rsidRPr="00A51E75">
              <w:rPr>
                <w:rFonts w:asciiTheme="minorHAnsi" w:hAnsiTheme="minorHAnsi" w:cstheme="minorHAnsi"/>
                <w:color w:val="000000"/>
                <w:sz w:val="18"/>
                <w:szCs w:val="18"/>
              </w:rPr>
              <w:t xml:space="preserve"> y la equidad de género</w:t>
            </w:r>
          </w:p>
        </w:tc>
        <w:tc>
          <w:tcPr>
            <w:tcW w:w="600" w:type="pct"/>
          </w:tcPr>
          <w:p w14:paraId="5CD7EC55" w14:textId="77777777" w:rsidR="00FD2D13" w:rsidRPr="00D830D9" w:rsidRDefault="00FD2D13" w:rsidP="00FD2D13">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A medio plazo: Al menos 5 productos (por ejemplo, 2 vídeos, 1 manual, 1 infografía, 1 boletín técnico)</w:t>
            </w:r>
            <w:r w:rsidRPr="00A51E75">
              <w:rPr>
                <w:rFonts w:asciiTheme="minorHAnsi" w:hAnsiTheme="minorHAnsi" w:cstheme="minorHAnsi"/>
                <w:color w:val="000000"/>
                <w:sz w:val="18"/>
                <w:szCs w:val="18"/>
              </w:rPr>
              <w:br/>
            </w:r>
          </w:p>
          <w:p w14:paraId="323E5B13" w14:textId="20D0AC31" w:rsidR="00FD2D13" w:rsidRPr="00D830D9" w:rsidRDefault="00FD2D13" w:rsidP="00FD2D13">
            <w:pPr>
              <w:contextualSpacing/>
              <w:rPr>
                <w:rFonts w:asciiTheme="minorHAnsi" w:hAnsiTheme="minorHAnsi" w:cstheme="minorHAnsi"/>
                <w:sz w:val="18"/>
                <w:szCs w:val="18"/>
                <w:lang w:val="es-EC"/>
              </w:rPr>
            </w:pPr>
            <w:r w:rsidRPr="00A51E75">
              <w:rPr>
                <w:rFonts w:asciiTheme="minorHAnsi" w:hAnsiTheme="minorHAnsi" w:cstheme="minorHAnsi"/>
                <w:color w:val="000000"/>
                <w:sz w:val="18"/>
                <w:szCs w:val="18"/>
              </w:rPr>
              <w:t xml:space="preserve">Fin del proyecto: Al menos 12 productos (por ejemplo, al menos 3 vídeos, 3 manuales/guías, 3 </w:t>
            </w:r>
            <w:r w:rsidRPr="00A51E75">
              <w:rPr>
                <w:rFonts w:asciiTheme="minorHAnsi" w:hAnsiTheme="minorHAnsi" w:cstheme="minorHAnsi"/>
                <w:color w:val="000000"/>
                <w:sz w:val="18"/>
                <w:szCs w:val="18"/>
              </w:rPr>
              <w:lastRenderedPageBreak/>
              <w:t>infografías o materiales visuales, 3 documentos de sistematización o historias de éxito)</w:t>
            </w:r>
          </w:p>
        </w:tc>
        <w:tc>
          <w:tcPr>
            <w:tcW w:w="692" w:type="pct"/>
          </w:tcPr>
          <w:p w14:paraId="2FF43725" w14:textId="709304B4" w:rsidR="00FD2D13" w:rsidRPr="00D830D9" w:rsidRDefault="00FD2D13" w:rsidP="00FD2D13">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lastRenderedPageBreak/>
              <w:t xml:space="preserve">Este indicador sigue el desarrollo de productos de comunicación y gestión del conocimiento diseñados específicamente para públicos clave. Estos productos tienen como objetivo promover una </w:t>
            </w:r>
            <w:r w:rsidR="000A54C4">
              <w:rPr>
                <w:rFonts w:asciiTheme="minorHAnsi" w:hAnsiTheme="minorHAnsi" w:cstheme="minorHAnsi"/>
                <w:color w:val="000000"/>
                <w:sz w:val="18"/>
                <w:szCs w:val="18"/>
              </w:rPr>
              <w:t>Manejo Sostenible de la Tierra</w:t>
            </w:r>
            <w:r w:rsidRPr="00A51E75">
              <w:rPr>
                <w:rFonts w:asciiTheme="minorHAnsi" w:hAnsiTheme="minorHAnsi" w:cstheme="minorHAnsi"/>
                <w:color w:val="000000"/>
                <w:sz w:val="18"/>
                <w:szCs w:val="18"/>
              </w:rPr>
              <w:t xml:space="preserve"> y la </w:t>
            </w:r>
            <w:r w:rsidRPr="00A51E75">
              <w:rPr>
                <w:rFonts w:asciiTheme="minorHAnsi" w:hAnsiTheme="minorHAnsi" w:cstheme="minorHAnsi"/>
                <w:color w:val="000000"/>
                <w:sz w:val="18"/>
                <w:szCs w:val="18"/>
              </w:rPr>
              <w:lastRenderedPageBreak/>
              <w:t>equidad de género, asegurando que el 40% de los beneficiarios sean mujeres.</w:t>
            </w:r>
          </w:p>
        </w:tc>
        <w:tc>
          <w:tcPr>
            <w:tcW w:w="686" w:type="pct"/>
          </w:tcPr>
          <w:p w14:paraId="46F44B27" w14:textId="13B48ADF" w:rsidR="00FD2D13" w:rsidRPr="00D830D9" w:rsidRDefault="00FD2D13" w:rsidP="00FD2D13">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lastRenderedPageBreak/>
              <w:t>Mitad de plazo y final del proyecto</w:t>
            </w:r>
          </w:p>
        </w:tc>
        <w:tc>
          <w:tcPr>
            <w:tcW w:w="571" w:type="pct"/>
          </w:tcPr>
          <w:p w14:paraId="24F3E04D" w14:textId="1040425D" w:rsidR="00FD2D13" w:rsidRPr="00D830D9" w:rsidRDefault="00FD2D13" w:rsidP="00FD2D13">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Equipo de implementación del proyecto y especialistas en comunicación</w:t>
            </w:r>
          </w:p>
        </w:tc>
        <w:tc>
          <w:tcPr>
            <w:tcW w:w="783" w:type="pct"/>
          </w:tcPr>
          <w:p w14:paraId="1BD5B5D6" w14:textId="0C3EB55B" w:rsidR="00FD2D13" w:rsidRPr="00D830D9" w:rsidRDefault="00FD2D13" w:rsidP="00FD2D13">
            <w:pPr>
              <w:contextualSpacing/>
              <w:rPr>
                <w:rFonts w:asciiTheme="minorHAnsi" w:hAnsiTheme="minorHAnsi" w:cstheme="minorHAnsi"/>
                <w:i/>
                <w:sz w:val="18"/>
                <w:szCs w:val="18"/>
                <w:lang w:val="es-EC"/>
              </w:rPr>
            </w:pPr>
            <w:r w:rsidRPr="00A51E75">
              <w:rPr>
                <w:rFonts w:asciiTheme="minorHAnsi" w:hAnsiTheme="minorHAnsi" w:cstheme="minorHAnsi"/>
                <w:color w:val="000000"/>
                <w:sz w:val="18"/>
                <w:szCs w:val="18"/>
              </w:rPr>
              <w:t>Seguimiento de actividades y productos entregados; análisis del uso de plataformas; encuestas de percepción; entrevistas con los principales interesados; Sistematización de experiencias y lecciones aprendidas</w:t>
            </w:r>
          </w:p>
        </w:tc>
      </w:tr>
      <w:tr w:rsidR="003617A0" w:rsidRPr="007D4F41" w14:paraId="3A6D41FD" w14:textId="77777777" w:rsidTr="1D9DC7A6">
        <w:trPr>
          <w:trHeight w:val="20"/>
        </w:trPr>
        <w:tc>
          <w:tcPr>
            <w:tcW w:w="531" w:type="pct"/>
          </w:tcPr>
          <w:p w14:paraId="62F503CA" w14:textId="77777777" w:rsidR="003617A0" w:rsidRPr="00D830D9" w:rsidRDefault="003617A0" w:rsidP="003617A0">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410" w:type="pct"/>
          </w:tcPr>
          <w:p w14:paraId="6C9F3732" w14:textId="2AEEFE5E" w:rsidR="003617A0" w:rsidRPr="00A51E75" w:rsidRDefault="003617A0" w:rsidP="003617A0">
            <w:pPr>
              <w:widowControl w:val="0"/>
              <w:pBdr>
                <w:top w:val="nil"/>
                <w:left w:val="nil"/>
                <w:bottom w:val="nil"/>
                <w:right w:val="nil"/>
                <w:between w:val="nil"/>
              </w:pBdr>
              <w:spacing w:line="276" w:lineRule="auto"/>
              <w:rPr>
                <w:rFonts w:asciiTheme="minorHAnsi" w:hAnsiTheme="minorHAnsi" w:cstheme="minorHAnsi"/>
                <w:i/>
                <w:sz w:val="18"/>
                <w:szCs w:val="18"/>
              </w:rPr>
            </w:pPr>
            <w:r w:rsidRPr="00A51E75">
              <w:rPr>
                <w:rFonts w:asciiTheme="minorHAnsi" w:hAnsiTheme="minorHAnsi" w:cstheme="minorHAnsi"/>
                <w:b/>
                <w:sz w:val="18"/>
                <w:szCs w:val="18"/>
              </w:rPr>
              <w:t>Resultado del proyecto 5.1.</w:t>
            </w:r>
          </w:p>
        </w:tc>
        <w:tc>
          <w:tcPr>
            <w:tcW w:w="727" w:type="pct"/>
          </w:tcPr>
          <w:p w14:paraId="331558B3" w14:textId="3A0B102F" w:rsidR="003617A0" w:rsidRPr="00D830D9" w:rsidRDefault="003617A0" w:rsidP="003617A0">
            <w:pPr>
              <w:contextualSpacing/>
              <w:rPr>
                <w:rFonts w:asciiTheme="minorHAnsi" w:hAnsiTheme="minorHAnsi" w:cstheme="minorHAnsi"/>
                <w:b/>
                <w:bCs/>
                <w:color w:val="000000"/>
                <w:sz w:val="18"/>
                <w:szCs w:val="18"/>
                <w:lang w:val="es-EC"/>
              </w:rPr>
            </w:pPr>
            <w:r w:rsidRPr="00A51E75">
              <w:rPr>
                <w:rFonts w:asciiTheme="minorHAnsi" w:hAnsiTheme="minorHAnsi" w:cstheme="minorHAnsi"/>
                <w:color w:val="000000"/>
                <w:sz w:val="18"/>
                <w:szCs w:val="18"/>
              </w:rPr>
              <w:t xml:space="preserve">Indicador 19: Porcentaje acumulado del gasto del proyecto ejecutado en alineación con las actividades previstas en el Plan </w:t>
            </w:r>
            <w:r w:rsidR="00E168DD">
              <w:rPr>
                <w:rFonts w:asciiTheme="minorHAnsi" w:hAnsiTheme="minorHAnsi" w:cstheme="minorHAnsi"/>
                <w:color w:val="000000"/>
                <w:sz w:val="18"/>
                <w:szCs w:val="18"/>
              </w:rPr>
              <w:t xml:space="preserve">Anual </w:t>
            </w:r>
            <w:r w:rsidRPr="00A51E75">
              <w:rPr>
                <w:rFonts w:asciiTheme="minorHAnsi" w:hAnsiTheme="minorHAnsi" w:cstheme="minorHAnsi"/>
                <w:color w:val="000000"/>
                <w:sz w:val="18"/>
                <w:szCs w:val="18"/>
              </w:rPr>
              <w:t>de Trabajo (</w:t>
            </w:r>
            <w:r w:rsidR="00E168DD">
              <w:rPr>
                <w:rFonts w:asciiTheme="minorHAnsi" w:hAnsiTheme="minorHAnsi" w:cstheme="minorHAnsi"/>
                <w:color w:val="000000"/>
                <w:sz w:val="18"/>
                <w:szCs w:val="18"/>
              </w:rPr>
              <w:t>PAT</w:t>
            </w:r>
            <w:r w:rsidRPr="00A51E75">
              <w:rPr>
                <w:rFonts w:asciiTheme="minorHAnsi" w:hAnsiTheme="minorHAnsi" w:cstheme="minorHAnsi"/>
                <w:color w:val="000000"/>
                <w:sz w:val="18"/>
                <w:szCs w:val="18"/>
              </w:rPr>
              <w:t>).</w:t>
            </w:r>
          </w:p>
        </w:tc>
        <w:tc>
          <w:tcPr>
            <w:tcW w:w="600" w:type="pct"/>
          </w:tcPr>
          <w:p w14:paraId="68DC3FDC" w14:textId="16D39295" w:rsidR="003617A0" w:rsidRPr="00D830D9" w:rsidRDefault="032C2D80" w:rsidP="003617A0">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themeColor="text1"/>
                <w:sz w:val="18"/>
                <w:szCs w:val="18"/>
              </w:rPr>
              <w:t>A mitad de plazo: Al menos un 50%</w:t>
            </w:r>
            <w:r w:rsidR="003617A0" w:rsidRPr="00A51E75">
              <w:rPr>
                <w:rFonts w:asciiTheme="minorHAnsi" w:hAnsiTheme="minorHAnsi" w:cstheme="minorHAnsi"/>
                <w:sz w:val="18"/>
                <w:szCs w:val="18"/>
              </w:rPr>
              <w:br/>
            </w:r>
          </w:p>
          <w:p w14:paraId="54F89548" w14:textId="475B03DB" w:rsidR="003617A0" w:rsidRPr="00D830D9" w:rsidRDefault="032C2D80" w:rsidP="05DB854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themeColor="text1"/>
                <w:sz w:val="18"/>
                <w:szCs w:val="18"/>
              </w:rPr>
              <w:t>Fin del proyecto: Al menos al 100%</w:t>
            </w:r>
          </w:p>
        </w:tc>
        <w:tc>
          <w:tcPr>
            <w:tcW w:w="692" w:type="pct"/>
          </w:tcPr>
          <w:p w14:paraId="5F83C538" w14:textId="7B37B783" w:rsidR="003617A0" w:rsidRPr="00D830D9" w:rsidRDefault="003617A0" w:rsidP="003617A0">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Este indicador mide el porcentaje acumulado del presupuesto del proyecto ejecutado de acuerdo con el </w:t>
            </w:r>
            <w:r w:rsidR="00E168DD">
              <w:rPr>
                <w:rFonts w:asciiTheme="minorHAnsi" w:hAnsiTheme="minorHAnsi" w:cstheme="minorHAnsi"/>
                <w:color w:val="000000"/>
                <w:sz w:val="18"/>
                <w:szCs w:val="18"/>
              </w:rPr>
              <w:t>PAT</w:t>
            </w:r>
            <w:r w:rsidRPr="00A51E75">
              <w:rPr>
                <w:rFonts w:asciiTheme="minorHAnsi" w:hAnsiTheme="minorHAnsi" w:cstheme="minorHAnsi"/>
                <w:color w:val="000000"/>
                <w:sz w:val="18"/>
                <w:szCs w:val="18"/>
              </w:rPr>
              <w:t>. El objetivo es asegurar que la implementación financiera esté alineada con las actividades y entregables planificados para mantener la coherencia programática.</w:t>
            </w:r>
          </w:p>
        </w:tc>
        <w:tc>
          <w:tcPr>
            <w:tcW w:w="686" w:type="pct"/>
          </w:tcPr>
          <w:p w14:paraId="5D31DBEB" w14:textId="4E837954" w:rsidR="003617A0" w:rsidRPr="00D830D9" w:rsidRDefault="003617A0" w:rsidP="003617A0">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Anualmente, a mitad de plazo y al final del proyecto</w:t>
            </w:r>
          </w:p>
        </w:tc>
        <w:tc>
          <w:tcPr>
            <w:tcW w:w="571" w:type="pct"/>
          </w:tcPr>
          <w:p w14:paraId="5CCEB9C2" w14:textId="2E5F2D9B" w:rsidR="003617A0" w:rsidRPr="00D830D9" w:rsidRDefault="003617A0" w:rsidP="003617A0">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Unidad de Gestión de Proyectos (</w:t>
            </w:r>
            <w:r w:rsidR="00547037">
              <w:rPr>
                <w:rFonts w:asciiTheme="minorHAnsi" w:hAnsiTheme="minorHAnsi" w:cstheme="minorHAnsi"/>
                <w:color w:val="000000"/>
                <w:sz w:val="18"/>
                <w:szCs w:val="18"/>
              </w:rPr>
              <w:t>UGP</w:t>
            </w:r>
            <w:r w:rsidRPr="00A51E75">
              <w:rPr>
                <w:rFonts w:asciiTheme="minorHAnsi" w:hAnsiTheme="minorHAnsi" w:cstheme="minorHAnsi"/>
                <w:color w:val="000000"/>
                <w:sz w:val="18"/>
                <w:szCs w:val="18"/>
              </w:rPr>
              <w:t>), auditores de proyectos</w:t>
            </w:r>
          </w:p>
        </w:tc>
        <w:tc>
          <w:tcPr>
            <w:tcW w:w="783" w:type="pct"/>
          </w:tcPr>
          <w:p w14:paraId="01B93D31" w14:textId="44A1C388" w:rsidR="003617A0" w:rsidRPr="00D830D9" w:rsidRDefault="003617A0" w:rsidP="003617A0">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Informes financieros auditados, informes de ejecución presupuestaria, calendario aprobado de </w:t>
            </w:r>
            <w:r w:rsidR="00E168DD">
              <w:rPr>
                <w:rFonts w:asciiTheme="minorHAnsi" w:hAnsiTheme="minorHAnsi" w:cstheme="minorHAnsi"/>
                <w:color w:val="000000"/>
                <w:sz w:val="18"/>
                <w:szCs w:val="18"/>
              </w:rPr>
              <w:t>PAT</w:t>
            </w:r>
            <w:r w:rsidRPr="00A51E75">
              <w:rPr>
                <w:rFonts w:asciiTheme="minorHAnsi" w:hAnsiTheme="minorHAnsi" w:cstheme="minorHAnsi"/>
                <w:color w:val="000000"/>
                <w:sz w:val="18"/>
                <w:szCs w:val="18"/>
              </w:rPr>
              <w:t xml:space="preserve">, matriz de seguimiento de productos y entregables, entrevistas con </w:t>
            </w:r>
            <w:r w:rsidR="00547037">
              <w:rPr>
                <w:rFonts w:asciiTheme="minorHAnsi" w:hAnsiTheme="minorHAnsi" w:cstheme="minorHAnsi"/>
                <w:color w:val="000000"/>
                <w:sz w:val="18"/>
                <w:szCs w:val="18"/>
              </w:rPr>
              <w:t>UGP</w:t>
            </w:r>
            <w:r w:rsidRPr="00A51E75">
              <w:rPr>
                <w:rFonts w:asciiTheme="minorHAnsi" w:hAnsiTheme="minorHAnsi" w:cstheme="minorHAnsi"/>
                <w:color w:val="000000"/>
                <w:sz w:val="18"/>
                <w:szCs w:val="18"/>
              </w:rPr>
              <w:t xml:space="preserve"> y auditores.</w:t>
            </w:r>
          </w:p>
        </w:tc>
      </w:tr>
      <w:tr w:rsidR="007155E9" w:rsidRPr="007D4F41" w14:paraId="534A2444" w14:textId="77777777" w:rsidTr="1D9DC7A6">
        <w:trPr>
          <w:trHeight w:val="20"/>
        </w:trPr>
        <w:tc>
          <w:tcPr>
            <w:tcW w:w="531" w:type="pct"/>
          </w:tcPr>
          <w:p w14:paraId="5C9C5D56" w14:textId="77777777" w:rsidR="007155E9" w:rsidRPr="00D830D9" w:rsidRDefault="007155E9" w:rsidP="007155E9">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410" w:type="pct"/>
          </w:tcPr>
          <w:p w14:paraId="75B58DA5" w14:textId="77777777" w:rsidR="007155E9" w:rsidRPr="00D830D9" w:rsidRDefault="007155E9" w:rsidP="007155E9">
            <w:pPr>
              <w:widowControl w:val="0"/>
              <w:pBdr>
                <w:top w:val="nil"/>
                <w:left w:val="nil"/>
                <w:bottom w:val="nil"/>
                <w:right w:val="nil"/>
                <w:between w:val="nil"/>
              </w:pBdr>
              <w:spacing w:line="276" w:lineRule="auto"/>
              <w:rPr>
                <w:rFonts w:asciiTheme="minorHAnsi" w:hAnsiTheme="minorHAnsi" w:cstheme="minorHAnsi"/>
                <w:i/>
                <w:sz w:val="18"/>
                <w:szCs w:val="18"/>
                <w:lang w:val="es-EC"/>
              </w:rPr>
            </w:pPr>
          </w:p>
        </w:tc>
        <w:tc>
          <w:tcPr>
            <w:tcW w:w="727" w:type="pct"/>
          </w:tcPr>
          <w:p w14:paraId="5107F83D" w14:textId="49722B25" w:rsidR="007155E9" w:rsidRPr="00D830D9" w:rsidRDefault="007155E9" w:rsidP="007155E9">
            <w:pPr>
              <w:contextualSpacing/>
              <w:rPr>
                <w:rFonts w:asciiTheme="minorHAnsi" w:hAnsiTheme="minorHAnsi" w:cstheme="minorHAnsi"/>
                <w:b/>
                <w:bCs/>
                <w:color w:val="000000"/>
                <w:sz w:val="18"/>
                <w:szCs w:val="18"/>
                <w:lang w:val="es-EC"/>
              </w:rPr>
            </w:pPr>
            <w:r w:rsidRPr="00A51E75">
              <w:rPr>
                <w:rFonts w:asciiTheme="minorHAnsi" w:hAnsiTheme="minorHAnsi" w:cstheme="minorHAnsi"/>
                <w:color w:val="000000"/>
                <w:sz w:val="18"/>
                <w:szCs w:val="18"/>
              </w:rPr>
              <w:t xml:space="preserve">Indicador 20: Finalización de los </w:t>
            </w:r>
            <w:r w:rsidR="00E168DD" w:rsidRPr="00A51E75">
              <w:rPr>
                <w:rFonts w:asciiTheme="minorHAnsi" w:hAnsiTheme="minorHAnsi" w:cstheme="minorHAnsi"/>
                <w:color w:val="000000"/>
                <w:sz w:val="18"/>
                <w:szCs w:val="18"/>
              </w:rPr>
              <w:t>entregables claves</w:t>
            </w:r>
            <w:r w:rsidRPr="00A51E75">
              <w:rPr>
                <w:rFonts w:asciiTheme="minorHAnsi" w:hAnsiTheme="minorHAnsi" w:cstheme="minorHAnsi"/>
                <w:color w:val="000000"/>
                <w:sz w:val="18"/>
                <w:szCs w:val="18"/>
              </w:rPr>
              <w:t xml:space="preserve"> de monitoreo y evaluación según las directrices del </w:t>
            </w:r>
            <w:r w:rsidR="0078696E">
              <w:rPr>
                <w:rFonts w:asciiTheme="minorHAnsi" w:hAnsiTheme="minorHAnsi" w:cstheme="minorHAnsi"/>
                <w:color w:val="000000"/>
                <w:sz w:val="18"/>
                <w:szCs w:val="18"/>
              </w:rPr>
              <w:t>FMAM</w:t>
            </w:r>
            <w:r w:rsidRPr="00A51E75">
              <w:rPr>
                <w:rFonts w:asciiTheme="minorHAnsi" w:hAnsiTheme="minorHAnsi" w:cstheme="minorHAnsi"/>
                <w:color w:val="000000"/>
                <w:sz w:val="18"/>
                <w:szCs w:val="18"/>
              </w:rPr>
              <w:t xml:space="preserve"> y el PNUD.</w:t>
            </w:r>
          </w:p>
        </w:tc>
        <w:tc>
          <w:tcPr>
            <w:tcW w:w="600" w:type="pct"/>
          </w:tcPr>
          <w:p w14:paraId="145BDCA1" w14:textId="77777777" w:rsidR="007155E9" w:rsidRPr="00D830D9" w:rsidRDefault="007155E9" w:rsidP="007155E9">
            <w:pPr>
              <w:contextualSpacing/>
              <w:rPr>
                <w:rFonts w:asciiTheme="minorHAnsi" w:hAnsiTheme="minorHAnsi" w:cstheme="minorHAnsi"/>
                <w:color w:val="000000"/>
                <w:sz w:val="18"/>
                <w:szCs w:val="18"/>
                <w:lang w:val="es-EC"/>
              </w:rPr>
            </w:pPr>
            <w:r w:rsidRPr="00A51E75">
              <w:rPr>
                <w:rFonts w:asciiTheme="minorHAnsi" w:hAnsiTheme="minorHAnsi" w:cstheme="minorHAnsi"/>
                <w:b/>
                <w:bCs/>
                <w:color w:val="000000"/>
                <w:sz w:val="18"/>
                <w:szCs w:val="18"/>
              </w:rPr>
              <w:t>Objetivo a medio plazo:</w:t>
            </w:r>
            <w:r w:rsidRPr="00A51E75">
              <w:rPr>
                <w:rFonts w:asciiTheme="minorHAnsi" w:hAnsiTheme="minorHAnsi" w:cstheme="minorHAnsi"/>
                <w:color w:val="000000"/>
                <w:sz w:val="18"/>
                <w:szCs w:val="18"/>
              </w:rPr>
              <w:t xml:space="preserve"> </w:t>
            </w:r>
            <w:proofErr w:type="spellStart"/>
            <w:r w:rsidRPr="00A51E75">
              <w:rPr>
                <w:rFonts w:asciiTheme="minorHAnsi" w:hAnsiTheme="minorHAnsi" w:cstheme="minorHAnsi"/>
                <w:color w:val="000000"/>
                <w:sz w:val="18"/>
                <w:szCs w:val="18"/>
              </w:rPr>
              <w:t>PIRs</w:t>
            </w:r>
            <w:proofErr w:type="spellEnd"/>
            <w:r w:rsidRPr="00A51E75">
              <w:rPr>
                <w:rFonts w:asciiTheme="minorHAnsi" w:hAnsiTheme="minorHAnsi" w:cstheme="minorHAnsi"/>
                <w:color w:val="000000"/>
                <w:sz w:val="18"/>
                <w:szCs w:val="18"/>
              </w:rPr>
              <w:t xml:space="preserve"> presentados anualmente; Revisión parcial completada. </w:t>
            </w:r>
          </w:p>
          <w:p w14:paraId="10912FE4" w14:textId="77777777" w:rsidR="007155E9" w:rsidRPr="00D830D9" w:rsidRDefault="007155E9" w:rsidP="007155E9">
            <w:pPr>
              <w:contextualSpacing/>
              <w:rPr>
                <w:rFonts w:asciiTheme="minorHAnsi" w:hAnsiTheme="minorHAnsi" w:cstheme="minorHAnsi"/>
                <w:b/>
                <w:bCs/>
                <w:color w:val="000000"/>
                <w:sz w:val="18"/>
                <w:szCs w:val="18"/>
                <w:lang w:val="es-EC"/>
              </w:rPr>
            </w:pPr>
          </w:p>
          <w:p w14:paraId="39CB1B65" w14:textId="119AD75E" w:rsidR="007155E9" w:rsidRPr="00D830D9" w:rsidRDefault="007155E9" w:rsidP="007155E9">
            <w:pPr>
              <w:contextualSpacing/>
              <w:rPr>
                <w:rFonts w:asciiTheme="minorHAnsi" w:hAnsiTheme="minorHAnsi" w:cstheme="minorHAnsi"/>
                <w:b/>
                <w:bCs/>
                <w:color w:val="000000"/>
                <w:sz w:val="18"/>
                <w:szCs w:val="18"/>
                <w:lang w:val="es-EC"/>
              </w:rPr>
            </w:pPr>
            <w:r w:rsidRPr="00A51E75">
              <w:rPr>
                <w:rFonts w:asciiTheme="minorHAnsi" w:hAnsiTheme="minorHAnsi" w:cstheme="minorHAnsi"/>
                <w:b/>
                <w:bCs/>
                <w:color w:val="000000"/>
                <w:sz w:val="18"/>
                <w:szCs w:val="18"/>
              </w:rPr>
              <w:t xml:space="preserve">Objetivo final del proyecto: </w:t>
            </w:r>
            <w:proofErr w:type="spellStart"/>
            <w:r w:rsidRPr="00A51E75">
              <w:rPr>
                <w:rFonts w:asciiTheme="minorHAnsi" w:hAnsiTheme="minorHAnsi" w:cstheme="minorHAnsi"/>
                <w:color w:val="000000"/>
                <w:sz w:val="18"/>
                <w:szCs w:val="18"/>
              </w:rPr>
              <w:t>PIRs</w:t>
            </w:r>
            <w:proofErr w:type="spellEnd"/>
            <w:r w:rsidRPr="00A51E75">
              <w:rPr>
                <w:rFonts w:asciiTheme="minorHAnsi" w:hAnsiTheme="minorHAnsi" w:cstheme="minorHAnsi"/>
                <w:color w:val="000000"/>
                <w:sz w:val="18"/>
                <w:szCs w:val="18"/>
              </w:rPr>
              <w:t xml:space="preserve"> presentados anualmente; Evaluación </w:t>
            </w:r>
            <w:r w:rsidRPr="00A51E75">
              <w:rPr>
                <w:rFonts w:asciiTheme="minorHAnsi" w:hAnsiTheme="minorHAnsi" w:cstheme="minorHAnsi"/>
                <w:color w:val="000000"/>
                <w:sz w:val="18"/>
                <w:szCs w:val="18"/>
              </w:rPr>
              <w:lastRenderedPageBreak/>
              <w:t>terminal completada.</w:t>
            </w:r>
          </w:p>
        </w:tc>
        <w:tc>
          <w:tcPr>
            <w:tcW w:w="692" w:type="pct"/>
          </w:tcPr>
          <w:p w14:paraId="3FE6C65C" w14:textId="3401DD05" w:rsidR="007155E9" w:rsidRPr="00D830D9" w:rsidRDefault="007155E9" w:rsidP="007155E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lastRenderedPageBreak/>
              <w:t xml:space="preserve">Este indicador realiza un seguimiento de la finalización de los principales resultados de M&amp;E requeridos por </w:t>
            </w:r>
            <w:r w:rsidR="0078696E">
              <w:rPr>
                <w:rFonts w:asciiTheme="minorHAnsi" w:hAnsiTheme="minorHAnsi" w:cstheme="minorHAnsi"/>
                <w:color w:val="000000"/>
                <w:sz w:val="18"/>
                <w:szCs w:val="18"/>
              </w:rPr>
              <w:t>FMAM</w:t>
            </w:r>
            <w:r w:rsidRPr="00A51E75">
              <w:rPr>
                <w:rFonts w:asciiTheme="minorHAnsi" w:hAnsiTheme="minorHAnsi" w:cstheme="minorHAnsi"/>
                <w:color w:val="000000"/>
                <w:sz w:val="18"/>
                <w:szCs w:val="18"/>
              </w:rPr>
              <w:t xml:space="preserve"> y PNUD, incluyendo la presentación oportuna de los Informes de Implementación de </w:t>
            </w:r>
            <w:r w:rsidRPr="00A51E75">
              <w:rPr>
                <w:rFonts w:asciiTheme="minorHAnsi" w:hAnsiTheme="minorHAnsi" w:cstheme="minorHAnsi"/>
                <w:color w:val="000000"/>
                <w:sz w:val="18"/>
                <w:szCs w:val="18"/>
              </w:rPr>
              <w:lastRenderedPageBreak/>
              <w:t>Proyectos (</w:t>
            </w:r>
            <w:proofErr w:type="spellStart"/>
            <w:r w:rsidRPr="00A51E75">
              <w:rPr>
                <w:rFonts w:asciiTheme="minorHAnsi" w:hAnsiTheme="minorHAnsi" w:cstheme="minorHAnsi"/>
                <w:color w:val="000000"/>
                <w:sz w:val="18"/>
                <w:szCs w:val="18"/>
              </w:rPr>
              <w:t>PIRs</w:t>
            </w:r>
            <w:proofErr w:type="spellEnd"/>
            <w:r w:rsidRPr="00A51E75">
              <w:rPr>
                <w:rFonts w:asciiTheme="minorHAnsi" w:hAnsiTheme="minorHAnsi" w:cstheme="minorHAnsi"/>
                <w:color w:val="000000"/>
                <w:sz w:val="18"/>
                <w:szCs w:val="18"/>
              </w:rPr>
              <w:t>) y la ejecución de la Revisión a Medio Plazo (</w:t>
            </w:r>
            <w:r w:rsidR="003057B2">
              <w:rPr>
                <w:rFonts w:asciiTheme="minorHAnsi" w:hAnsiTheme="minorHAnsi" w:cstheme="minorHAnsi"/>
                <w:color w:val="000000"/>
                <w:sz w:val="18"/>
                <w:szCs w:val="18"/>
              </w:rPr>
              <w:t>RMT</w:t>
            </w:r>
            <w:r w:rsidRPr="00A51E75">
              <w:rPr>
                <w:rFonts w:asciiTheme="minorHAnsi" w:hAnsiTheme="minorHAnsi" w:cstheme="minorHAnsi"/>
                <w:color w:val="000000"/>
                <w:sz w:val="18"/>
                <w:szCs w:val="18"/>
              </w:rPr>
              <w:t xml:space="preserve">) y la Evaluación </w:t>
            </w:r>
            <w:r w:rsidR="003057B2">
              <w:rPr>
                <w:rFonts w:asciiTheme="minorHAnsi" w:hAnsiTheme="minorHAnsi" w:cstheme="minorHAnsi"/>
                <w:color w:val="000000"/>
                <w:sz w:val="18"/>
                <w:szCs w:val="18"/>
              </w:rPr>
              <w:t xml:space="preserve">Final </w:t>
            </w:r>
            <w:r w:rsidR="00E168DD">
              <w:rPr>
                <w:rFonts w:asciiTheme="minorHAnsi" w:hAnsiTheme="minorHAnsi" w:cstheme="minorHAnsi"/>
                <w:color w:val="000000"/>
                <w:sz w:val="18"/>
                <w:szCs w:val="18"/>
              </w:rPr>
              <w:t>Independiente</w:t>
            </w:r>
            <w:r w:rsidRPr="00A51E75">
              <w:rPr>
                <w:rFonts w:asciiTheme="minorHAnsi" w:hAnsiTheme="minorHAnsi" w:cstheme="minorHAnsi"/>
                <w:color w:val="000000"/>
                <w:sz w:val="18"/>
                <w:szCs w:val="18"/>
              </w:rPr>
              <w:t xml:space="preserve"> </w:t>
            </w:r>
            <w:r w:rsidR="003057B2">
              <w:rPr>
                <w:rFonts w:asciiTheme="minorHAnsi" w:hAnsiTheme="minorHAnsi" w:cstheme="minorHAnsi"/>
                <w:color w:val="000000"/>
                <w:sz w:val="18"/>
                <w:szCs w:val="18"/>
              </w:rPr>
              <w:t>(EFI)</w:t>
            </w:r>
            <w:r w:rsidRPr="00A51E75">
              <w:rPr>
                <w:rFonts w:asciiTheme="minorHAnsi" w:hAnsiTheme="minorHAnsi" w:cstheme="minorHAnsi"/>
                <w:color w:val="000000"/>
                <w:sz w:val="18"/>
                <w:szCs w:val="18"/>
              </w:rPr>
              <w:t>.</w:t>
            </w:r>
          </w:p>
        </w:tc>
        <w:tc>
          <w:tcPr>
            <w:tcW w:w="686" w:type="pct"/>
          </w:tcPr>
          <w:p w14:paraId="13549B01" w14:textId="7B45914F" w:rsidR="007155E9" w:rsidRPr="00D830D9" w:rsidRDefault="007155E9" w:rsidP="007155E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lastRenderedPageBreak/>
              <w:t>Anualmente, a medio plazo, fin del proyecto</w:t>
            </w:r>
          </w:p>
        </w:tc>
        <w:tc>
          <w:tcPr>
            <w:tcW w:w="571" w:type="pct"/>
          </w:tcPr>
          <w:p w14:paraId="2FCB3833" w14:textId="276DB4FE" w:rsidR="007155E9" w:rsidRPr="00D830D9" w:rsidRDefault="007155E9" w:rsidP="007155E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Unidad de Gestión de Proyectos (</w:t>
            </w:r>
            <w:r w:rsidR="00547037">
              <w:rPr>
                <w:rFonts w:asciiTheme="minorHAnsi" w:hAnsiTheme="minorHAnsi" w:cstheme="minorHAnsi"/>
                <w:color w:val="000000"/>
                <w:sz w:val="18"/>
                <w:szCs w:val="18"/>
              </w:rPr>
              <w:t>UGP</w:t>
            </w:r>
            <w:r w:rsidRPr="00A51E75">
              <w:rPr>
                <w:rFonts w:asciiTheme="minorHAnsi" w:hAnsiTheme="minorHAnsi" w:cstheme="minorHAnsi"/>
                <w:color w:val="000000"/>
                <w:sz w:val="18"/>
                <w:szCs w:val="18"/>
              </w:rPr>
              <w:t>) en coordinación con la Oficina de País del PNUD</w:t>
            </w:r>
          </w:p>
        </w:tc>
        <w:tc>
          <w:tcPr>
            <w:tcW w:w="783" w:type="pct"/>
          </w:tcPr>
          <w:p w14:paraId="2237D745" w14:textId="776B8940" w:rsidR="007155E9" w:rsidRPr="00D830D9" w:rsidRDefault="007155E9" w:rsidP="007155E9">
            <w:pPr>
              <w:contextualSpacing/>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Revisión de los registros de envío; análisis de líneas temporales de evaluación; verificación de la integridad y estado de aprobación de los informes.</w:t>
            </w:r>
          </w:p>
        </w:tc>
      </w:tr>
    </w:tbl>
    <w:p w14:paraId="5575107C" w14:textId="77777777" w:rsidR="00E96BCD" w:rsidRPr="00D830D9" w:rsidRDefault="00E96BCD" w:rsidP="008B6F84">
      <w:pPr>
        <w:jc w:val="both"/>
        <w:rPr>
          <w:rFonts w:asciiTheme="minorHAnsi" w:eastAsia="SimSun" w:hAnsiTheme="minorHAnsi" w:cstheme="minorHAnsi"/>
          <w:sz w:val="20"/>
          <w:lang w:val="es-EC"/>
        </w:rPr>
      </w:pPr>
    </w:p>
    <w:p w14:paraId="5244B718" w14:textId="29706AEC" w:rsidR="00B15419" w:rsidRPr="00A51E75" w:rsidRDefault="00B15419" w:rsidP="00E1284A">
      <w:pPr>
        <w:pStyle w:val="Descripcin"/>
        <w:keepNext/>
        <w:jc w:val="center"/>
        <w:rPr>
          <w:rFonts w:asciiTheme="minorHAnsi" w:hAnsiTheme="minorHAnsi" w:cstheme="minorHAnsi"/>
        </w:rPr>
      </w:pPr>
      <w:bookmarkStart w:id="49" w:name="_Toc201073151"/>
      <w:r w:rsidRPr="00A51E75">
        <w:rPr>
          <w:rFonts w:asciiTheme="minorHAnsi" w:hAnsiTheme="minorHAnsi" w:cstheme="minorHAnsi"/>
        </w:rPr>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6</w:t>
      </w:r>
      <w:r w:rsidRPr="00A51E75">
        <w:rPr>
          <w:rFonts w:asciiTheme="minorHAnsi" w:hAnsiTheme="minorHAnsi" w:cstheme="minorHAnsi"/>
        </w:rPr>
        <w:fldChar w:fldCharType="end"/>
      </w:r>
      <w:r w:rsidRPr="00A51E75">
        <w:rPr>
          <w:rFonts w:asciiTheme="minorHAnsi" w:hAnsiTheme="minorHAnsi" w:cstheme="minorHAnsi"/>
        </w:rPr>
        <w:t>: Monitorización de la actividad</w:t>
      </w:r>
      <w:bookmarkEnd w:id="49"/>
    </w:p>
    <w:tbl>
      <w:tblPr>
        <w:tblStyle w:val="Tablaconcuadrcula"/>
        <w:tblW w:w="0" w:type="auto"/>
        <w:tblLook w:val="04A0" w:firstRow="1" w:lastRow="0" w:firstColumn="1" w:lastColumn="0" w:noHBand="0" w:noVBand="1"/>
      </w:tblPr>
      <w:tblGrid>
        <w:gridCol w:w="2971"/>
        <w:gridCol w:w="2176"/>
        <w:gridCol w:w="5179"/>
        <w:gridCol w:w="2624"/>
      </w:tblGrid>
      <w:tr w:rsidR="00E1284A" w:rsidRPr="00A51E75" w14:paraId="41D5A651" w14:textId="77777777" w:rsidTr="00E1284A">
        <w:tc>
          <w:tcPr>
            <w:tcW w:w="0" w:type="auto"/>
            <w:shd w:val="clear" w:color="auto" w:fill="D9D9D9" w:themeFill="background1" w:themeFillShade="D9"/>
            <w:vAlign w:val="center"/>
          </w:tcPr>
          <w:p w14:paraId="004685CA" w14:textId="77777777" w:rsidR="00E1284A" w:rsidRPr="00A51E75" w:rsidRDefault="00E1284A" w:rsidP="00E1284A">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Actividad de monitorización </w:t>
            </w:r>
          </w:p>
        </w:tc>
        <w:tc>
          <w:tcPr>
            <w:tcW w:w="0" w:type="auto"/>
            <w:shd w:val="clear" w:color="auto" w:fill="D9D9D9" w:themeFill="background1" w:themeFillShade="D9"/>
            <w:vAlign w:val="center"/>
          </w:tcPr>
          <w:p w14:paraId="2C87509B" w14:textId="77777777" w:rsidR="00E1284A" w:rsidRPr="00A51E75" w:rsidRDefault="00E1284A" w:rsidP="00E1284A">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 Frecuencia / Marco temporal </w:t>
            </w:r>
          </w:p>
        </w:tc>
        <w:tc>
          <w:tcPr>
            <w:tcW w:w="0" w:type="auto"/>
            <w:shd w:val="clear" w:color="auto" w:fill="D9D9D9" w:themeFill="background1" w:themeFillShade="D9"/>
            <w:vAlign w:val="center"/>
          </w:tcPr>
          <w:p w14:paraId="5E2C02F4" w14:textId="77777777" w:rsidR="00E1284A" w:rsidRPr="00A51E75" w:rsidRDefault="00E1284A" w:rsidP="00E1284A">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 Acción esperada </w:t>
            </w:r>
          </w:p>
        </w:tc>
        <w:tc>
          <w:tcPr>
            <w:tcW w:w="0" w:type="auto"/>
            <w:shd w:val="clear" w:color="auto" w:fill="D9D9D9" w:themeFill="background1" w:themeFillShade="D9"/>
            <w:vAlign w:val="center"/>
          </w:tcPr>
          <w:p w14:paraId="597A3F27" w14:textId="6A6D5289" w:rsidR="00E1284A" w:rsidRPr="00A51E75" w:rsidRDefault="00E1284A" w:rsidP="00E1284A">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Socios (si procede)</w:t>
            </w:r>
          </w:p>
        </w:tc>
      </w:tr>
      <w:tr w:rsidR="00E1284A" w:rsidRPr="007D4F41" w14:paraId="47299F1D" w14:textId="77777777" w:rsidTr="00E1284A">
        <w:tc>
          <w:tcPr>
            <w:tcW w:w="0" w:type="auto"/>
            <w:vAlign w:val="center"/>
          </w:tcPr>
          <w:p w14:paraId="3C5A4186"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Taller </w:t>
            </w:r>
            <w:proofErr w:type="spellStart"/>
            <w:r w:rsidRPr="00A51E75">
              <w:rPr>
                <w:rFonts w:asciiTheme="minorHAnsi" w:eastAsia="SimSun" w:hAnsiTheme="minorHAnsi" w:cstheme="minorHAnsi"/>
                <w:sz w:val="18"/>
                <w:szCs w:val="18"/>
              </w:rPr>
              <w:t>y</w:t>
            </w:r>
            <w:proofErr w:type="spellEnd"/>
            <w:r w:rsidRPr="00A51E75">
              <w:rPr>
                <w:rFonts w:asciiTheme="minorHAnsi" w:eastAsia="SimSun" w:hAnsiTheme="minorHAnsi" w:cstheme="minorHAnsi"/>
                <w:sz w:val="18"/>
                <w:szCs w:val="18"/>
              </w:rPr>
              <w:t xml:space="preserve"> Informe de Inicio </w:t>
            </w:r>
          </w:p>
        </w:tc>
        <w:tc>
          <w:tcPr>
            <w:tcW w:w="0" w:type="auto"/>
            <w:vAlign w:val="center"/>
          </w:tcPr>
          <w:p w14:paraId="6D90922F" w14:textId="69C201DC"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En un plazo de 2 meses desde el primer desembolso </w:t>
            </w:r>
          </w:p>
        </w:tc>
        <w:tc>
          <w:tcPr>
            <w:tcW w:w="0" w:type="auto"/>
            <w:vAlign w:val="center"/>
          </w:tcPr>
          <w:p w14:paraId="5E45137A" w14:textId="2AE3EBD4"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Familiarizar a los interesados con la estrategia, validar el marco de resultados y los roles, y lanzar el proyecto. </w:t>
            </w:r>
          </w:p>
        </w:tc>
        <w:tc>
          <w:tcPr>
            <w:tcW w:w="0" w:type="auto"/>
            <w:vAlign w:val="center"/>
          </w:tcPr>
          <w:p w14:paraId="1B0919A5" w14:textId="0ADD64B6" w:rsidR="00E1284A" w:rsidRPr="00D830D9" w:rsidRDefault="009E221F"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PNUD, </w:t>
            </w:r>
            <w:r w:rsidR="00547037">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y los principales actores</w:t>
            </w:r>
          </w:p>
        </w:tc>
      </w:tr>
      <w:tr w:rsidR="00E1284A" w:rsidRPr="00A51E75" w14:paraId="5B485F3B" w14:textId="77777777" w:rsidTr="00E1284A">
        <w:tc>
          <w:tcPr>
            <w:tcW w:w="0" w:type="auto"/>
            <w:vAlign w:val="center"/>
          </w:tcPr>
          <w:p w14:paraId="22CA0303"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del progreso de los resultados </w:t>
            </w:r>
          </w:p>
        </w:tc>
        <w:tc>
          <w:tcPr>
            <w:tcW w:w="0" w:type="auto"/>
            <w:vAlign w:val="center"/>
          </w:tcPr>
          <w:p w14:paraId="3AE25E03" w14:textId="1B5A141B"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Anualmente, en el examen parcial y en el cierre del proyecto </w:t>
            </w:r>
          </w:p>
        </w:tc>
        <w:tc>
          <w:tcPr>
            <w:tcW w:w="0" w:type="auto"/>
            <w:vAlign w:val="center"/>
          </w:tcPr>
          <w:p w14:paraId="193D5D5A" w14:textId="04DAF039"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Identificar avances y retrasos; Toma medidas correctivas cuando sea necesario. </w:t>
            </w:r>
          </w:p>
        </w:tc>
        <w:tc>
          <w:tcPr>
            <w:tcW w:w="0" w:type="auto"/>
            <w:vAlign w:val="center"/>
          </w:tcPr>
          <w:p w14:paraId="62330B60" w14:textId="78164EE3" w:rsidR="00E1284A" w:rsidRPr="00895463" w:rsidRDefault="009E221F"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w:t>
            </w:r>
            <w:r>
              <w:rPr>
                <w:rFonts w:asciiTheme="minorHAnsi" w:eastAsia="SimSun" w:hAnsiTheme="minorHAnsi" w:cstheme="minorHAnsi"/>
                <w:sz w:val="18"/>
                <w:szCs w:val="18"/>
              </w:rPr>
              <w:t>MAGP</w:t>
            </w:r>
            <w:r w:rsidR="00E1284A" w:rsidRPr="00A51E75">
              <w:rPr>
                <w:rFonts w:asciiTheme="minorHAnsi" w:eastAsia="SimSun" w:hAnsiTheme="minorHAnsi" w:cstheme="minorHAnsi"/>
                <w:sz w:val="18"/>
                <w:szCs w:val="18"/>
              </w:rPr>
              <w:t xml:space="preserve">, </w:t>
            </w:r>
            <w:proofErr w:type="spellStart"/>
            <w:r w:rsidR="00E1284A" w:rsidRPr="00A51E75">
              <w:rPr>
                <w:rFonts w:asciiTheme="minorHAnsi" w:eastAsia="SimSun" w:hAnsiTheme="minorHAnsi" w:cstheme="minorHAnsi"/>
                <w:sz w:val="18"/>
                <w:szCs w:val="18"/>
              </w:rPr>
              <w:t>GADs</w:t>
            </w:r>
            <w:proofErr w:type="spellEnd"/>
            <w:r w:rsidR="00E1284A" w:rsidRPr="00A51E75">
              <w:rPr>
                <w:rFonts w:asciiTheme="minorHAnsi" w:eastAsia="SimSun" w:hAnsiTheme="minorHAnsi" w:cstheme="minorHAnsi"/>
                <w:sz w:val="18"/>
                <w:szCs w:val="18"/>
              </w:rPr>
              <w:t xml:space="preserve">, comunidades, PNUD, </w:t>
            </w:r>
            <w:r w:rsidR="00547037">
              <w:rPr>
                <w:rFonts w:asciiTheme="minorHAnsi" w:eastAsia="SimSun" w:hAnsiTheme="minorHAnsi" w:cstheme="minorHAnsi"/>
                <w:sz w:val="18"/>
                <w:szCs w:val="18"/>
              </w:rPr>
              <w:t>UGP</w:t>
            </w:r>
          </w:p>
        </w:tc>
      </w:tr>
      <w:tr w:rsidR="00E1284A" w:rsidRPr="00A51E75" w14:paraId="0941FB60" w14:textId="77777777" w:rsidTr="00E1284A">
        <w:tc>
          <w:tcPr>
            <w:tcW w:w="0" w:type="auto"/>
            <w:vAlign w:val="center"/>
          </w:tcPr>
          <w:p w14:paraId="027A2FDB"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de los </w:t>
            </w:r>
            <w:proofErr w:type="spellStart"/>
            <w:r w:rsidRPr="00A51E75">
              <w:rPr>
                <w:rFonts w:asciiTheme="minorHAnsi" w:eastAsia="SimSun" w:hAnsiTheme="minorHAnsi" w:cstheme="minorHAnsi"/>
                <w:sz w:val="18"/>
                <w:szCs w:val="18"/>
              </w:rPr>
              <w:t>cobeneficios</w:t>
            </w:r>
            <w:proofErr w:type="spellEnd"/>
            <w:r w:rsidRPr="00A51E75">
              <w:rPr>
                <w:rFonts w:asciiTheme="minorHAnsi" w:eastAsia="SimSun" w:hAnsiTheme="minorHAnsi" w:cstheme="minorHAnsi"/>
                <w:sz w:val="18"/>
                <w:szCs w:val="18"/>
              </w:rPr>
              <w:t xml:space="preserve"> sociales, económicos y de gobernanza </w:t>
            </w:r>
          </w:p>
        </w:tc>
        <w:tc>
          <w:tcPr>
            <w:tcW w:w="0" w:type="auto"/>
            <w:vAlign w:val="center"/>
          </w:tcPr>
          <w:p w14:paraId="248A9ABC" w14:textId="3FD64D23"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Anualmente, en el periodo parcial y el cierre de proyectos </w:t>
            </w:r>
          </w:p>
        </w:tc>
        <w:tc>
          <w:tcPr>
            <w:tcW w:w="0" w:type="auto"/>
            <w:vAlign w:val="center"/>
          </w:tcPr>
          <w:p w14:paraId="745EDE49" w14:textId="5E3E63C4"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Evaluar el impacto del proyecto en los medios de vida, el fortalecimiento de las organizaciones locales, el acceso a servicios ecosistémicos y las capacidades de gobernanza comunitaria como parte de los </w:t>
            </w:r>
            <w:proofErr w:type="spellStart"/>
            <w:r w:rsidRPr="00A51E75">
              <w:rPr>
                <w:rFonts w:asciiTheme="minorHAnsi" w:eastAsia="SimSun" w:hAnsiTheme="minorHAnsi" w:cstheme="minorHAnsi"/>
                <w:sz w:val="18"/>
                <w:szCs w:val="18"/>
              </w:rPr>
              <w:t>co-beneficios</w:t>
            </w:r>
            <w:proofErr w:type="spellEnd"/>
            <w:r w:rsidRPr="00A51E75">
              <w:rPr>
                <w:rFonts w:asciiTheme="minorHAnsi" w:eastAsia="SimSun" w:hAnsiTheme="minorHAnsi" w:cstheme="minorHAnsi"/>
                <w:sz w:val="18"/>
                <w:szCs w:val="18"/>
              </w:rPr>
              <w:t xml:space="preserve"> del proyecto. </w:t>
            </w:r>
          </w:p>
        </w:tc>
        <w:tc>
          <w:tcPr>
            <w:tcW w:w="0" w:type="auto"/>
            <w:vAlign w:val="center"/>
          </w:tcPr>
          <w:p w14:paraId="76828C01" w14:textId="2C55F149" w:rsidR="00E1284A" w:rsidRPr="00E168DD"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00E1284A" w:rsidRPr="00A51E75">
              <w:rPr>
                <w:rFonts w:asciiTheme="minorHAnsi" w:eastAsia="SimSun" w:hAnsiTheme="minorHAnsi" w:cstheme="minorHAnsi"/>
                <w:sz w:val="18"/>
                <w:szCs w:val="18"/>
              </w:rPr>
              <w:t xml:space="preserve">, </w:t>
            </w:r>
            <w:proofErr w:type="spellStart"/>
            <w:r w:rsidR="00E1284A" w:rsidRPr="00A51E75">
              <w:rPr>
                <w:rFonts w:asciiTheme="minorHAnsi" w:eastAsia="SimSun" w:hAnsiTheme="minorHAnsi" w:cstheme="minorHAnsi"/>
                <w:sz w:val="18"/>
                <w:szCs w:val="18"/>
              </w:rPr>
              <w:t>GADs</w:t>
            </w:r>
            <w:proofErr w:type="spellEnd"/>
            <w:r w:rsidR="00E1284A" w:rsidRPr="00A51E75">
              <w:rPr>
                <w:rFonts w:asciiTheme="minorHAnsi" w:eastAsia="SimSun" w:hAnsiTheme="minorHAnsi" w:cstheme="minorHAnsi"/>
                <w:sz w:val="18"/>
                <w:szCs w:val="18"/>
              </w:rPr>
              <w:t>, comunidades locales, universidades, organizaciones sociales</w:t>
            </w:r>
          </w:p>
        </w:tc>
      </w:tr>
      <w:tr w:rsidR="00E1284A" w:rsidRPr="007D4F41" w14:paraId="59309198" w14:textId="77777777" w:rsidTr="00E1284A">
        <w:tc>
          <w:tcPr>
            <w:tcW w:w="0" w:type="auto"/>
            <w:vAlign w:val="center"/>
          </w:tcPr>
          <w:p w14:paraId="435552D7"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y gestión de riesgos </w:t>
            </w:r>
          </w:p>
        </w:tc>
        <w:tc>
          <w:tcPr>
            <w:tcW w:w="0" w:type="auto"/>
            <w:vAlign w:val="center"/>
          </w:tcPr>
          <w:p w14:paraId="3B57C817" w14:textId="3B8D893A"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Trimestral </w:t>
            </w:r>
          </w:p>
        </w:tc>
        <w:tc>
          <w:tcPr>
            <w:tcW w:w="0" w:type="auto"/>
            <w:vAlign w:val="center"/>
          </w:tcPr>
          <w:p w14:paraId="31A3E6DC" w14:textId="1A8644BA"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Identificar riesgos e implementar acciones de mitigación; Mantén actualizado el registro de riesgos. </w:t>
            </w:r>
          </w:p>
        </w:tc>
        <w:tc>
          <w:tcPr>
            <w:tcW w:w="0" w:type="auto"/>
            <w:vAlign w:val="center"/>
          </w:tcPr>
          <w:p w14:paraId="77DC4ADA" w14:textId="28BB165F" w:rsidR="00E1284A" w:rsidRPr="00D830D9"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PNUD, partes interesadas locales</w:t>
            </w:r>
          </w:p>
        </w:tc>
      </w:tr>
      <w:tr w:rsidR="00E1284A" w:rsidRPr="007D4F41" w14:paraId="75793E90" w14:textId="77777777" w:rsidTr="00E1284A">
        <w:tc>
          <w:tcPr>
            <w:tcW w:w="0" w:type="auto"/>
            <w:vAlign w:val="center"/>
          </w:tcPr>
          <w:p w14:paraId="374E4C8F"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Salvaguardas y seguimiento del Plan de Acción de Género </w:t>
            </w:r>
          </w:p>
        </w:tc>
        <w:tc>
          <w:tcPr>
            <w:tcW w:w="0" w:type="auto"/>
            <w:vAlign w:val="center"/>
          </w:tcPr>
          <w:p w14:paraId="51DBE9B5" w14:textId="555F13F5"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En curso </w:t>
            </w:r>
          </w:p>
        </w:tc>
        <w:tc>
          <w:tcPr>
            <w:tcW w:w="0" w:type="auto"/>
            <w:vAlign w:val="center"/>
          </w:tcPr>
          <w:p w14:paraId="7CA1A3D6" w14:textId="2C0743FA"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Supervisar las salvaguardas y el Plan de Acción de Género con un enfoque inclusivo. </w:t>
            </w:r>
          </w:p>
        </w:tc>
        <w:tc>
          <w:tcPr>
            <w:tcW w:w="0" w:type="auto"/>
            <w:vAlign w:val="center"/>
          </w:tcPr>
          <w:p w14:paraId="601735D6" w14:textId="7DB87706" w:rsidR="00E1284A" w:rsidRPr="00895463"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00E1284A" w:rsidRPr="00A51E75">
              <w:rPr>
                <w:rFonts w:asciiTheme="minorHAnsi" w:eastAsia="SimSun" w:hAnsiTheme="minorHAnsi" w:cstheme="minorHAnsi"/>
                <w:sz w:val="18"/>
                <w:szCs w:val="18"/>
              </w:rPr>
              <w:t>, actores sociales e indígenas</w:t>
            </w:r>
          </w:p>
        </w:tc>
      </w:tr>
      <w:tr w:rsidR="00E1284A" w:rsidRPr="007D4F41" w14:paraId="240500E6" w14:textId="77777777" w:rsidTr="00E1284A">
        <w:tc>
          <w:tcPr>
            <w:tcW w:w="0" w:type="auto"/>
            <w:vAlign w:val="center"/>
          </w:tcPr>
          <w:p w14:paraId="476202C3" w14:textId="77777777"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Misiones de supervisión </w:t>
            </w:r>
          </w:p>
        </w:tc>
        <w:tc>
          <w:tcPr>
            <w:tcW w:w="0" w:type="auto"/>
            <w:vAlign w:val="center"/>
          </w:tcPr>
          <w:p w14:paraId="1610D4C6" w14:textId="72197309"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Anualmente </w:t>
            </w:r>
          </w:p>
        </w:tc>
        <w:tc>
          <w:tcPr>
            <w:tcW w:w="0" w:type="auto"/>
            <w:vAlign w:val="center"/>
          </w:tcPr>
          <w:p w14:paraId="1EBF72EB" w14:textId="2DC78E56"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Supervisar la implementación territorial, validar actividades y apoyar la toma de decisiones. </w:t>
            </w:r>
          </w:p>
        </w:tc>
        <w:tc>
          <w:tcPr>
            <w:tcW w:w="0" w:type="auto"/>
            <w:vAlign w:val="center"/>
          </w:tcPr>
          <w:p w14:paraId="31A863AF" w14:textId="13E61B78" w:rsidR="00E1284A" w:rsidRPr="00895463"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proofErr w:type="spellStart"/>
            <w:r w:rsidRPr="00A51E75">
              <w:rPr>
                <w:rFonts w:asciiTheme="minorHAnsi" w:eastAsia="SimSun" w:hAnsiTheme="minorHAnsi" w:cstheme="minorHAnsi"/>
                <w:sz w:val="18"/>
                <w:szCs w:val="18"/>
              </w:rPr>
              <w:t>GADs</w:t>
            </w:r>
            <w:proofErr w:type="spellEnd"/>
            <w:r w:rsidRPr="00A51E75">
              <w:rPr>
                <w:rFonts w:asciiTheme="minorHAnsi" w:eastAsia="SimSun" w:hAnsiTheme="minorHAnsi" w:cstheme="minorHAnsi"/>
                <w:sz w:val="18"/>
                <w:szCs w:val="18"/>
              </w:rPr>
              <w:t xml:space="preserve">,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socios implementadores</w:t>
            </w:r>
          </w:p>
        </w:tc>
      </w:tr>
      <w:tr w:rsidR="00E1284A" w:rsidRPr="00A51E75" w14:paraId="598CF3AC" w14:textId="77777777" w:rsidTr="00E1284A">
        <w:tc>
          <w:tcPr>
            <w:tcW w:w="0" w:type="auto"/>
            <w:vAlign w:val="center"/>
          </w:tcPr>
          <w:p w14:paraId="6F00469A" w14:textId="77777777"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Misiones de aprendizaje </w:t>
            </w:r>
          </w:p>
        </w:tc>
        <w:tc>
          <w:tcPr>
            <w:tcW w:w="0" w:type="auto"/>
            <w:vAlign w:val="center"/>
          </w:tcPr>
          <w:p w14:paraId="78A173FC" w14:textId="66A20EAA"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Según sea necesario </w:t>
            </w:r>
          </w:p>
        </w:tc>
        <w:tc>
          <w:tcPr>
            <w:tcW w:w="0" w:type="auto"/>
            <w:vAlign w:val="center"/>
          </w:tcPr>
          <w:p w14:paraId="64EB7611" w14:textId="4258E04F"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Recoge las lecciones aprendidas y </w:t>
            </w:r>
            <w:r w:rsidR="00ED5249">
              <w:rPr>
                <w:rFonts w:asciiTheme="minorHAnsi" w:eastAsia="SimSun" w:hAnsiTheme="minorHAnsi" w:cstheme="minorHAnsi"/>
                <w:sz w:val="18"/>
                <w:szCs w:val="18"/>
              </w:rPr>
              <w:t xml:space="preserve">las </w:t>
            </w:r>
            <w:r w:rsidRPr="00A51E75">
              <w:rPr>
                <w:rFonts w:asciiTheme="minorHAnsi" w:eastAsia="SimSun" w:hAnsiTheme="minorHAnsi" w:cstheme="minorHAnsi"/>
                <w:sz w:val="18"/>
                <w:szCs w:val="18"/>
              </w:rPr>
              <w:t>ad</w:t>
            </w:r>
            <w:r w:rsidR="00ED5249">
              <w:rPr>
                <w:rFonts w:asciiTheme="minorHAnsi" w:eastAsia="SimSun" w:hAnsiTheme="minorHAnsi" w:cstheme="minorHAnsi"/>
                <w:sz w:val="18"/>
                <w:szCs w:val="18"/>
              </w:rPr>
              <w:t>o</w:t>
            </w:r>
            <w:r w:rsidRPr="00A51E75">
              <w:rPr>
                <w:rFonts w:asciiTheme="minorHAnsi" w:eastAsia="SimSun" w:hAnsiTheme="minorHAnsi" w:cstheme="minorHAnsi"/>
                <w:sz w:val="18"/>
                <w:szCs w:val="18"/>
              </w:rPr>
              <w:t>pta</w:t>
            </w:r>
            <w:r w:rsidR="00ED5249">
              <w:rPr>
                <w:rFonts w:asciiTheme="minorHAnsi" w:eastAsia="SimSun" w:hAnsiTheme="minorHAnsi" w:cstheme="minorHAnsi"/>
                <w:sz w:val="18"/>
                <w:szCs w:val="18"/>
              </w:rPr>
              <w:t xml:space="preserve"> </w:t>
            </w:r>
            <w:r w:rsidRPr="00A51E75">
              <w:rPr>
                <w:rFonts w:asciiTheme="minorHAnsi" w:eastAsia="SimSun" w:hAnsiTheme="minorHAnsi" w:cstheme="minorHAnsi"/>
                <w:sz w:val="18"/>
                <w:szCs w:val="18"/>
              </w:rPr>
              <w:t xml:space="preserve">para mejorar la implementación. </w:t>
            </w:r>
          </w:p>
        </w:tc>
        <w:tc>
          <w:tcPr>
            <w:tcW w:w="0" w:type="auto"/>
            <w:vAlign w:val="center"/>
          </w:tcPr>
          <w:p w14:paraId="381D5D31" w14:textId="52A80C20" w:rsidR="00E1284A" w:rsidRPr="00895463"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PNUD,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comunidades, universidades</w:t>
            </w:r>
          </w:p>
        </w:tc>
      </w:tr>
      <w:tr w:rsidR="00E1284A" w:rsidRPr="007D4F41" w14:paraId="7F422088" w14:textId="77777777" w:rsidTr="00E1284A">
        <w:tc>
          <w:tcPr>
            <w:tcW w:w="0" w:type="auto"/>
            <w:vAlign w:val="center"/>
          </w:tcPr>
          <w:p w14:paraId="0F6CE348" w14:textId="77777777"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Talleres de Validación Comunitaria </w:t>
            </w:r>
          </w:p>
        </w:tc>
        <w:tc>
          <w:tcPr>
            <w:tcW w:w="0" w:type="auto"/>
            <w:vAlign w:val="center"/>
          </w:tcPr>
          <w:p w14:paraId="5F57F3CE" w14:textId="52CE3BA6"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Anualmente, en el periodo parcial y el cierre de proyectos </w:t>
            </w:r>
          </w:p>
        </w:tc>
        <w:tc>
          <w:tcPr>
            <w:tcW w:w="0" w:type="auto"/>
            <w:vAlign w:val="center"/>
          </w:tcPr>
          <w:p w14:paraId="4C311DF2" w14:textId="797E2685"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Facilitar espacios de retroalimentación con comunidades y pueblos indígenas para validar el progreso, recopilar percepciones locales sobre los impactos y ajustar acciones de forma participativa. </w:t>
            </w:r>
          </w:p>
        </w:tc>
        <w:tc>
          <w:tcPr>
            <w:tcW w:w="0" w:type="auto"/>
            <w:vAlign w:val="center"/>
          </w:tcPr>
          <w:p w14:paraId="1356AD46" w14:textId="31CE4E8C" w:rsidR="00E1284A" w:rsidRPr="00895463"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organizaciones comunitarias e indígenas,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w:t>
            </w:r>
            <w:proofErr w:type="spellStart"/>
            <w:r w:rsidR="00E1284A" w:rsidRPr="00A51E75">
              <w:rPr>
                <w:rFonts w:asciiTheme="minorHAnsi" w:eastAsia="SimSun" w:hAnsiTheme="minorHAnsi" w:cstheme="minorHAnsi"/>
                <w:sz w:val="18"/>
                <w:szCs w:val="18"/>
              </w:rPr>
              <w:t>GADs</w:t>
            </w:r>
            <w:proofErr w:type="spellEnd"/>
            <w:r w:rsidR="00E1284A" w:rsidRPr="00A51E75">
              <w:rPr>
                <w:rFonts w:asciiTheme="minorHAnsi" w:eastAsia="SimSun" w:hAnsiTheme="minorHAnsi" w:cstheme="minorHAnsi"/>
                <w:sz w:val="18"/>
                <w:szCs w:val="18"/>
              </w:rPr>
              <w:t>, PNUD</w:t>
            </w:r>
          </w:p>
        </w:tc>
      </w:tr>
      <w:tr w:rsidR="00E1284A" w:rsidRPr="007D4F41" w14:paraId="39186E88" w14:textId="77777777" w:rsidTr="00E1284A">
        <w:tc>
          <w:tcPr>
            <w:tcW w:w="0" w:type="auto"/>
            <w:vAlign w:val="center"/>
          </w:tcPr>
          <w:p w14:paraId="26E6F3E6"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Aseguramiento anual de la calidad del proyecto </w:t>
            </w:r>
          </w:p>
        </w:tc>
        <w:tc>
          <w:tcPr>
            <w:tcW w:w="0" w:type="auto"/>
            <w:vAlign w:val="center"/>
          </w:tcPr>
          <w:p w14:paraId="05278704" w14:textId="4CD32A44"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Anualmente </w:t>
            </w:r>
          </w:p>
        </w:tc>
        <w:tc>
          <w:tcPr>
            <w:tcW w:w="0" w:type="auto"/>
            <w:vAlign w:val="center"/>
          </w:tcPr>
          <w:p w14:paraId="58734A5E" w14:textId="7798A55D"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Revisa las fortalezas y debilidades del proyecto para informar las decisiones de mejora. </w:t>
            </w:r>
          </w:p>
        </w:tc>
        <w:tc>
          <w:tcPr>
            <w:tcW w:w="0" w:type="auto"/>
            <w:vAlign w:val="center"/>
          </w:tcPr>
          <w:p w14:paraId="59F8CE8A" w14:textId="78FD8B1A" w:rsidR="00E1284A" w:rsidRPr="00895463"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comité directivo</w:t>
            </w:r>
          </w:p>
        </w:tc>
      </w:tr>
      <w:tr w:rsidR="00E1284A" w:rsidRPr="007D4F41" w14:paraId="130066C8" w14:textId="77777777" w:rsidTr="00E1284A">
        <w:tc>
          <w:tcPr>
            <w:tcW w:w="0" w:type="auto"/>
            <w:vAlign w:val="center"/>
          </w:tcPr>
          <w:p w14:paraId="79552E8B" w14:textId="77777777"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lastRenderedPageBreak/>
              <w:t xml:space="preserve">Revisión Estratégica y Ajustes </w:t>
            </w:r>
          </w:p>
        </w:tc>
        <w:tc>
          <w:tcPr>
            <w:tcW w:w="0" w:type="auto"/>
            <w:vAlign w:val="center"/>
          </w:tcPr>
          <w:p w14:paraId="53E79437" w14:textId="5C09602C"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Al menos una vez al año </w:t>
            </w:r>
          </w:p>
        </w:tc>
        <w:tc>
          <w:tcPr>
            <w:tcW w:w="0" w:type="auto"/>
            <w:vAlign w:val="center"/>
          </w:tcPr>
          <w:p w14:paraId="762DD66C"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Habla sobre el rendimiento, los riesgos y las lecciones para ajustar la estrategia del proyecto. </w:t>
            </w:r>
          </w:p>
        </w:tc>
        <w:tc>
          <w:tcPr>
            <w:tcW w:w="0" w:type="auto"/>
            <w:vAlign w:val="center"/>
          </w:tcPr>
          <w:p w14:paraId="5787E245" w14:textId="51605DDB" w:rsidR="00E1284A" w:rsidRPr="00895463"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Comité Directivo, PNUD,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p>
        </w:tc>
      </w:tr>
      <w:tr w:rsidR="00E1284A" w:rsidRPr="007D4F41" w14:paraId="31ECE6FC" w14:textId="77777777" w:rsidTr="00E1284A">
        <w:tc>
          <w:tcPr>
            <w:tcW w:w="0" w:type="auto"/>
            <w:vAlign w:val="center"/>
          </w:tcPr>
          <w:p w14:paraId="1173C7D9" w14:textId="19F876DF"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Informe de Implementación del Proyecto </w:t>
            </w:r>
            <w:r w:rsidR="00E168DD">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(PIR) </w:t>
            </w:r>
          </w:p>
        </w:tc>
        <w:tc>
          <w:tcPr>
            <w:tcW w:w="0" w:type="auto"/>
            <w:vAlign w:val="center"/>
          </w:tcPr>
          <w:p w14:paraId="21C6845C" w14:textId="6EBB6048"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Anualmente (junio - septiembre) </w:t>
            </w:r>
          </w:p>
        </w:tc>
        <w:tc>
          <w:tcPr>
            <w:tcW w:w="0" w:type="auto"/>
            <w:vAlign w:val="center"/>
          </w:tcPr>
          <w:p w14:paraId="57D07D8F" w14:textId="60A1A102"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Revisa el rendimiento general e informa en el PIR para la mejora continua. </w:t>
            </w:r>
          </w:p>
        </w:tc>
        <w:tc>
          <w:tcPr>
            <w:tcW w:w="0" w:type="auto"/>
            <w:vAlign w:val="center"/>
          </w:tcPr>
          <w:p w14:paraId="746DC35E" w14:textId="01E88C70"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xml:space="preserve">, Oficina Nacional, </w:t>
            </w:r>
            <w:r w:rsidR="00E168DD" w:rsidRPr="00E168DD">
              <w:rPr>
                <w:rFonts w:asciiTheme="minorHAnsi" w:eastAsia="SimSun" w:hAnsiTheme="minorHAnsi" w:cstheme="minorHAnsi"/>
                <w:sz w:val="18"/>
                <w:szCs w:val="18"/>
              </w:rPr>
              <w:t>Asesor Técnico Regional</w:t>
            </w:r>
            <w:r w:rsidR="00E168DD">
              <w:rPr>
                <w:rFonts w:asciiTheme="minorHAnsi" w:eastAsia="SimSun" w:hAnsiTheme="minorHAnsi" w:cstheme="minorHAnsi"/>
                <w:sz w:val="18"/>
                <w:szCs w:val="18"/>
              </w:rPr>
              <w:t xml:space="preserve"> (</w:t>
            </w:r>
            <w:r w:rsidRPr="00A51E75">
              <w:rPr>
                <w:rFonts w:asciiTheme="minorHAnsi" w:eastAsia="SimSun" w:hAnsiTheme="minorHAnsi" w:cstheme="minorHAnsi"/>
                <w:sz w:val="18"/>
                <w:szCs w:val="18"/>
              </w:rPr>
              <w:t>RTA</w:t>
            </w:r>
            <w:r w:rsidR="00E168DD">
              <w:rPr>
                <w:rFonts w:asciiTheme="minorHAnsi" w:eastAsia="SimSun" w:hAnsiTheme="minorHAnsi" w:cstheme="minorHAnsi"/>
                <w:sz w:val="18"/>
                <w:szCs w:val="18"/>
              </w:rPr>
              <w:t xml:space="preserve"> sigla en inglés)</w:t>
            </w:r>
          </w:p>
        </w:tc>
      </w:tr>
      <w:tr w:rsidR="00E1284A" w:rsidRPr="007D4F41" w14:paraId="447B4104" w14:textId="77777777" w:rsidTr="00E1284A">
        <w:tc>
          <w:tcPr>
            <w:tcW w:w="0" w:type="auto"/>
            <w:vAlign w:val="center"/>
          </w:tcPr>
          <w:p w14:paraId="68661282"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Revisión de Proyectos (Comité Directivo) </w:t>
            </w:r>
          </w:p>
        </w:tc>
        <w:tc>
          <w:tcPr>
            <w:tcW w:w="0" w:type="auto"/>
            <w:vAlign w:val="center"/>
          </w:tcPr>
          <w:p w14:paraId="2EE0F193" w14:textId="2569A45E"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Al menos una vez al año </w:t>
            </w:r>
          </w:p>
        </w:tc>
        <w:tc>
          <w:tcPr>
            <w:tcW w:w="0" w:type="auto"/>
            <w:vAlign w:val="center"/>
          </w:tcPr>
          <w:p w14:paraId="06A060E8" w14:textId="33AABEFE"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Analiza el progreso, los retos y toma decisiones estratégicas. </w:t>
            </w:r>
          </w:p>
        </w:tc>
        <w:tc>
          <w:tcPr>
            <w:tcW w:w="0" w:type="auto"/>
            <w:vAlign w:val="center"/>
          </w:tcPr>
          <w:p w14:paraId="51B26937" w14:textId="7C025E4C" w:rsidR="00E1284A" w:rsidRPr="00895463"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Comité Directivo, 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socios clave</w:t>
            </w:r>
          </w:p>
        </w:tc>
      </w:tr>
      <w:tr w:rsidR="00E1284A" w:rsidRPr="007D4F41" w14:paraId="43381E2E" w14:textId="77777777" w:rsidTr="00E1284A">
        <w:tc>
          <w:tcPr>
            <w:tcW w:w="0" w:type="auto"/>
            <w:vAlign w:val="center"/>
          </w:tcPr>
          <w:p w14:paraId="477A0EB8" w14:textId="77777777" w:rsidR="00E1284A" w:rsidRPr="00895463"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de Indicadores de Resultados (19 indicadores definidos) </w:t>
            </w:r>
          </w:p>
        </w:tc>
        <w:tc>
          <w:tcPr>
            <w:tcW w:w="0" w:type="auto"/>
            <w:vAlign w:val="center"/>
          </w:tcPr>
          <w:p w14:paraId="309381A3" w14:textId="60D36783"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Semestral, anualmente, parcial y cierre </w:t>
            </w:r>
          </w:p>
        </w:tc>
        <w:tc>
          <w:tcPr>
            <w:tcW w:w="0" w:type="auto"/>
            <w:vAlign w:val="center"/>
          </w:tcPr>
          <w:p w14:paraId="25E1070F" w14:textId="386DD404"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Evalúa el cumplimiento de los indicadores clave definidos en el marco de resultados. </w:t>
            </w:r>
          </w:p>
        </w:tc>
        <w:tc>
          <w:tcPr>
            <w:tcW w:w="0" w:type="auto"/>
            <w:vAlign w:val="center"/>
          </w:tcPr>
          <w:p w14:paraId="44D890CF" w14:textId="339F295B" w:rsidR="00E1284A" w:rsidRPr="00D830D9"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PNUD, actores territoriales y comunidad</w:t>
            </w:r>
          </w:p>
        </w:tc>
      </w:tr>
      <w:tr w:rsidR="00E1284A" w:rsidRPr="007D4F41" w14:paraId="3BD8EB2F" w14:textId="77777777" w:rsidTr="00E1284A">
        <w:tc>
          <w:tcPr>
            <w:tcW w:w="0" w:type="auto"/>
            <w:vAlign w:val="center"/>
          </w:tcPr>
          <w:p w14:paraId="5AEAA167"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de la Restauración de Ecosistemas y Progreso del Movimiento de Gestión del Ecosistema </w:t>
            </w:r>
          </w:p>
        </w:tc>
        <w:tc>
          <w:tcPr>
            <w:tcW w:w="0" w:type="auto"/>
            <w:vAlign w:val="center"/>
          </w:tcPr>
          <w:p w14:paraId="763ECC53" w14:textId="293703BA"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Semestral, anualmente, parcial y cierre </w:t>
            </w:r>
          </w:p>
        </w:tc>
        <w:tc>
          <w:tcPr>
            <w:tcW w:w="0" w:type="auto"/>
            <w:vAlign w:val="center"/>
          </w:tcPr>
          <w:p w14:paraId="6231792C" w14:textId="686B6AB4"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Supervisar la restauración activa/pasiva en áreas priorizadas y la adopción de prácticas de </w:t>
            </w:r>
            <w:r w:rsidR="00E26F5E">
              <w:rPr>
                <w:rFonts w:asciiTheme="minorHAnsi" w:eastAsia="SimSun" w:hAnsiTheme="minorHAnsi" w:cstheme="minorHAnsi"/>
                <w:sz w:val="18"/>
                <w:szCs w:val="18"/>
              </w:rPr>
              <w:t>MST</w:t>
            </w:r>
            <w:r w:rsidRPr="00A51E75">
              <w:rPr>
                <w:rFonts w:asciiTheme="minorHAnsi" w:eastAsia="SimSun" w:hAnsiTheme="minorHAnsi" w:cstheme="minorHAnsi"/>
                <w:sz w:val="18"/>
                <w:szCs w:val="18"/>
              </w:rPr>
              <w:t xml:space="preserve">. </w:t>
            </w:r>
          </w:p>
        </w:tc>
        <w:tc>
          <w:tcPr>
            <w:tcW w:w="0" w:type="auto"/>
            <w:vAlign w:val="center"/>
          </w:tcPr>
          <w:p w14:paraId="1F0271EA" w14:textId="62AD7645" w:rsidR="00E1284A" w:rsidRPr="00895463"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técnicos de campo,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comunidades</w:t>
            </w:r>
          </w:p>
        </w:tc>
      </w:tr>
      <w:tr w:rsidR="00E1284A" w:rsidRPr="00A51E75" w14:paraId="5E3899B6" w14:textId="77777777" w:rsidTr="00E1284A">
        <w:tc>
          <w:tcPr>
            <w:tcW w:w="0" w:type="auto"/>
            <w:vAlign w:val="center"/>
          </w:tcPr>
          <w:p w14:paraId="0BC3475D"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de los Mecanismos de Gobernanza y Acuerdos Interinstitucionales </w:t>
            </w:r>
          </w:p>
        </w:tc>
        <w:tc>
          <w:tcPr>
            <w:tcW w:w="0" w:type="auto"/>
            <w:vAlign w:val="center"/>
          </w:tcPr>
          <w:p w14:paraId="5D9573BB" w14:textId="3E96C911"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Semestral, anualmente, parcial y cierre </w:t>
            </w:r>
          </w:p>
        </w:tc>
        <w:tc>
          <w:tcPr>
            <w:tcW w:w="0" w:type="auto"/>
            <w:vAlign w:val="center"/>
          </w:tcPr>
          <w:p w14:paraId="4985A892" w14:textId="7BE95FA4"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Validar la implementación y eficacia de los mecanismos y acuerdos de gobernanza. </w:t>
            </w:r>
          </w:p>
        </w:tc>
        <w:tc>
          <w:tcPr>
            <w:tcW w:w="0" w:type="auto"/>
            <w:vAlign w:val="center"/>
          </w:tcPr>
          <w:p w14:paraId="27A0C880" w14:textId="501F7A8E" w:rsidR="00E1284A" w:rsidRPr="00895463" w:rsidRDefault="00547037"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w:t>
            </w:r>
            <w:proofErr w:type="spellStart"/>
            <w:r w:rsidR="00E1284A" w:rsidRPr="00A51E75">
              <w:rPr>
                <w:rFonts w:asciiTheme="minorHAnsi" w:eastAsia="SimSun" w:hAnsiTheme="minorHAnsi" w:cstheme="minorHAnsi"/>
                <w:sz w:val="18"/>
                <w:szCs w:val="18"/>
              </w:rPr>
              <w:t>GADs</w:t>
            </w:r>
            <w:proofErr w:type="spellEnd"/>
            <w:r w:rsidR="00E1284A" w:rsidRPr="00A51E75">
              <w:rPr>
                <w:rFonts w:asciiTheme="minorHAnsi" w:eastAsia="SimSun" w:hAnsiTheme="minorHAnsi" w:cstheme="minorHAnsi"/>
                <w:sz w:val="18"/>
                <w:szCs w:val="18"/>
              </w:rPr>
              <w:t>, universidades, WCS</w:t>
            </w:r>
          </w:p>
        </w:tc>
      </w:tr>
      <w:tr w:rsidR="00E1284A" w:rsidRPr="00A51E75" w14:paraId="42D62BE1" w14:textId="77777777" w:rsidTr="00E1284A">
        <w:tc>
          <w:tcPr>
            <w:tcW w:w="0" w:type="auto"/>
            <w:vAlign w:val="center"/>
          </w:tcPr>
          <w:p w14:paraId="3C6DB256" w14:textId="7C392C48"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Monitorización del Sistema de Alerta Temprana (</w:t>
            </w:r>
            <w:r w:rsidR="007525DB">
              <w:rPr>
                <w:rFonts w:asciiTheme="minorHAnsi" w:eastAsia="SimSun" w:hAnsiTheme="minorHAnsi" w:cstheme="minorHAnsi"/>
                <w:sz w:val="18"/>
                <w:szCs w:val="18"/>
              </w:rPr>
              <w:t>SAT</w:t>
            </w:r>
            <w:r w:rsidRPr="00A51E75">
              <w:rPr>
                <w:rFonts w:asciiTheme="minorHAnsi" w:eastAsia="SimSun" w:hAnsiTheme="minorHAnsi" w:cstheme="minorHAnsi"/>
                <w:sz w:val="18"/>
                <w:szCs w:val="18"/>
              </w:rPr>
              <w:t xml:space="preserve">) y Trazabilidad </w:t>
            </w:r>
          </w:p>
        </w:tc>
        <w:tc>
          <w:tcPr>
            <w:tcW w:w="0" w:type="auto"/>
            <w:vAlign w:val="center"/>
          </w:tcPr>
          <w:p w14:paraId="575F5133" w14:textId="39AC6A7E"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Semestralmente, con informes anuales y finales </w:t>
            </w:r>
          </w:p>
        </w:tc>
        <w:tc>
          <w:tcPr>
            <w:tcW w:w="0" w:type="auto"/>
            <w:vAlign w:val="center"/>
          </w:tcPr>
          <w:p w14:paraId="7EBB080F" w14:textId="43071821"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Evalúa la funcionalidad de las plataformas de monitorización electrónica y digital. </w:t>
            </w:r>
          </w:p>
        </w:tc>
        <w:tc>
          <w:tcPr>
            <w:tcW w:w="0" w:type="auto"/>
            <w:vAlign w:val="center"/>
          </w:tcPr>
          <w:p w14:paraId="68313549" w14:textId="267E235D" w:rsidR="00E1284A" w:rsidRPr="00895463" w:rsidRDefault="009E221F"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xml:space="preserve">, </w:t>
            </w:r>
            <w:r>
              <w:rPr>
                <w:rFonts w:asciiTheme="minorHAnsi" w:eastAsia="SimSun" w:hAnsiTheme="minorHAnsi" w:cstheme="minorHAnsi"/>
                <w:sz w:val="18"/>
                <w:szCs w:val="18"/>
              </w:rPr>
              <w:t>MAGP</w:t>
            </w:r>
            <w:r w:rsidR="00E1284A" w:rsidRPr="00A51E75">
              <w:rPr>
                <w:rFonts w:asciiTheme="minorHAnsi" w:eastAsia="SimSun" w:hAnsiTheme="minorHAnsi" w:cstheme="minorHAnsi"/>
                <w:sz w:val="18"/>
                <w:szCs w:val="18"/>
              </w:rPr>
              <w:t>, INAMHI, universidades, comunidades</w:t>
            </w:r>
          </w:p>
        </w:tc>
      </w:tr>
      <w:tr w:rsidR="00E1284A" w:rsidRPr="00A51E75" w14:paraId="3FC17692" w14:textId="77777777" w:rsidTr="00E1284A">
        <w:tc>
          <w:tcPr>
            <w:tcW w:w="0" w:type="auto"/>
            <w:vAlign w:val="center"/>
          </w:tcPr>
          <w:p w14:paraId="2D5E21F8"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Monitorización de Sistemas de Datos Desagregados </w:t>
            </w:r>
          </w:p>
        </w:tc>
        <w:tc>
          <w:tcPr>
            <w:tcW w:w="0" w:type="auto"/>
            <w:vAlign w:val="center"/>
          </w:tcPr>
          <w:p w14:paraId="0F49E8A9" w14:textId="267E2B08"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Anualmente, parcial y cierre </w:t>
            </w:r>
          </w:p>
        </w:tc>
        <w:tc>
          <w:tcPr>
            <w:tcW w:w="0" w:type="auto"/>
            <w:vAlign w:val="center"/>
          </w:tcPr>
          <w:p w14:paraId="216F4C66" w14:textId="02358614"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Evaluar la participación equitativa y la calidad de los datos en los sistemas de monitorización. </w:t>
            </w:r>
          </w:p>
        </w:tc>
        <w:tc>
          <w:tcPr>
            <w:tcW w:w="0" w:type="auto"/>
            <w:vAlign w:val="center"/>
          </w:tcPr>
          <w:p w14:paraId="45D2B6F4" w14:textId="29406562" w:rsidR="00E1284A" w:rsidRPr="00E168DD" w:rsidRDefault="009E221F" w:rsidP="00E1284A">
            <w:pPr>
              <w:rPr>
                <w:rFonts w:asciiTheme="minorHAnsi" w:eastAsia="SimSun" w:hAnsiTheme="minorHAnsi" w:cstheme="minorHAnsi"/>
                <w:sz w:val="18"/>
                <w:szCs w:val="18"/>
                <w:lang w:val="es-EC"/>
              </w:rPr>
            </w:pPr>
            <w:r>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ARCA, universidades, sociedad civil</w:t>
            </w:r>
          </w:p>
        </w:tc>
      </w:tr>
      <w:tr w:rsidR="00E1284A" w:rsidRPr="00A51E75" w14:paraId="4770002B" w14:textId="77777777" w:rsidTr="00E1284A">
        <w:tc>
          <w:tcPr>
            <w:tcW w:w="0" w:type="auto"/>
            <w:vAlign w:val="center"/>
          </w:tcPr>
          <w:p w14:paraId="7BEEA743" w14:textId="355294D6"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Evaluación de la incorporación de las recomendaciones </w:t>
            </w:r>
            <w:r w:rsidR="003057B2">
              <w:rPr>
                <w:rFonts w:asciiTheme="minorHAnsi" w:eastAsia="SimSun" w:hAnsiTheme="minorHAnsi" w:cstheme="minorHAnsi"/>
                <w:sz w:val="18"/>
                <w:szCs w:val="18"/>
              </w:rPr>
              <w:t>RMT</w:t>
            </w:r>
            <w:r w:rsidRPr="00A51E75">
              <w:rPr>
                <w:rFonts w:asciiTheme="minorHAnsi" w:eastAsia="SimSun" w:hAnsiTheme="minorHAnsi" w:cstheme="minorHAnsi"/>
                <w:sz w:val="18"/>
                <w:szCs w:val="18"/>
              </w:rPr>
              <w:t xml:space="preserve"> y</w:t>
            </w:r>
            <w:r w:rsidR="003057B2">
              <w:rPr>
                <w:rFonts w:asciiTheme="minorHAnsi" w:eastAsia="SimSun" w:hAnsiTheme="minorHAnsi" w:cstheme="minorHAnsi"/>
                <w:sz w:val="18"/>
                <w:szCs w:val="18"/>
              </w:rPr>
              <w:t xml:space="preserve"> EFI</w:t>
            </w:r>
          </w:p>
        </w:tc>
        <w:tc>
          <w:tcPr>
            <w:tcW w:w="0" w:type="auto"/>
            <w:vAlign w:val="center"/>
          </w:tcPr>
          <w:p w14:paraId="0D93A895" w14:textId="77777777"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Revisión anual, examen parcial y cierre del proyecto </w:t>
            </w:r>
          </w:p>
        </w:tc>
        <w:tc>
          <w:tcPr>
            <w:tcW w:w="0" w:type="auto"/>
            <w:vAlign w:val="center"/>
          </w:tcPr>
          <w:p w14:paraId="74B71DB0" w14:textId="5A6569CE"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Mide la adopción de recomendaciones de evaluación como parte del aprendizaje adaptativo. </w:t>
            </w:r>
          </w:p>
        </w:tc>
        <w:tc>
          <w:tcPr>
            <w:tcW w:w="0" w:type="auto"/>
            <w:vAlign w:val="center"/>
          </w:tcPr>
          <w:p w14:paraId="2FFAE6AB" w14:textId="775C4141" w:rsidR="00E1284A" w:rsidRPr="00A51E75" w:rsidRDefault="00547037" w:rsidP="00E1284A">
            <w:pPr>
              <w:rPr>
                <w:rFonts w:asciiTheme="minorHAnsi" w:eastAsia="SimSun" w:hAnsiTheme="minorHAnsi" w:cstheme="minorHAnsi"/>
                <w:sz w:val="18"/>
                <w:szCs w:val="18"/>
                <w:lang w:val="en-US"/>
              </w:rPr>
            </w:pPr>
            <w:r>
              <w:rPr>
                <w:rFonts w:asciiTheme="minorHAnsi" w:eastAsia="SimSun" w:hAnsiTheme="minorHAnsi" w:cstheme="minorHAnsi"/>
                <w:sz w:val="18"/>
                <w:szCs w:val="18"/>
              </w:rPr>
              <w:t>UGP</w:t>
            </w:r>
            <w:r w:rsidR="00E1284A"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00E1284A" w:rsidRPr="00A51E75">
              <w:rPr>
                <w:rFonts w:asciiTheme="minorHAnsi" w:eastAsia="SimSun" w:hAnsiTheme="minorHAnsi" w:cstheme="minorHAnsi"/>
                <w:sz w:val="18"/>
                <w:szCs w:val="18"/>
              </w:rPr>
              <w:t>, PNUD</w:t>
            </w:r>
          </w:p>
        </w:tc>
      </w:tr>
      <w:tr w:rsidR="00E1284A" w:rsidRPr="00A51E75" w14:paraId="3B94CD7B" w14:textId="77777777" w:rsidTr="00E1284A">
        <w:tc>
          <w:tcPr>
            <w:tcW w:w="0" w:type="auto"/>
            <w:vAlign w:val="center"/>
          </w:tcPr>
          <w:p w14:paraId="2EC3477E" w14:textId="66EC533D"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Incorporación de las recomendaciones </w:t>
            </w:r>
            <w:r w:rsidR="003057B2">
              <w:rPr>
                <w:rFonts w:asciiTheme="minorHAnsi" w:eastAsia="SimSun" w:hAnsiTheme="minorHAnsi" w:cstheme="minorHAnsi"/>
                <w:sz w:val="18"/>
                <w:szCs w:val="18"/>
              </w:rPr>
              <w:t>RMT</w:t>
            </w:r>
            <w:r w:rsidRPr="00A51E75">
              <w:rPr>
                <w:rFonts w:asciiTheme="minorHAnsi" w:eastAsia="SimSun" w:hAnsiTheme="minorHAnsi" w:cstheme="minorHAnsi"/>
                <w:sz w:val="18"/>
                <w:szCs w:val="18"/>
              </w:rPr>
              <w:t xml:space="preserve"> y</w:t>
            </w:r>
            <w:r w:rsidR="003057B2">
              <w:rPr>
                <w:rFonts w:asciiTheme="minorHAnsi" w:eastAsia="SimSun" w:hAnsiTheme="minorHAnsi" w:cstheme="minorHAnsi"/>
                <w:sz w:val="18"/>
                <w:szCs w:val="18"/>
              </w:rPr>
              <w:t xml:space="preserve"> EFI </w:t>
            </w:r>
            <w:r w:rsidRPr="00A51E75">
              <w:rPr>
                <w:rFonts w:asciiTheme="minorHAnsi" w:eastAsia="SimSun" w:hAnsiTheme="minorHAnsi" w:cstheme="minorHAnsi"/>
                <w:sz w:val="18"/>
                <w:szCs w:val="18"/>
              </w:rPr>
              <w:t xml:space="preserve">en el Sistema de Aprendizaje Adaptativo </w:t>
            </w:r>
          </w:p>
        </w:tc>
        <w:tc>
          <w:tcPr>
            <w:tcW w:w="0" w:type="auto"/>
            <w:vAlign w:val="center"/>
          </w:tcPr>
          <w:p w14:paraId="149A6665" w14:textId="77777777" w:rsidR="00E1284A" w:rsidRPr="00A51E75" w:rsidRDefault="00E1284A" w:rsidP="00E1284A">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 Semestralmente </w:t>
            </w:r>
          </w:p>
        </w:tc>
        <w:tc>
          <w:tcPr>
            <w:tcW w:w="0" w:type="auto"/>
            <w:vAlign w:val="center"/>
          </w:tcPr>
          <w:p w14:paraId="0256FE52" w14:textId="7F98FB0C" w:rsidR="00E1284A" w:rsidRPr="00D830D9" w:rsidRDefault="00E1284A" w:rsidP="00E1284A">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Fortalecer el aprendizaje adaptativo del proyecto integrando sistemáticamente las recomendaciones del </w:t>
            </w:r>
            <w:r w:rsidR="003057B2">
              <w:rPr>
                <w:rFonts w:asciiTheme="minorHAnsi" w:eastAsia="SimSun" w:hAnsiTheme="minorHAnsi" w:cstheme="minorHAnsi"/>
                <w:sz w:val="18"/>
                <w:szCs w:val="18"/>
              </w:rPr>
              <w:t>RMT</w:t>
            </w:r>
            <w:r w:rsidRPr="00A51E75">
              <w:rPr>
                <w:rFonts w:asciiTheme="minorHAnsi" w:eastAsia="SimSun" w:hAnsiTheme="minorHAnsi" w:cstheme="minorHAnsi"/>
                <w:sz w:val="18"/>
                <w:szCs w:val="18"/>
              </w:rPr>
              <w:t xml:space="preserve"> y la Evaluación </w:t>
            </w:r>
            <w:r w:rsidR="003057B2">
              <w:rPr>
                <w:rFonts w:asciiTheme="minorHAnsi" w:eastAsia="SimSun" w:hAnsiTheme="minorHAnsi" w:cstheme="minorHAnsi"/>
                <w:sz w:val="18"/>
                <w:szCs w:val="18"/>
              </w:rPr>
              <w:t>Final Independiente</w:t>
            </w:r>
            <w:r w:rsidRPr="00A51E75">
              <w:rPr>
                <w:rFonts w:asciiTheme="minorHAnsi" w:eastAsia="SimSun" w:hAnsiTheme="minorHAnsi" w:cstheme="minorHAnsi"/>
                <w:sz w:val="18"/>
                <w:szCs w:val="18"/>
              </w:rPr>
              <w:t xml:space="preserve"> </w:t>
            </w:r>
            <w:r w:rsidR="003057B2">
              <w:rPr>
                <w:rFonts w:asciiTheme="minorHAnsi" w:eastAsia="SimSun" w:hAnsiTheme="minorHAnsi" w:cstheme="minorHAnsi"/>
                <w:sz w:val="18"/>
                <w:szCs w:val="18"/>
              </w:rPr>
              <w:t>(EFI)</w:t>
            </w:r>
            <w:r w:rsidRPr="00A51E75">
              <w:rPr>
                <w:rFonts w:asciiTheme="minorHAnsi" w:eastAsia="SimSun" w:hAnsiTheme="minorHAnsi" w:cstheme="minorHAnsi"/>
                <w:sz w:val="18"/>
                <w:szCs w:val="18"/>
              </w:rPr>
              <w:t xml:space="preserve"> en los mecanismos de toma de decisiones, la planificación anual y las estrategias de salida. </w:t>
            </w:r>
          </w:p>
        </w:tc>
        <w:tc>
          <w:tcPr>
            <w:tcW w:w="0" w:type="auto"/>
            <w:vAlign w:val="center"/>
          </w:tcPr>
          <w:p w14:paraId="5E674A28" w14:textId="5145A1C7" w:rsidR="00E1284A" w:rsidRPr="00A51E75" w:rsidRDefault="00E1284A" w:rsidP="00E1284A">
            <w:pPr>
              <w:rPr>
                <w:rFonts w:asciiTheme="minorHAnsi" w:eastAsia="SimSun" w:hAnsiTheme="minorHAnsi" w:cstheme="minorHAnsi"/>
                <w:sz w:val="18"/>
                <w:szCs w:val="18"/>
              </w:rPr>
            </w:pPr>
            <w:r w:rsidRPr="00A51E75">
              <w:rPr>
                <w:rFonts w:asciiTheme="minorHAnsi" w:eastAsia="SimSun" w:hAnsiTheme="minorHAnsi" w:cstheme="minorHAnsi"/>
                <w:sz w:val="18"/>
                <w:szCs w:val="18"/>
              </w:rPr>
              <w:t xml:space="preserve">Comité Directivo, PNUD, </w:t>
            </w:r>
            <w:r w:rsidR="00547037">
              <w:rPr>
                <w:rFonts w:asciiTheme="minorHAnsi" w:eastAsia="SimSun" w:hAnsiTheme="minorHAnsi" w:cstheme="minorHAnsi"/>
                <w:sz w:val="18"/>
                <w:szCs w:val="18"/>
              </w:rPr>
              <w:t>UGP</w:t>
            </w:r>
          </w:p>
        </w:tc>
      </w:tr>
    </w:tbl>
    <w:p w14:paraId="7315279F" w14:textId="77777777" w:rsidR="00E1284A" w:rsidRPr="00A51E75" w:rsidRDefault="00E1284A" w:rsidP="008B6F84">
      <w:pPr>
        <w:jc w:val="both"/>
        <w:rPr>
          <w:rFonts w:asciiTheme="minorHAnsi" w:eastAsia="SimSun" w:hAnsiTheme="minorHAnsi" w:cstheme="minorHAnsi"/>
          <w:sz w:val="20"/>
        </w:rPr>
      </w:pPr>
    </w:p>
    <w:p w14:paraId="1FB1E41C" w14:textId="3F6EB779" w:rsidR="00CB31DD" w:rsidRPr="00A51E75" w:rsidRDefault="00B15419" w:rsidP="00183EDD">
      <w:pPr>
        <w:pStyle w:val="Descripcin"/>
        <w:keepNext/>
        <w:jc w:val="center"/>
        <w:rPr>
          <w:rFonts w:asciiTheme="minorHAnsi" w:hAnsiTheme="minorHAnsi" w:cstheme="minorHAnsi"/>
        </w:rPr>
      </w:pPr>
      <w:bookmarkStart w:id="50" w:name="_Toc201073152"/>
      <w:r w:rsidRPr="00A51E75">
        <w:rPr>
          <w:rFonts w:asciiTheme="minorHAnsi" w:hAnsiTheme="minorHAnsi" w:cstheme="minorHAnsi"/>
        </w:rPr>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7</w:t>
      </w:r>
      <w:r w:rsidRPr="00A51E75">
        <w:rPr>
          <w:rFonts w:asciiTheme="minorHAnsi" w:hAnsiTheme="minorHAnsi" w:cstheme="minorHAnsi"/>
        </w:rPr>
        <w:fldChar w:fldCharType="end"/>
      </w:r>
      <w:r w:rsidRPr="00A51E75">
        <w:rPr>
          <w:rFonts w:asciiTheme="minorHAnsi" w:hAnsiTheme="minorHAnsi" w:cstheme="minorHAnsi"/>
        </w:rPr>
        <w:t>: Plan de evaluación</w:t>
      </w:r>
      <w:bookmarkEnd w:id="50"/>
    </w:p>
    <w:tbl>
      <w:tblPr>
        <w:tblStyle w:val="Tablaconcuadrcula"/>
        <w:tblW w:w="0" w:type="auto"/>
        <w:tblLook w:val="04A0" w:firstRow="1" w:lastRow="0" w:firstColumn="1" w:lastColumn="0" w:noHBand="0" w:noVBand="1"/>
      </w:tblPr>
      <w:tblGrid>
        <w:gridCol w:w="1498"/>
        <w:gridCol w:w="1986"/>
        <w:gridCol w:w="2201"/>
        <w:gridCol w:w="2035"/>
        <w:gridCol w:w="2391"/>
        <w:gridCol w:w="2839"/>
      </w:tblGrid>
      <w:tr w:rsidR="00183EDD" w:rsidRPr="007D4F41" w14:paraId="0A6D10B4" w14:textId="77777777" w:rsidTr="00183EDD">
        <w:tc>
          <w:tcPr>
            <w:tcW w:w="0" w:type="auto"/>
            <w:shd w:val="clear" w:color="auto" w:fill="D9D9D9" w:themeFill="background1" w:themeFillShade="D9"/>
            <w:vAlign w:val="center"/>
          </w:tcPr>
          <w:p w14:paraId="2C4CBBAE" w14:textId="77777777" w:rsidR="00183EDD" w:rsidRPr="00A51E75" w:rsidRDefault="00183EDD" w:rsidP="00183EDD">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Título de la evaluación </w:t>
            </w:r>
          </w:p>
        </w:tc>
        <w:tc>
          <w:tcPr>
            <w:tcW w:w="0" w:type="auto"/>
            <w:shd w:val="clear" w:color="auto" w:fill="D9D9D9" w:themeFill="background1" w:themeFillShade="D9"/>
            <w:vAlign w:val="center"/>
          </w:tcPr>
          <w:p w14:paraId="16C8D11D" w14:textId="77777777" w:rsidR="00183EDD" w:rsidRPr="00A51E75" w:rsidRDefault="00183EDD" w:rsidP="00183EDD">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 Socios (si son conjuntos) </w:t>
            </w:r>
          </w:p>
        </w:tc>
        <w:tc>
          <w:tcPr>
            <w:tcW w:w="0" w:type="auto"/>
            <w:shd w:val="clear" w:color="auto" w:fill="D9D9D9" w:themeFill="background1" w:themeFillShade="D9"/>
            <w:vAlign w:val="center"/>
          </w:tcPr>
          <w:p w14:paraId="310B0347" w14:textId="77777777" w:rsidR="00183EDD" w:rsidRPr="00D830D9" w:rsidRDefault="00183EDD" w:rsidP="00183EDD">
            <w:pPr>
              <w:rPr>
                <w:rFonts w:asciiTheme="minorHAnsi" w:eastAsia="SimSun" w:hAnsiTheme="minorHAnsi" w:cstheme="minorHAnsi"/>
                <w:b/>
                <w:bCs/>
                <w:sz w:val="18"/>
                <w:szCs w:val="18"/>
                <w:lang w:val="es-EC"/>
              </w:rPr>
            </w:pPr>
            <w:r w:rsidRPr="00A51E75">
              <w:rPr>
                <w:rFonts w:asciiTheme="minorHAnsi" w:eastAsia="SimSun" w:hAnsiTheme="minorHAnsi" w:cstheme="minorHAnsi"/>
                <w:b/>
                <w:bCs/>
                <w:sz w:val="18"/>
                <w:szCs w:val="18"/>
              </w:rPr>
              <w:t xml:space="preserve"> Resultados relacionados con el Plan Estratégico </w:t>
            </w:r>
          </w:p>
        </w:tc>
        <w:tc>
          <w:tcPr>
            <w:tcW w:w="0" w:type="auto"/>
            <w:shd w:val="clear" w:color="auto" w:fill="D9D9D9" w:themeFill="background1" w:themeFillShade="D9"/>
            <w:vAlign w:val="center"/>
          </w:tcPr>
          <w:p w14:paraId="0E89880C" w14:textId="77777777" w:rsidR="00183EDD" w:rsidRPr="00D830D9" w:rsidRDefault="00183EDD" w:rsidP="00183EDD">
            <w:pPr>
              <w:rPr>
                <w:rFonts w:asciiTheme="minorHAnsi" w:eastAsia="SimSun" w:hAnsiTheme="minorHAnsi" w:cstheme="minorHAnsi"/>
                <w:b/>
                <w:bCs/>
                <w:sz w:val="18"/>
                <w:szCs w:val="18"/>
                <w:lang w:val="es-EC"/>
              </w:rPr>
            </w:pPr>
            <w:r w:rsidRPr="00A51E75">
              <w:rPr>
                <w:rFonts w:asciiTheme="minorHAnsi" w:eastAsia="SimSun" w:hAnsiTheme="minorHAnsi" w:cstheme="minorHAnsi"/>
                <w:b/>
                <w:bCs/>
                <w:sz w:val="18"/>
                <w:szCs w:val="18"/>
              </w:rPr>
              <w:t xml:space="preserve"> Resultado de la UNSDCF / CPD </w:t>
            </w:r>
          </w:p>
        </w:tc>
        <w:tc>
          <w:tcPr>
            <w:tcW w:w="0" w:type="auto"/>
            <w:shd w:val="clear" w:color="auto" w:fill="D9D9D9" w:themeFill="background1" w:themeFillShade="D9"/>
            <w:vAlign w:val="center"/>
          </w:tcPr>
          <w:p w14:paraId="4D34F240" w14:textId="77777777" w:rsidR="00183EDD" w:rsidRPr="00A51E75" w:rsidRDefault="00183EDD" w:rsidP="00183EDD">
            <w:pPr>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 Fecha prevista de finalización </w:t>
            </w:r>
          </w:p>
        </w:tc>
        <w:tc>
          <w:tcPr>
            <w:tcW w:w="0" w:type="auto"/>
            <w:shd w:val="clear" w:color="auto" w:fill="D9D9D9" w:themeFill="background1" w:themeFillShade="D9"/>
            <w:vAlign w:val="center"/>
          </w:tcPr>
          <w:p w14:paraId="033E5C71" w14:textId="77777777" w:rsidR="00183EDD" w:rsidRPr="00D830D9" w:rsidRDefault="00183EDD" w:rsidP="00183EDD">
            <w:pPr>
              <w:rPr>
                <w:rFonts w:asciiTheme="minorHAnsi" w:eastAsia="SimSun" w:hAnsiTheme="minorHAnsi" w:cstheme="minorHAnsi"/>
                <w:b/>
                <w:bCs/>
                <w:sz w:val="18"/>
                <w:szCs w:val="18"/>
                <w:lang w:val="es-EC"/>
              </w:rPr>
            </w:pPr>
            <w:r w:rsidRPr="00A51E75">
              <w:rPr>
                <w:rFonts w:asciiTheme="minorHAnsi" w:eastAsia="SimSun" w:hAnsiTheme="minorHAnsi" w:cstheme="minorHAnsi"/>
                <w:b/>
                <w:bCs/>
                <w:sz w:val="18"/>
                <w:szCs w:val="18"/>
              </w:rPr>
              <w:t xml:space="preserve"> Actores clave en la evaluación</w:t>
            </w:r>
          </w:p>
        </w:tc>
      </w:tr>
      <w:tr w:rsidR="00183EDD" w:rsidRPr="007D4F41" w14:paraId="578D1531" w14:textId="77777777" w:rsidTr="00183EDD">
        <w:tc>
          <w:tcPr>
            <w:tcW w:w="0" w:type="auto"/>
            <w:vAlign w:val="center"/>
          </w:tcPr>
          <w:p w14:paraId="15267EF8" w14:textId="1DAE2274" w:rsidR="00183EDD" w:rsidRPr="00A51E75" w:rsidRDefault="00183EDD" w:rsidP="00183EDD">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Revisión </w:t>
            </w:r>
            <w:r w:rsidR="00ED5249">
              <w:rPr>
                <w:rFonts w:asciiTheme="minorHAnsi" w:eastAsia="SimSun" w:hAnsiTheme="minorHAnsi" w:cstheme="minorHAnsi"/>
                <w:sz w:val="18"/>
                <w:szCs w:val="18"/>
              </w:rPr>
              <w:t>Medio Termino</w:t>
            </w:r>
            <w:r w:rsidRPr="00A51E75">
              <w:rPr>
                <w:rFonts w:asciiTheme="minorHAnsi" w:eastAsia="SimSun" w:hAnsiTheme="minorHAnsi" w:cstheme="minorHAnsi"/>
                <w:sz w:val="18"/>
                <w:szCs w:val="18"/>
              </w:rPr>
              <w:t xml:space="preserve"> (</w:t>
            </w:r>
            <w:r w:rsidR="003057B2">
              <w:rPr>
                <w:rFonts w:asciiTheme="minorHAnsi" w:eastAsia="SimSun" w:hAnsiTheme="minorHAnsi" w:cstheme="minorHAnsi"/>
                <w:sz w:val="18"/>
                <w:szCs w:val="18"/>
              </w:rPr>
              <w:t>RMT</w:t>
            </w:r>
            <w:r w:rsidRPr="00A51E75">
              <w:rPr>
                <w:rFonts w:asciiTheme="minorHAnsi" w:eastAsia="SimSun" w:hAnsiTheme="minorHAnsi" w:cstheme="minorHAnsi"/>
                <w:sz w:val="18"/>
                <w:szCs w:val="18"/>
              </w:rPr>
              <w:t xml:space="preserve">) </w:t>
            </w:r>
          </w:p>
        </w:tc>
        <w:tc>
          <w:tcPr>
            <w:tcW w:w="0" w:type="auto"/>
            <w:vAlign w:val="center"/>
          </w:tcPr>
          <w:p w14:paraId="00E1B5B2" w14:textId="5FA1885D"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Unidad de Gestión de Proyectos (</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xml:space="preserve">), consultores independientes </w:t>
            </w:r>
          </w:p>
        </w:tc>
        <w:tc>
          <w:tcPr>
            <w:tcW w:w="0" w:type="auto"/>
            <w:vAlign w:val="center"/>
          </w:tcPr>
          <w:p w14:paraId="6E042E70" w14:textId="77777777"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Producción vinculada a la gobernanza del paisaje, la conservación de la biodiversidad y las fusiones y evaluaciones </w:t>
            </w:r>
          </w:p>
        </w:tc>
        <w:tc>
          <w:tcPr>
            <w:tcW w:w="0" w:type="auto"/>
            <w:vAlign w:val="center"/>
          </w:tcPr>
          <w:p w14:paraId="31766CCC" w14:textId="77777777"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Resultado de la UNSDCF sobre sostenibilidad ambiental y desarrollo inclusivo y resiliente al clima </w:t>
            </w:r>
          </w:p>
        </w:tc>
        <w:tc>
          <w:tcPr>
            <w:tcW w:w="0" w:type="auto"/>
            <w:vAlign w:val="center"/>
          </w:tcPr>
          <w:p w14:paraId="27389D4F" w14:textId="1A2D46DB" w:rsidR="00183EDD" w:rsidRPr="003057B2"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Antes de la fecha de presentación del </w:t>
            </w:r>
            <w:r w:rsidR="003057B2">
              <w:rPr>
                <w:rFonts w:asciiTheme="minorHAnsi" w:eastAsia="SimSun" w:hAnsiTheme="minorHAnsi" w:cstheme="minorHAnsi"/>
                <w:sz w:val="18"/>
                <w:szCs w:val="18"/>
              </w:rPr>
              <w:t>RMT</w:t>
            </w:r>
            <w:r w:rsidRPr="00A51E75">
              <w:rPr>
                <w:rFonts w:asciiTheme="minorHAnsi" w:eastAsia="SimSun" w:hAnsiTheme="minorHAnsi" w:cstheme="minorHAnsi"/>
                <w:sz w:val="18"/>
                <w:szCs w:val="18"/>
              </w:rPr>
              <w:t xml:space="preserve"> indicada en la portada del Documento del Proyecto (aprox. Año 3) </w:t>
            </w:r>
          </w:p>
        </w:tc>
        <w:tc>
          <w:tcPr>
            <w:tcW w:w="0" w:type="auto"/>
            <w:vAlign w:val="center"/>
          </w:tcPr>
          <w:p w14:paraId="41F7B950" w14:textId="0C1B9C54"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Oficina Nacional del 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Pr="00A51E75">
              <w:rPr>
                <w:rFonts w:asciiTheme="minorHAnsi" w:eastAsia="SimSun" w:hAnsiTheme="minorHAnsi" w:cstheme="minorHAnsi"/>
                <w:sz w:val="18"/>
                <w:szCs w:val="18"/>
              </w:rPr>
              <w:t xml:space="preserve">, GAD provinciales y cantonales, organizaciones indígenas, comunidades locales, Comité Directivo del Proyecto, Punto Focal del </w:t>
            </w:r>
            <w:r w:rsidR="0078696E">
              <w:rPr>
                <w:rFonts w:asciiTheme="minorHAnsi" w:eastAsia="SimSun" w:hAnsiTheme="minorHAnsi" w:cstheme="minorHAnsi"/>
                <w:sz w:val="18"/>
                <w:szCs w:val="18"/>
              </w:rPr>
              <w:t>FMAM</w:t>
            </w:r>
          </w:p>
        </w:tc>
      </w:tr>
      <w:tr w:rsidR="00183EDD" w:rsidRPr="007D4F41" w14:paraId="4B8C9CB6" w14:textId="77777777" w:rsidTr="00183EDD">
        <w:tc>
          <w:tcPr>
            <w:tcW w:w="0" w:type="auto"/>
            <w:vAlign w:val="center"/>
          </w:tcPr>
          <w:p w14:paraId="5A72DE8D" w14:textId="116DF41E" w:rsidR="00183EDD" w:rsidRPr="00A51E75" w:rsidRDefault="00183EDD" w:rsidP="00183EDD">
            <w:pPr>
              <w:rPr>
                <w:rFonts w:asciiTheme="minorHAnsi" w:eastAsia="SimSun" w:hAnsiTheme="minorHAnsi" w:cstheme="minorHAnsi"/>
                <w:sz w:val="18"/>
                <w:szCs w:val="18"/>
                <w:lang w:val="en-US"/>
              </w:rPr>
            </w:pPr>
            <w:r w:rsidRPr="00A51E75">
              <w:rPr>
                <w:rFonts w:asciiTheme="minorHAnsi" w:eastAsia="SimSun" w:hAnsiTheme="minorHAnsi" w:cstheme="minorHAnsi"/>
                <w:sz w:val="18"/>
                <w:szCs w:val="18"/>
              </w:rPr>
              <w:t xml:space="preserve">Evaluación </w:t>
            </w:r>
            <w:r w:rsidR="003057B2">
              <w:rPr>
                <w:rFonts w:asciiTheme="minorHAnsi" w:eastAsia="SimSun" w:hAnsiTheme="minorHAnsi" w:cstheme="minorHAnsi"/>
                <w:sz w:val="18"/>
                <w:szCs w:val="18"/>
              </w:rPr>
              <w:t>Final Independiente</w:t>
            </w:r>
            <w:r w:rsidRPr="00A51E75">
              <w:rPr>
                <w:rFonts w:asciiTheme="minorHAnsi" w:eastAsia="SimSun" w:hAnsiTheme="minorHAnsi" w:cstheme="minorHAnsi"/>
                <w:sz w:val="18"/>
                <w:szCs w:val="18"/>
              </w:rPr>
              <w:t xml:space="preserve"> </w:t>
            </w:r>
            <w:r w:rsidR="003057B2">
              <w:rPr>
                <w:rFonts w:asciiTheme="minorHAnsi" w:eastAsia="SimSun" w:hAnsiTheme="minorHAnsi" w:cstheme="minorHAnsi"/>
                <w:sz w:val="18"/>
                <w:szCs w:val="18"/>
              </w:rPr>
              <w:t>(EFI)</w:t>
            </w:r>
            <w:r w:rsidRPr="00A51E75">
              <w:rPr>
                <w:rFonts w:asciiTheme="minorHAnsi" w:eastAsia="SimSun" w:hAnsiTheme="minorHAnsi" w:cstheme="minorHAnsi"/>
                <w:sz w:val="18"/>
                <w:szCs w:val="18"/>
              </w:rPr>
              <w:t xml:space="preserve"> </w:t>
            </w:r>
          </w:p>
        </w:tc>
        <w:tc>
          <w:tcPr>
            <w:tcW w:w="0" w:type="auto"/>
            <w:vAlign w:val="center"/>
          </w:tcPr>
          <w:p w14:paraId="03D0BAB1" w14:textId="541CD6A2"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Unidad de Gestión de Proyectos </w:t>
            </w:r>
            <w:r w:rsidRPr="00A51E75">
              <w:rPr>
                <w:rFonts w:asciiTheme="minorHAnsi" w:eastAsia="SimSun" w:hAnsiTheme="minorHAnsi" w:cstheme="minorHAnsi"/>
                <w:sz w:val="18"/>
                <w:szCs w:val="18"/>
              </w:rPr>
              <w:lastRenderedPageBreak/>
              <w:t>(</w:t>
            </w:r>
            <w:r w:rsidR="00547037">
              <w:rPr>
                <w:rFonts w:asciiTheme="minorHAnsi" w:eastAsia="SimSun" w:hAnsiTheme="minorHAnsi" w:cstheme="minorHAnsi"/>
                <w:sz w:val="18"/>
                <w:szCs w:val="18"/>
              </w:rPr>
              <w:t>UGP</w:t>
            </w:r>
            <w:r w:rsidRPr="00A51E75">
              <w:rPr>
                <w:rFonts w:asciiTheme="minorHAnsi" w:eastAsia="SimSun" w:hAnsiTheme="minorHAnsi" w:cstheme="minorHAnsi"/>
                <w:sz w:val="18"/>
                <w:szCs w:val="18"/>
              </w:rPr>
              <w:t xml:space="preserve">), consultores independientes </w:t>
            </w:r>
          </w:p>
        </w:tc>
        <w:tc>
          <w:tcPr>
            <w:tcW w:w="0" w:type="auto"/>
            <w:vAlign w:val="center"/>
          </w:tcPr>
          <w:p w14:paraId="7996C840" w14:textId="77777777"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lastRenderedPageBreak/>
              <w:t xml:space="preserve"> Producción vinculada a la restauración del paisaje, la </w:t>
            </w:r>
            <w:r w:rsidRPr="00A51E75">
              <w:rPr>
                <w:rFonts w:asciiTheme="minorHAnsi" w:eastAsia="SimSun" w:hAnsiTheme="minorHAnsi" w:cstheme="minorHAnsi"/>
                <w:sz w:val="18"/>
                <w:szCs w:val="18"/>
              </w:rPr>
              <w:lastRenderedPageBreak/>
              <w:t xml:space="preserve">sostenibilidad y la gestión del conocimiento </w:t>
            </w:r>
          </w:p>
        </w:tc>
        <w:tc>
          <w:tcPr>
            <w:tcW w:w="0" w:type="auto"/>
            <w:vAlign w:val="center"/>
          </w:tcPr>
          <w:p w14:paraId="288D490B" w14:textId="77777777"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lastRenderedPageBreak/>
              <w:t xml:space="preserve"> Resultado de la UNSDCF sobre soluciones basadas en la naturaleza </w:t>
            </w:r>
            <w:r w:rsidRPr="00A51E75">
              <w:rPr>
                <w:rFonts w:asciiTheme="minorHAnsi" w:eastAsia="SimSun" w:hAnsiTheme="minorHAnsi" w:cstheme="minorHAnsi"/>
                <w:sz w:val="18"/>
                <w:szCs w:val="18"/>
              </w:rPr>
              <w:lastRenderedPageBreak/>
              <w:t xml:space="preserve">y medios de vida resilientes </w:t>
            </w:r>
          </w:p>
        </w:tc>
        <w:tc>
          <w:tcPr>
            <w:tcW w:w="0" w:type="auto"/>
            <w:vAlign w:val="center"/>
          </w:tcPr>
          <w:p w14:paraId="4F380655" w14:textId="3F710247"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lastRenderedPageBreak/>
              <w:t xml:space="preserve"> Antes de la fecha de presentación de la</w:t>
            </w:r>
            <w:r w:rsidR="00ED5249">
              <w:rPr>
                <w:rFonts w:asciiTheme="minorHAnsi" w:eastAsia="SimSun" w:hAnsiTheme="minorHAnsi" w:cstheme="minorHAnsi"/>
                <w:sz w:val="18"/>
                <w:szCs w:val="18"/>
              </w:rPr>
              <w:t xml:space="preserve"> </w:t>
            </w:r>
            <w:r w:rsidR="003057B2">
              <w:rPr>
                <w:rFonts w:asciiTheme="minorHAnsi" w:eastAsia="SimSun" w:hAnsiTheme="minorHAnsi" w:cstheme="minorHAnsi"/>
                <w:sz w:val="18"/>
                <w:szCs w:val="18"/>
              </w:rPr>
              <w:t>EFI</w:t>
            </w:r>
            <w:r w:rsidR="00ED5249">
              <w:rPr>
                <w:rFonts w:asciiTheme="minorHAnsi" w:eastAsia="SimSun" w:hAnsiTheme="minorHAnsi" w:cstheme="minorHAnsi"/>
                <w:sz w:val="18"/>
                <w:szCs w:val="18"/>
              </w:rPr>
              <w:t xml:space="preserve"> </w:t>
            </w:r>
            <w:r w:rsidRPr="00A51E75">
              <w:rPr>
                <w:rFonts w:asciiTheme="minorHAnsi" w:eastAsia="SimSun" w:hAnsiTheme="minorHAnsi" w:cstheme="minorHAnsi"/>
                <w:sz w:val="18"/>
                <w:szCs w:val="18"/>
              </w:rPr>
              <w:t xml:space="preserve">indicada en la portada del </w:t>
            </w:r>
            <w:r w:rsidRPr="00A51E75">
              <w:rPr>
                <w:rFonts w:asciiTheme="minorHAnsi" w:eastAsia="SimSun" w:hAnsiTheme="minorHAnsi" w:cstheme="minorHAnsi"/>
                <w:sz w:val="18"/>
                <w:szCs w:val="18"/>
              </w:rPr>
              <w:lastRenderedPageBreak/>
              <w:t xml:space="preserve">Documento del Proyecto (dentro de los 6 meses posteriores al cierre) </w:t>
            </w:r>
          </w:p>
        </w:tc>
        <w:tc>
          <w:tcPr>
            <w:tcW w:w="0" w:type="auto"/>
            <w:vAlign w:val="center"/>
          </w:tcPr>
          <w:p w14:paraId="3357D4D4" w14:textId="7C0C2333" w:rsidR="00183EDD" w:rsidRPr="00D830D9" w:rsidRDefault="00183EDD" w:rsidP="00183EDD">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lastRenderedPageBreak/>
              <w:t xml:space="preserve">Oficina Nacional del PNUD,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MAGP</w:t>
            </w:r>
            <w:r w:rsidRPr="00A51E75">
              <w:rPr>
                <w:rFonts w:asciiTheme="minorHAnsi" w:eastAsia="SimSun" w:hAnsiTheme="minorHAnsi" w:cstheme="minorHAnsi"/>
                <w:sz w:val="18"/>
                <w:szCs w:val="18"/>
              </w:rPr>
              <w:t xml:space="preserve">, CONFENIAE, universidades, pueblos indígenas, comunidades </w:t>
            </w:r>
            <w:r w:rsidRPr="00A51E75">
              <w:rPr>
                <w:rFonts w:asciiTheme="minorHAnsi" w:eastAsia="SimSun" w:hAnsiTheme="minorHAnsi" w:cstheme="minorHAnsi"/>
                <w:sz w:val="18"/>
                <w:szCs w:val="18"/>
              </w:rPr>
              <w:lastRenderedPageBreak/>
              <w:t xml:space="preserve">beneficiarias, Comité Directivo del Proyecto, Punto Focal del </w:t>
            </w:r>
            <w:r w:rsidR="0078696E">
              <w:rPr>
                <w:rFonts w:asciiTheme="minorHAnsi" w:eastAsia="SimSun" w:hAnsiTheme="minorHAnsi" w:cstheme="minorHAnsi"/>
                <w:sz w:val="18"/>
                <w:szCs w:val="18"/>
              </w:rPr>
              <w:t>FMAM</w:t>
            </w:r>
          </w:p>
        </w:tc>
      </w:tr>
    </w:tbl>
    <w:p w14:paraId="09C35F82" w14:textId="77777777" w:rsidR="00183EDD" w:rsidRPr="00D830D9" w:rsidRDefault="00183EDD" w:rsidP="008B6F84">
      <w:pPr>
        <w:jc w:val="both"/>
        <w:rPr>
          <w:rFonts w:asciiTheme="minorHAnsi" w:eastAsia="SimSun" w:hAnsiTheme="minorHAnsi" w:cstheme="minorHAnsi"/>
          <w:sz w:val="20"/>
          <w:lang w:val="es-EC"/>
        </w:rPr>
      </w:pPr>
    </w:p>
    <w:p w14:paraId="0A3FB413" w14:textId="6D642F26" w:rsidR="00CB31DD" w:rsidRPr="00A51E75" w:rsidRDefault="00F36352" w:rsidP="00183EDD">
      <w:pPr>
        <w:pStyle w:val="Descripcin"/>
        <w:keepNext/>
        <w:jc w:val="center"/>
        <w:rPr>
          <w:rFonts w:asciiTheme="minorHAnsi" w:hAnsiTheme="minorHAnsi" w:cstheme="minorHAnsi"/>
        </w:rPr>
      </w:pPr>
      <w:bookmarkStart w:id="51" w:name="_Toc201073153"/>
      <w:r w:rsidRPr="00A51E75">
        <w:rPr>
          <w:rFonts w:asciiTheme="minorHAnsi" w:hAnsiTheme="minorHAnsi" w:cstheme="minorHAnsi"/>
        </w:rPr>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8</w:t>
      </w:r>
      <w:r w:rsidRPr="00A51E75">
        <w:rPr>
          <w:rFonts w:asciiTheme="minorHAnsi" w:hAnsiTheme="minorHAnsi" w:cstheme="minorHAnsi"/>
        </w:rPr>
        <w:fldChar w:fldCharType="end"/>
      </w:r>
      <w:r w:rsidRPr="00A51E75">
        <w:rPr>
          <w:rFonts w:asciiTheme="minorHAnsi" w:hAnsiTheme="minorHAnsi" w:cstheme="minorHAnsi"/>
        </w:rPr>
        <w:t>: Requisitos de M&amp;E</w:t>
      </w:r>
      <w:bookmarkEnd w:id="51"/>
    </w:p>
    <w:tbl>
      <w:tblPr>
        <w:tblStyle w:val="Tablaconcuadrcula"/>
        <w:tblW w:w="0" w:type="auto"/>
        <w:tblLook w:val="04A0" w:firstRow="1" w:lastRow="0" w:firstColumn="1" w:lastColumn="0" w:noHBand="0" w:noVBand="1"/>
      </w:tblPr>
      <w:tblGrid>
        <w:gridCol w:w="10898"/>
        <w:gridCol w:w="2052"/>
      </w:tblGrid>
      <w:tr w:rsidR="00183EDD" w:rsidRPr="00A51E75" w14:paraId="2BBEEDA0" w14:textId="77777777" w:rsidTr="00183EDD">
        <w:tc>
          <w:tcPr>
            <w:tcW w:w="0" w:type="auto"/>
            <w:shd w:val="clear" w:color="auto" w:fill="D9D9D9" w:themeFill="background1" w:themeFillShade="D9"/>
            <w:vAlign w:val="center"/>
          </w:tcPr>
          <w:p w14:paraId="2EA33A14" w14:textId="2E155EE0" w:rsidR="00183EDD" w:rsidRPr="00D830D9" w:rsidRDefault="00183EDD" w:rsidP="00183EDD">
            <w:pPr>
              <w:rPr>
                <w:rFonts w:asciiTheme="minorHAnsi" w:eastAsia="SimSun" w:hAnsiTheme="minorHAnsi" w:cstheme="minorHAnsi"/>
                <w:b/>
                <w:bCs/>
                <w:sz w:val="18"/>
                <w:szCs w:val="18"/>
                <w:lang w:val="es-EC"/>
              </w:rPr>
            </w:pPr>
            <w:r w:rsidRPr="00A51E75">
              <w:rPr>
                <w:rFonts w:asciiTheme="minorHAnsi" w:eastAsia="SimSun" w:hAnsiTheme="minorHAnsi" w:cstheme="minorHAnsi"/>
                <w:b/>
                <w:bCs/>
                <w:sz w:val="18"/>
                <w:szCs w:val="18"/>
              </w:rPr>
              <w:t>Requisitos de la Gestión de Proyectos (</w:t>
            </w:r>
            <w:r w:rsidR="00547037">
              <w:rPr>
                <w:rFonts w:asciiTheme="minorHAnsi" w:eastAsia="SimSun" w:hAnsiTheme="minorHAnsi" w:cstheme="minorHAnsi"/>
                <w:b/>
                <w:bCs/>
                <w:sz w:val="18"/>
                <w:szCs w:val="18"/>
              </w:rPr>
              <w:t>UGP</w:t>
            </w:r>
            <w:r w:rsidRPr="00A51E75">
              <w:rPr>
                <w:rFonts w:asciiTheme="minorHAnsi" w:eastAsia="SimSun" w:hAnsiTheme="minorHAnsi" w:cstheme="minorHAnsi"/>
                <w:b/>
                <w:bCs/>
                <w:sz w:val="18"/>
                <w:szCs w:val="18"/>
              </w:rPr>
              <w:t>) para asumir la Unidad de Gestión de Proyectos (</w:t>
            </w:r>
            <w:r w:rsidR="00547037">
              <w:rPr>
                <w:rFonts w:asciiTheme="minorHAnsi" w:eastAsia="SimSun" w:hAnsiTheme="minorHAnsi" w:cstheme="minorHAnsi"/>
                <w:b/>
                <w:bCs/>
                <w:sz w:val="18"/>
                <w:szCs w:val="18"/>
              </w:rPr>
              <w:t>UGP</w:t>
            </w:r>
            <w:r w:rsidRPr="00A51E75">
              <w:rPr>
                <w:rFonts w:asciiTheme="minorHAnsi" w:eastAsia="SimSun" w:hAnsiTheme="minorHAnsi" w:cstheme="minorHAnsi"/>
                <w:b/>
                <w:bCs/>
                <w:sz w:val="18"/>
                <w:szCs w:val="18"/>
              </w:rPr>
              <w:t xml:space="preserve">) </w:t>
            </w:r>
          </w:p>
        </w:tc>
        <w:tc>
          <w:tcPr>
            <w:tcW w:w="0" w:type="auto"/>
            <w:shd w:val="clear" w:color="auto" w:fill="D9D9D9" w:themeFill="background1" w:themeFillShade="D9"/>
            <w:vAlign w:val="center"/>
          </w:tcPr>
          <w:p w14:paraId="46F7CEA2" w14:textId="20F79792" w:rsidR="00183EDD" w:rsidRPr="00A51E75" w:rsidRDefault="00183EDD" w:rsidP="00183EDD">
            <w:pPr>
              <w:jc w:val="right"/>
              <w:rPr>
                <w:rFonts w:asciiTheme="minorHAnsi" w:eastAsia="SimSun" w:hAnsiTheme="minorHAnsi" w:cstheme="minorHAnsi"/>
                <w:b/>
                <w:bCs/>
                <w:sz w:val="18"/>
                <w:szCs w:val="18"/>
                <w:lang w:val="en-US"/>
              </w:rPr>
            </w:pPr>
            <w:r w:rsidRPr="00A51E75">
              <w:rPr>
                <w:rFonts w:asciiTheme="minorHAnsi" w:eastAsia="SimSun" w:hAnsiTheme="minorHAnsi" w:cstheme="minorHAnsi"/>
                <w:b/>
                <w:bCs/>
                <w:sz w:val="18"/>
                <w:szCs w:val="18"/>
              </w:rPr>
              <w:t xml:space="preserve"> </w:t>
            </w:r>
            <w:r w:rsidR="00AF6ED3">
              <w:rPr>
                <w:rFonts w:asciiTheme="minorHAnsi" w:eastAsia="SimSun" w:hAnsiTheme="minorHAnsi" w:cstheme="minorHAnsi"/>
                <w:b/>
                <w:bCs/>
                <w:sz w:val="18"/>
                <w:szCs w:val="18"/>
              </w:rPr>
              <w:t>Costos</w:t>
            </w:r>
            <w:r w:rsidRPr="00A51E75">
              <w:rPr>
                <w:rFonts w:asciiTheme="minorHAnsi" w:eastAsia="SimSun" w:hAnsiTheme="minorHAnsi" w:cstheme="minorHAnsi"/>
                <w:b/>
                <w:bCs/>
                <w:sz w:val="18"/>
                <w:szCs w:val="18"/>
              </w:rPr>
              <w:t xml:space="preserve"> indicativos (USD)</w:t>
            </w:r>
          </w:p>
        </w:tc>
      </w:tr>
      <w:tr w:rsidR="00ED5249" w:rsidRPr="00A51E75" w14:paraId="72736C85" w14:textId="77777777" w:rsidTr="00183EDD">
        <w:tc>
          <w:tcPr>
            <w:tcW w:w="0" w:type="auto"/>
            <w:vAlign w:val="center"/>
          </w:tcPr>
          <w:p w14:paraId="56AEE59F" w14:textId="77777777"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Taller </w:t>
            </w:r>
            <w:proofErr w:type="spellStart"/>
            <w:r w:rsidRPr="00A51E75">
              <w:rPr>
                <w:rFonts w:asciiTheme="minorHAnsi" w:eastAsia="SimSun" w:hAnsiTheme="minorHAnsi" w:cstheme="minorHAnsi"/>
                <w:sz w:val="18"/>
                <w:szCs w:val="18"/>
              </w:rPr>
              <w:t>y</w:t>
            </w:r>
            <w:proofErr w:type="spellEnd"/>
            <w:r w:rsidRPr="00A51E75">
              <w:rPr>
                <w:rFonts w:asciiTheme="minorHAnsi" w:eastAsia="SimSun" w:hAnsiTheme="minorHAnsi" w:cstheme="minorHAnsi"/>
                <w:sz w:val="18"/>
                <w:szCs w:val="18"/>
              </w:rPr>
              <w:t xml:space="preserve"> Informe de Inicio </w:t>
            </w:r>
          </w:p>
        </w:tc>
        <w:tc>
          <w:tcPr>
            <w:tcW w:w="0" w:type="auto"/>
            <w:vAlign w:val="center"/>
          </w:tcPr>
          <w:p w14:paraId="0EABDE14" w14:textId="23B45474"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$5,000.00</w:t>
            </w:r>
          </w:p>
        </w:tc>
      </w:tr>
      <w:tr w:rsidR="00ED5249" w:rsidRPr="00A51E75" w14:paraId="2314DC96" w14:textId="77777777" w:rsidTr="00183EDD">
        <w:tc>
          <w:tcPr>
            <w:tcW w:w="0" w:type="auto"/>
            <w:vAlign w:val="center"/>
          </w:tcPr>
          <w:p w14:paraId="5117208D" w14:textId="7B89D93A"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 requiere que M&amp;E informe sobre los indicadores centrales del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y los resultados del proyecto (seguimiento técnico del marco de resultados) </w:t>
            </w:r>
          </w:p>
        </w:tc>
        <w:tc>
          <w:tcPr>
            <w:tcW w:w="0" w:type="auto"/>
            <w:vAlign w:val="center"/>
          </w:tcPr>
          <w:p w14:paraId="7F48B356" w14:textId="4356EDBC"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$136,300.00</w:t>
            </w:r>
          </w:p>
        </w:tc>
      </w:tr>
      <w:tr w:rsidR="00ED5249" w:rsidRPr="00A51E75" w14:paraId="6B1BBE3E" w14:textId="77777777" w:rsidTr="00183EDD">
        <w:tc>
          <w:tcPr>
            <w:tcW w:w="0" w:type="auto"/>
            <w:vAlign w:val="center"/>
          </w:tcPr>
          <w:p w14:paraId="725F2129" w14:textId="55AEFD2D"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Preparación del Informe de Implementación del Proyecto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(PIR) </w:t>
            </w:r>
          </w:p>
        </w:tc>
        <w:tc>
          <w:tcPr>
            <w:tcW w:w="0" w:type="auto"/>
            <w:vAlign w:val="center"/>
          </w:tcPr>
          <w:p w14:paraId="4688045A" w14:textId="6D81059F"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$6,000.00</w:t>
            </w:r>
          </w:p>
        </w:tc>
      </w:tr>
      <w:tr w:rsidR="00ED5249" w:rsidRPr="00A51E75" w14:paraId="620096C3" w14:textId="77777777" w:rsidTr="00183EDD">
        <w:tc>
          <w:tcPr>
            <w:tcW w:w="0" w:type="auto"/>
            <w:vAlign w:val="center"/>
          </w:tcPr>
          <w:p w14:paraId="225E50A7" w14:textId="77777777"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Seguimiento de salvaguardas y Plan de Acción de Género (seguimiento parcial según el plan) </w:t>
            </w:r>
          </w:p>
        </w:tc>
        <w:tc>
          <w:tcPr>
            <w:tcW w:w="0" w:type="auto"/>
            <w:vAlign w:val="center"/>
          </w:tcPr>
          <w:p w14:paraId="1748E186" w14:textId="5FEBE2A3"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$12,000.00</w:t>
            </w:r>
          </w:p>
        </w:tc>
      </w:tr>
      <w:tr w:rsidR="00ED5249" w:rsidRPr="00A51E75" w14:paraId="4F3CB508" w14:textId="77777777" w:rsidTr="00183EDD">
        <w:tc>
          <w:tcPr>
            <w:tcW w:w="0" w:type="auto"/>
            <w:vAlign w:val="center"/>
          </w:tcPr>
          <w:p w14:paraId="4BA4A2D0" w14:textId="77777777"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Misiones de supervisión (supervisión técnica y operativa anual) </w:t>
            </w:r>
          </w:p>
        </w:tc>
        <w:tc>
          <w:tcPr>
            <w:tcW w:w="0" w:type="auto"/>
            <w:vAlign w:val="center"/>
          </w:tcPr>
          <w:p w14:paraId="0606D597" w14:textId="17EF5CB2"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$10,000.00</w:t>
            </w:r>
          </w:p>
        </w:tc>
      </w:tr>
      <w:tr w:rsidR="00ED5249" w:rsidRPr="00A51E75" w14:paraId="33E4ED73" w14:textId="77777777" w:rsidTr="00183EDD">
        <w:tc>
          <w:tcPr>
            <w:tcW w:w="0" w:type="auto"/>
            <w:vAlign w:val="center"/>
          </w:tcPr>
          <w:p w14:paraId="66F9D011" w14:textId="77777777"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Misiones de aprendizaje (según sea necesario; incluye sistematización y difusión de las lecciones aprendidas) </w:t>
            </w:r>
          </w:p>
        </w:tc>
        <w:tc>
          <w:tcPr>
            <w:tcW w:w="0" w:type="auto"/>
            <w:vAlign w:val="center"/>
          </w:tcPr>
          <w:p w14:paraId="18B0060D" w14:textId="77BD4443"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$5,000.00</w:t>
            </w:r>
          </w:p>
        </w:tc>
      </w:tr>
      <w:tr w:rsidR="00ED5249" w:rsidRPr="00A51E75" w14:paraId="40EBCD14" w14:textId="77777777" w:rsidTr="00183EDD">
        <w:tc>
          <w:tcPr>
            <w:tcW w:w="0" w:type="auto"/>
            <w:vAlign w:val="center"/>
          </w:tcPr>
          <w:p w14:paraId="70762E9D" w14:textId="73A4D1C7"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Revisión a medio </w:t>
            </w:r>
            <w:r>
              <w:rPr>
                <w:rFonts w:asciiTheme="minorHAnsi" w:eastAsia="SimSun" w:hAnsiTheme="minorHAnsi" w:cstheme="minorHAnsi"/>
                <w:sz w:val="18"/>
                <w:szCs w:val="18"/>
              </w:rPr>
              <w:t xml:space="preserve">termino </w:t>
            </w:r>
            <w:r w:rsidRPr="00A51E75">
              <w:rPr>
                <w:rFonts w:asciiTheme="minorHAnsi" w:eastAsia="SimSun" w:hAnsiTheme="minorHAnsi" w:cstheme="minorHAnsi"/>
                <w:sz w:val="18"/>
                <w:szCs w:val="18"/>
              </w:rPr>
              <w:t>(</w:t>
            </w:r>
            <w:r>
              <w:rPr>
                <w:rFonts w:asciiTheme="minorHAnsi" w:eastAsia="SimSun" w:hAnsiTheme="minorHAnsi" w:cstheme="minorHAnsi"/>
                <w:sz w:val="18"/>
                <w:szCs w:val="18"/>
              </w:rPr>
              <w:t>RMT</w:t>
            </w:r>
            <w:r w:rsidRPr="00A51E75">
              <w:rPr>
                <w:rFonts w:asciiTheme="minorHAnsi" w:eastAsia="SimSun" w:hAnsiTheme="minorHAnsi" w:cstheme="minorHAnsi"/>
                <w:sz w:val="18"/>
                <w:szCs w:val="18"/>
              </w:rPr>
              <w:t xml:space="preserve">) – </w:t>
            </w:r>
            <w:r w:rsidR="00AF6ED3">
              <w:rPr>
                <w:rFonts w:asciiTheme="minorHAnsi" w:eastAsia="SimSun" w:hAnsiTheme="minorHAnsi" w:cstheme="minorHAnsi"/>
                <w:sz w:val="18"/>
                <w:szCs w:val="18"/>
              </w:rPr>
              <w:t>costos</w:t>
            </w:r>
            <w:r w:rsidRPr="00A51E75">
              <w:rPr>
                <w:rFonts w:asciiTheme="minorHAnsi" w:eastAsia="SimSun" w:hAnsiTheme="minorHAnsi" w:cstheme="minorHAnsi"/>
                <w:sz w:val="18"/>
                <w:szCs w:val="18"/>
              </w:rPr>
              <w:t xml:space="preserve"> cubiertos por el PNUD (consultores internacionales) </w:t>
            </w:r>
          </w:p>
        </w:tc>
        <w:tc>
          <w:tcPr>
            <w:tcW w:w="0" w:type="auto"/>
            <w:vAlign w:val="center"/>
          </w:tcPr>
          <w:p w14:paraId="00E73513" w14:textId="588B6F16" w:rsidR="00ED5249" w:rsidRPr="00A51E75" w:rsidRDefault="00ED5249" w:rsidP="00ED5249">
            <w:pPr>
              <w:jc w:val="right"/>
              <w:rPr>
                <w:rFonts w:asciiTheme="minorHAnsi" w:eastAsia="SimSun" w:hAnsiTheme="minorHAnsi" w:cstheme="minorBidi"/>
                <w:sz w:val="18"/>
                <w:szCs w:val="18"/>
                <w:lang w:val="en-US"/>
              </w:rPr>
            </w:pPr>
            <w:r>
              <w:rPr>
                <w:rFonts w:ascii="Calibri" w:hAnsi="Calibri" w:cs="Calibri"/>
                <w:color w:val="000000"/>
                <w:sz w:val="18"/>
                <w:szCs w:val="18"/>
              </w:rPr>
              <w:t>$37,261.00</w:t>
            </w:r>
          </w:p>
        </w:tc>
      </w:tr>
      <w:tr w:rsidR="00ED5249" w:rsidRPr="00A51E75" w14:paraId="1AB591E6" w14:textId="77777777" w:rsidTr="00183EDD">
        <w:tc>
          <w:tcPr>
            <w:tcW w:w="0" w:type="auto"/>
            <w:vAlign w:val="center"/>
          </w:tcPr>
          <w:p w14:paraId="3127546E" w14:textId="3F331570"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Evaluación </w:t>
            </w:r>
            <w:r>
              <w:rPr>
                <w:rFonts w:asciiTheme="minorHAnsi" w:eastAsia="SimSun" w:hAnsiTheme="minorHAnsi" w:cstheme="minorHAnsi"/>
                <w:sz w:val="18"/>
                <w:szCs w:val="18"/>
              </w:rPr>
              <w:t>Final Independiente</w:t>
            </w:r>
            <w:r w:rsidRPr="00A51E75">
              <w:rPr>
                <w:rFonts w:asciiTheme="minorHAnsi" w:eastAsia="SimSun" w:hAnsiTheme="minorHAnsi" w:cstheme="minorHAnsi"/>
                <w:sz w:val="18"/>
                <w:szCs w:val="18"/>
              </w:rPr>
              <w:t xml:space="preserve"> </w:t>
            </w:r>
            <w:r>
              <w:rPr>
                <w:rFonts w:asciiTheme="minorHAnsi" w:eastAsia="SimSun" w:hAnsiTheme="minorHAnsi" w:cstheme="minorHAnsi"/>
                <w:sz w:val="18"/>
                <w:szCs w:val="18"/>
              </w:rPr>
              <w:t>(EFI)</w:t>
            </w:r>
            <w:r w:rsidRPr="00A51E75">
              <w:rPr>
                <w:rFonts w:asciiTheme="minorHAnsi" w:eastAsia="SimSun" w:hAnsiTheme="minorHAnsi" w:cstheme="minorHAnsi"/>
                <w:sz w:val="18"/>
                <w:szCs w:val="18"/>
              </w:rPr>
              <w:t xml:space="preserve"> – </w:t>
            </w:r>
            <w:r w:rsidR="00AF6ED3">
              <w:rPr>
                <w:rFonts w:asciiTheme="minorHAnsi" w:eastAsia="SimSun" w:hAnsiTheme="minorHAnsi" w:cstheme="minorHAnsi"/>
                <w:sz w:val="18"/>
                <w:szCs w:val="18"/>
              </w:rPr>
              <w:t>costos</w:t>
            </w:r>
            <w:r w:rsidRPr="00A51E75">
              <w:rPr>
                <w:rFonts w:asciiTheme="minorHAnsi" w:eastAsia="SimSun" w:hAnsiTheme="minorHAnsi" w:cstheme="minorHAnsi"/>
                <w:sz w:val="18"/>
                <w:szCs w:val="18"/>
              </w:rPr>
              <w:t xml:space="preserve"> cubiertos por el PNUD (consultores internacionales) </w:t>
            </w:r>
          </w:p>
        </w:tc>
        <w:tc>
          <w:tcPr>
            <w:tcW w:w="0" w:type="auto"/>
            <w:vAlign w:val="center"/>
          </w:tcPr>
          <w:p w14:paraId="4CDECEEF" w14:textId="200611BF" w:rsidR="00ED5249" w:rsidRPr="00A51E75" w:rsidRDefault="00ED5249" w:rsidP="00ED5249">
            <w:pPr>
              <w:jc w:val="right"/>
              <w:rPr>
                <w:rFonts w:asciiTheme="minorHAnsi" w:eastAsia="SimSun" w:hAnsiTheme="minorHAnsi" w:cstheme="minorBidi"/>
                <w:sz w:val="18"/>
                <w:szCs w:val="18"/>
                <w:lang w:val="en-US"/>
              </w:rPr>
            </w:pPr>
            <w:r>
              <w:rPr>
                <w:rFonts w:ascii="Calibri" w:hAnsi="Calibri" w:cs="Calibri"/>
                <w:color w:val="000000"/>
                <w:sz w:val="18"/>
                <w:szCs w:val="18"/>
              </w:rPr>
              <w:t>$37,262.00</w:t>
            </w:r>
          </w:p>
        </w:tc>
      </w:tr>
      <w:tr w:rsidR="00ED5249" w:rsidRPr="00A51E75" w14:paraId="22EB9D8F" w14:textId="77777777" w:rsidTr="00183EDD">
        <w:tc>
          <w:tcPr>
            <w:tcW w:w="0" w:type="auto"/>
            <w:vAlign w:val="center"/>
          </w:tcPr>
          <w:p w14:paraId="42AAEDAF" w14:textId="77777777" w:rsidR="00ED5249" w:rsidRPr="00D830D9" w:rsidRDefault="00ED5249" w:rsidP="00ED5249">
            <w:pPr>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Gastos diversos para garantizar la calidad y visibilidad del proceso de evaluación (traducción, impresión, sistematización, difusión) </w:t>
            </w:r>
          </w:p>
        </w:tc>
        <w:tc>
          <w:tcPr>
            <w:tcW w:w="0" w:type="auto"/>
            <w:vAlign w:val="center"/>
          </w:tcPr>
          <w:p w14:paraId="326D3734" w14:textId="6D7E66FC" w:rsidR="00ED5249" w:rsidRPr="00A51E75" w:rsidRDefault="00ED5249" w:rsidP="00ED5249">
            <w:pPr>
              <w:jc w:val="right"/>
              <w:rPr>
                <w:rFonts w:asciiTheme="minorHAnsi" w:eastAsia="SimSun" w:hAnsiTheme="minorHAnsi" w:cstheme="minorHAnsi"/>
                <w:sz w:val="18"/>
                <w:szCs w:val="18"/>
                <w:lang w:val="en-US"/>
              </w:rPr>
            </w:pPr>
            <w:r>
              <w:rPr>
                <w:rFonts w:ascii="Calibri" w:hAnsi="Calibri" w:cs="Calibri"/>
                <w:color w:val="000000"/>
                <w:sz w:val="18"/>
                <w:szCs w:val="18"/>
              </w:rPr>
              <w:t>$20,650.00</w:t>
            </w:r>
          </w:p>
        </w:tc>
      </w:tr>
      <w:tr w:rsidR="00ED5249" w:rsidRPr="00A51E75" w14:paraId="250D5C60" w14:textId="77777777" w:rsidTr="00183EDD">
        <w:tc>
          <w:tcPr>
            <w:tcW w:w="0" w:type="auto"/>
            <w:vAlign w:val="center"/>
          </w:tcPr>
          <w:p w14:paraId="44083E5B" w14:textId="5AC70CA3" w:rsidR="00ED5249" w:rsidRPr="00895463" w:rsidRDefault="00AF6ED3" w:rsidP="00ED5249">
            <w:pPr>
              <w:rPr>
                <w:rFonts w:asciiTheme="minorHAnsi" w:eastAsia="SimSun" w:hAnsiTheme="minorHAnsi" w:cstheme="minorHAnsi"/>
                <w:b/>
                <w:bCs/>
                <w:sz w:val="18"/>
                <w:szCs w:val="18"/>
                <w:lang w:val="es-EC"/>
              </w:rPr>
            </w:pPr>
            <w:r>
              <w:rPr>
                <w:rFonts w:asciiTheme="minorHAnsi" w:eastAsia="SimSun" w:hAnsiTheme="minorHAnsi" w:cstheme="minorHAnsi"/>
                <w:b/>
                <w:bCs/>
                <w:sz w:val="18"/>
                <w:szCs w:val="18"/>
              </w:rPr>
              <w:t>COSTOS</w:t>
            </w:r>
            <w:r w:rsidR="00ED5249" w:rsidRPr="00A51E75">
              <w:rPr>
                <w:rFonts w:asciiTheme="minorHAnsi" w:eastAsia="SimSun" w:hAnsiTheme="minorHAnsi" w:cstheme="minorHAnsi"/>
                <w:b/>
                <w:bCs/>
                <w:sz w:val="18"/>
                <w:szCs w:val="18"/>
              </w:rPr>
              <w:t xml:space="preserve"> TOTALES INDICATIVOS DE M&amp;E </w:t>
            </w:r>
          </w:p>
        </w:tc>
        <w:tc>
          <w:tcPr>
            <w:tcW w:w="0" w:type="auto"/>
            <w:vAlign w:val="center"/>
          </w:tcPr>
          <w:p w14:paraId="0B4D06DF" w14:textId="6604E7EE" w:rsidR="00ED5249" w:rsidRPr="00A51E75" w:rsidRDefault="00ED5249" w:rsidP="00ED5249">
            <w:pPr>
              <w:jc w:val="right"/>
              <w:rPr>
                <w:rFonts w:asciiTheme="minorHAnsi" w:eastAsia="SimSun" w:hAnsiTheme="minorHAnsi" w:cstheme="minorHAnsi"/>
                <w:b/>
                <w:bCs/>
                <w:sz w:val="18"/>
                <w:szCs w:val="18"/>
                <w:lang w:val="en-US"/>
              </w:rPr>
            </w:pPr>
            <w:r>
              <w:rPr>
                <w:rFonts w:ascii="Calibri" w:hAnsi="Calibri" w:cs="Calibri"/>
                <w:b/>
                <w:bCs/>
                <w:color w:val="000000"/>
                <w:sz w:val="18"/>
                <w:szCs w:val="18"/>
              </w:rPr>
              <w:t>$269,473.00</w:t>
            </w:r>
          </w:p>
        </w:tc>
      </w:tr>
    </w:tbl>
    <w:p w14:paraId="130755D1" w14:textId="77777777" w:rsidR="00311AB5" w:rsidRPr="00A51E75" w:rsidRDefault="00311AB5" w:rsidP="008B6F84">
      <w:pPr>
        <w:jc w:val="both"/>
        <w:rPr>
          <w:rFonts w:asciiTheme="minorHAnsi" w:eastAsia="SimSun" w:hAnsiTheme="minorHAnsi" w:cstheme="minorHAnsi"/>
          <w:sz w:val="20"/>
          <w:lang w:val="en-US"/>
        </w:rPr>
      </w:pPr>
    </w:p>
    <w:bookmarkEnd w:id="35"/>
    <w:p w14:paraId="49B46316" w14:textId="77777777" w:rsidR="008B6F84" w:rsidRPr="00A51E75" w:rsidRDefault="008B6F84" w:rsidP="008B6F84">
      <w:pPr>
        <w:keepNext/>
        <w:pBdr>
          <w:top w:val="single" w:sz="4" w:space="1" w:color="auto"/>
        </w:pBdr>
        <w:tabs>
          <w:tab w:val="num" w:pos="720"/>
        </w:tabs>
        <w:suppressAutoHyphens/>
        <w:ind w:left="720" w:hanging="720"/>
        <w:jc w:val="both"/>
        <w:outlineLvl w:val="0"/>
        <w:rPr>
          <w:rFonts w:asciiTheme="minorHAnsi" w:eastAsia="SimSun" w:hAnsiTheme="minorHAnsi" w:cstheme="minorHAnsi"/>
          <w:b/>
          <w:smallCaps/>
          <w:spacing w:val="-2"/>
          <w:sz w:val="28"/>
          <w:szCs w:val="20"/>
          <w:lang w:val="en-US"/>
        </w:rPr>
        <w:sectPr w:rsidR="008B6F84" w:rsidRPr="00A51E75" w:rsidSect="008B6F84">
          <w:pgSz w:w="15840" w:h="12240" w:orient="landscape" w:code="1"/>
          <w:pgMar w:top="1440" w:right="1440" w:bottom="1440" w:left="1440" w:header="720" w:footer="432" w:gutter="0"/>
          <w:cols w:space="708"/>
          <w:titlePg/>
          <w:docGrid w:linePitch="360"/>
        </w:sectPr>
      </w:pPr>
    </w:p>
    <w:p w14:paraId="284A0E39" w14:textId="77777777" w:rsidR="008B6F84" w:rsidRPr="00A51E75" w:rsidRDefault="00211737" w:rsidP="008B6F84">
      <w:pPr>
        <w:keepNext/>
        <w:pBdr>
          <w:top w:val="single" w:sz="4" w:space="1" w:color="auto"/>
        </w:pBdr>
        <w:tabs>
          <w:tab w:val="num" w:pos="720"/>
        </w:tabs>
        <w:suppressAutoHyphens/>
        <w:ind w:left="720" w:hanging="720"/>
        <w:jc w:val="both"/>
        <w:outlineLvl w:val="0"/>
        <w:rPr>
          <w:rFonts w:asciiTheme="minorHAnsi" w:eastAsia="SimSun" w:hAnsiTheme="minorHAnsi" w:cstheme="minorHAnsi"/>
          <w:b/>
          <w:smallCaps/>
          <w:spacing w:val="-2"/>
          <w:sz w:val="28"/>
          <w:szCs w:val="20"/>
          <w:lang w:val="en-US"/>
        </w:rPr>
      </w:pPr>
      <w:bookmarkStart w:id="52" w:name="_Toc221696299"/>
      <w:bookmarkStart w:id="53" w:name="_Hlk196301366"/>
      <w:r w:rsidRPr="00A51E75">
        <w:rPr>
          <w:rFonts w:asciiTheme="minorHAnsi" w:eastAsia="SimSun" w:hAnsiTheme="minorHAnsi" w:cstheme="minorHAnsi"/>
          <w:b/>
          <w:smallCaps/>
          <w:spacing w:val="-2"/>
          <w:sz w:val="28"/>
          <w:szCs w:val="20"/>
        </w:rPr>
        <w:lastRenderedPageBreak/>
        <w:t>Gobernanza y Gestión</w:t>
      </w:r>
      <w:bookmarkEnd w:id="52"/>
      <w:r w:rsidRPr="00A51E75">
        <w:rPr>
          <w:rFonts w:asciiTheme="minorHAnsi" w:eastAsia="SimSun" w:hAnsiTheme="minorHAnsi" w:cstheme="minorHAnsi"/>
          <w:b/>
          <w:smallCaps/>
          <w:spacing w:val="-2"/>
          <w:sz w:val="28"/>
          <w:szCs w:val="20"/>
        </w:rPr>
        <w:t xml:space="preserve"> </w:t>
      </w:r>
    </w:p>
    <w:p w14:paraId="3C106245" w14:textId="77777777" w:rsidR="008B6F84" w:rsidRPr="00A51E75" w:rsidRDefault="008B6F84" w:rsidP="008B6F84">
      <w:pPr>
        <w:jc w:val="both"/>
        <w:rPr>
          <w:rFonts w:asciiTheme="minorHAnsi" w:eastAsia="SimSun" w:hAnsiTheme="minorHAnsi" w:cstheme="minorHAnsi"/>
          <w:b/>
          <w:i/>
          <w:noProof/>
          <w:sz w:val="20"/>
          <w:szCs w:val="20"/>
          <w:lang w:val="en-US" w:eastAsia="zh-CN"/>
        </w:rPr>
      </w:pPr>
    </w:p>
    <w:p w14:paraId="46A9B9C7" w14:textId="77777777" w:rsidR="003525B9" w:rsidRPr="00A51E75" w:rsidRDefault="003525B9" w:rsidP="008B6F84">
      <w:pPr>
        <w:jc w:val="both"/>
        <w:rPr>
          <w:rFonts w:asciiTheme="minorHAnsi" w:eastAsia="SimSun" w:hAnsiTheme="minorHAnsi" w:cstheme="minorHAnsi"/>
          <w:b/>
          <w:i/>
          <w:noProof/>
          <w:sz w:val="20"/>
          <w:szCs w:val="20"/>
          <w:lang w:val="en-US" w:eastAsia="zh-CN"/>
        </w:rPr>
      </w:pPr>
    </w:p>
    <w:p w14:paraId="19BE98DC" w14:textId="77777777" w:rsidR="003F7D8D" w:rsidRPr="00D830D9" w:rsidRDefault="003F7D8D" w:rsidP="003F7D8D">
      <w:pPr>
        <w:jc w:val="both"/>
        <w:rPr>
          <w:rFonts w:asciiTheme="minorHAnsi" w:eastAsia="SimSun" w:hAnsiTheme="minorHAnsi" w:cstheme="minorHAnsi"/>
          <w:b/>
          <w:bCs/>
          <w:iCs/>
          <w:noProof/>
          <w:lang w:val="es-EC" w:eastAsia="zh-CN"/>
        </w:rPr>
      </w:pPr>
      <w:r w:rsidRPr="00A51E75">
        <w:rPr>
          <w:rFonts w:asciiTheme="minorHAnsi" w:eastAsia="SimSun" w:hAnsiTheme="minorHAnsi" w:cstheme="minorHAnsi"/>
          <w:b/>
          <w:bCs/>
          <w:iCs/>
          <w:noProof/>
          <w:lang w:eastAsia="zh-CN"/>
        </w:rPr>
        <w:t>Sección 1: Roles y responsabilidades generales en el mecanismo de gobernanza del proyecto</w:t>
      </w:r>
    </w:p>
    <w:p w14:paraId="7064DD4C" w14:textId="77777777" w:rsidR="009E721B" w:rsidRPr="00D830D9" w:rsidRDefault="009E721B" w:rsidP="003F7D8D">
      <w:pPr>
        <w:jc w:val="both"/>
        <w:rPr>
          <w:rFonts w:asciiTheme="minorHAnsi" w:eastAsia="SimSun" w:hAnsiTheme="minorHAnsi" w:cstheme="minorHAnsi"/>
          <w:bCs/>
          <w:iCs/>
          <w:noProof/>
          <w:sz w:val="20"/>
          <w:szCs w:val="20"/>
          <w:lang w:val="es-EC" w:eastAsia="zh-CN"/>
        </w:rPr>
      </w:pPr>
    </w:p>
    <w:p w14:paraId="50399BAC" w14:textId="13487F91" w:rsidR="00C33E9E" w:rsidRPr="00D830D9" w:rsidRDefault="5CB4F857"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eastAsia="zh-CN"/>
        </w:rPr>
      </w:pPr>
      <w:r w:rsidRPr="00A51E75">
        <w:rPr>
          <w:rFonts w:asciiTheme="minorHAnsi" w:eastAsia="SimSun" w:hAnsiTheme="minorHAnsi" w:cstheme="minorHAnsi"/>
          <w:sz w:val="20"/>
          <w:szCs w:val="20"/>
          <w:lang w:eastAsia="zh-CN"/>
        </w:rPr>
        <w:t xml:space="preserve">Socio Implementador: El Socio </w:t>
      </w:r>
      <w:r w:rsidR="00716662">
        <w:rPr>
          <w:rFonts w:asciiTheme="minorHAnsi" w:eastAsia="SimSun" w:hAnsiTheme="minorHAnsi" w:cstheme="minorHAnsi"/>
          <w:sz w:val="20"/>
          <w:szCs w:val="20"/>
          <w:lang w:eastAsia="zh-CN"/>
        </w:rPr>
        <w:t>Implementador</w:t>
      </w:r>
      <w:r w:rsidRPr="00A51E75">
        <w:rPr>
          <w:rFonts w:asciiTheme="minorHAnsi" w:eastAsia="SimSun" w:hAnsiTheme="minorHAnsi" w:cstheme="minorHAnsi"/>
          <w:sz w:val="20"/>
          <w:szCs w:val="20"/>
          <w:lang w:eastAsia="zh-CN"/>
        </w:rPr>
        <w:t xml:space="preserve"> de este proyecto es el </w:t>
      </w:r>
      <w:r w:rsidR="001F48AE">
        <w:rPr>
          <w:rFonts w:asciiTheme="minorHAnsi" w:eastAsia="SimSun" w:hAnsiTheme="minorHAnsi" w:cstheme="minorHAnsi"/>
          <w:sz w:val="20"/>
          <w:szCs w:val="20"/>
          <w:lang w:eastAsia="zh-CN"/>
        </w:rPr>
        <w:t>Ministerio de Medio Ambiente y Energía</w:t>
      </w:r>
      <w:r w:rsidRPr="00A51E75">
        <w:rPr>
          <w:rFonts w:asciiTheme="minorHAnsi" w:eastAsia="SimSun" w:hAnsiTheme="minorHAnsi" w:cstheme="minorHAnsi"/>
          <w:sz w:val="20"/>
          <w:szCs w:val="20"/>
          <w:lang w:eastAsia="zh-CN"/>
        </w:rPr>
        <w:t xml:space="preserve"> (</w:t>
      </w:r>
      <w:r w:rsidR="009E221F">
        <w:rPr>
          <w:rFonts w:asciiTheme="minorHAnsi" w:eastAsia="SimSun" w:hAnsiTheme="minorHAnsi" w:cstheme="minorHAnsi"/>
          <w:sz w:val="20"/>
          <w:szCs w:val="20"/>
          <w:lang w:eastAsia="zh-CN"/>
        </w:rPr>
        <w:t>MAE</w:t>
      </w:r>
      <w:r w:rsidRPr="00A51E75">
        <w:rPr>
          <w:rFonts w:asciiTheme="minorHAnsi" w:eastAsia="SimSun" w:hAnsiTheme="minorHAnsi" w:cstheme="minorHAnsi"/>
          <w:sz w:val="20"/>
          <w:szCs w:val="20"/>
          <w:lang w:eastAsia="zh-CN"/>
        </w:rPr>
        <w:t>).</w:t>
      </w:r>
    </w:p>
    <w:p w14:paraId="030E1D41" w14:textId="205C30B9" w:rsidR="00C33E9E" w:rsidRPr="00D830D9" w:rsidRDefault="45D14AD4"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eastAsia="zh-CN"/>
        </w:rPr>
      </w:pPr>
      <w:r w:rsidRPr="00A51E75">
        <w:rPr>
          <w:rFonts w:asciiTheme="minorHAnsi" w:eastAsia="SimSun" w:hAnsiTheme="minorHAnsi" w:cstheme="minorBidi"/>
          <w:noProof/>
          <w:sz w:val="20"/>
          <w:szCs w:val="20"/>
          <w:lang w:eastAsia="zh-CN"/>
        </w:rPr>
        <w:t xml:space="preserve">El Socio </w:t>
      </w:r>
      <w:r w:rsidR="00716662">
        <w:rPr>
          <w:rFonts w:asciiTheme="minorHAnsi" w:eastAsia="SimSun" w:hAnsiTheme="minorHAnsi" w:cstheme="minorBidi"/>
          <w:noProof/>
          <w:sz w:val="20"/>
          <w:szCs w:val="20"/>
          <w:lang w:eastAsia="zh-CN"/>
        </w:rPr>
        <w:t>Implementador</w:t>
      </w:r>
      <w:r w:rsidRPr="00A51E75">
        <w:rPr>
          <w:rFonts w:asciiTheme="minorHAnsi" w:eastAsia="SimSun" w:hAnsiTheme="minorHAnsi" w:cstheme="minorBidi"/>
          <w:noProof/>
          <w:sz w:val="20"/>
          <w:szCs w:val="20"/>
          <w:lang w:eastAsia="zh-CN"/>
        </w:rPr>
        <w:t xml:space="preserve"> es la entidad a la que el Administrador del PNUD ha confiado la implementación de la asistencia del PNUD especificada en este documento de proyecto firmado, junto con la asunción de plena responsabilidad y rendición de cuentas por el uso efectivo de los recursos del PNUD y la entrega de resultados, tal como se establece en este documento.</w:t>
      </w:r>
    </w:p>
    <w:p w14:paraId="598DC667" w14:textId="1695E296" w:rsidR="4D0299E8" w:rsidRPr="00A51E75" w:rsidRDefault="5CB4F857"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n-US" w:eastAsia="zh-CN"/>
        </w:rPr>
      </w:pPr>
      <w:r w:rsidRPr="00A51E75">
        <w:rPr>
          <w:rFonts w:asciiTheme="minorHAnsi" w:eastAsia="SimSun" w:hAnsiTheme="minorHAnsi" w:cstheme="minorBidi"/>
          <w:noProof/>
          <w:sz w:val="20"/>
          <w:szCs w:val="20"/>
          <w:lang w:eastAsia="zh-CN"/>
        </w:rPr>
        <w:t>El Socio Implementador es responsable de ejecutar este proyecto. Las tareas específicas incluyen:</w:t>
      </w:r>
    </w:p>
    <w:p w14:paraId="5FD6F611" w14:textId="7EFC48B9" w:rsidR="00C33E9E" w:rsidRPr="00D830D9" w:rsidRDefault="6E0D9E2E" w:rsidP="00EC2CBE">
      <w:pPr>
        <w:numPr>
          <w:ilvl w:val="0"/>
          <w:numId w:val="35"/>
        </w:numPr>
        <w:spacing w:after="160" w:line="256" w:lineRule="auto"/>
        <w:jc w:val="both"/>
        <w:rPr>
          <w:rFonts w:ascii="Calibri" w:eastAsia="SimSun" w:hAnsi="Calibri"/>
          <w:sz w:val="20"/>
          <w:szCs w:val="20"/>
          <w:lang w:val="es-EC" w:eastAsia="en-US"/>
        </w:rPr>
      </w:pPr>
      <w:r w:rsidRPr="00A51E75">
        <w:rPr>
          <w:rFonts w:ascii="Calibri" w:eastAsia="SimSun" w:hAnsi="Calibri"/>
          <w:sz w:val="20"/>
          <w:szCs w:val="20"/>
          <w:lang w:eastAsia="en-US"/>
        </w:rPr>
        <w:t>Planificación, coordinación, gestión, seguimiento, evaluación e informes de proyectos. Esto incluye proporcionar toda la información y datos necesarios para una presentación oportuna, completa y basada en la evidencia del proyecto, incluyendo resultados y datos financieros, según sea necesario. El Socio Implementador se esforzará por garantizar que las M&amp;E a nivel de proyecto sean realizadas por institutos nacionales y estén alineadas con los sistemas nacionales para que los datos utilizados y generados por el proyecto apoyen los sistemas nacionales.</w:t>
      </w:r>
    </w:p>
    <w:p w14:paraId="56DD8AD2" w14:textId="70E5E0B5" w:rsidR="6E0D9E2E" w:rsidRPr="00D830D9" w:rsidRDefault="6E0D9E2E" w:rsidP="00EC2CBE">
      <w:pPr>
        <w:numPr>
          <w:ilvl w:val="0"/>
          <w:numId w:val="35"/>
        </w:numPr>
        <w:spacing w:after="160" w:line="256" w:lineRule="auto"/>
        <w:jc w:val="both"/>
        <w:rPr>
          <w:rFonts w:ascii="Calibri" w:eastAsia="SimSun" w:hAnsi="Calibri"/>
          <w:sz w:val="20"/>
          <w:szCs w:val="20"/>
          <w:lang w:val="es-EC" w:eastAsia="en-US"/>
        </w:rPr>
      </w:pPr>
      <w:r w:rsidRPr="00A51E75">
        <w:rPr>
          <w:rFonts w:ascii="Calibri" w:eastAsia="SimSun" w:hAnsi="Calibri"/>
          <w:sz w:val="20"/>
          <w:szCs w:val="20"/>
          <w:lang w:eastAsia="en-US"/>
        </w:rPr>
        <w:t>Supervisar la gestión de los riesgos del proyecto incluidos en este documento y los nuevos riesgos que puedan surgir durante la implementación del proyecto.</w:t>
      </w:r>
    </w:p>
    <w:p w14:paraId="5401BA2B" w14:textId="2BBA1883" w:rsidR="003F7D8D" w:rsidRPr="00D830D9" w:rsidRDefault="5CB4F857" w:rsidP="00EC2CBE">
      <w:pPr>
        <w:numPr>
          <w:ilvl w:val="0"/>
          <w:numId w:val="35"/>
        </w:numPr>
        <w:spacing w:after="160" w:line="256" w:lineRule="auto"/>
        <w:jc w:val="both"/>
        <w:rPr>
          <w:rFonts w:ascii="Calibri" w:eastAsia="SimSun" w:hAnsi="Calibri"/>
          <w:kern w:val="2"/>
          <w:sz w:val="20"/>
          <w:szCs w:val="20"/>
          <w:lang w:val="es-EC" w:eastAsia="en-US"/>
          <w14:ligatures w14:val="standardContextual"/>
        </w:rPr>
      </w:pPr>
      <w:r w:rsidRPr="00A51E75">
        <w:rPr>
          <w:rFonts w:ascii="Calibri" w:eastAsia="SimSun" w:hAnsi="Calibri"/>
          <w:sz w:val="20"/>
          <w:szCs w:val="20"/>
          <w:lang w:eastAsia="en-US"/>
        </w:rPr>
        <w:t>Adquisición de bienes y servicios, incluidos recursos humanos.</w:t>
      </w:r>
    </w:p>
    <w:p w14:paraId="03B02E1F" w14:textId="76ED9226" w:rsidR="2542FB7C" w:rsidRPr="00D830D9" w:rsidRDefault="2542FB7C" w:rsidP="00EC2CBE">
      <w:pPr>
        <w:numPr>
          <w:ilvl w:val="0"/>
          <w:numId w:val="35"/>
        </w:numPr>
        <w:spacing w:after="160" w:line="256" w:lineRule="auto"/>
        <w:jc w:val="both"/>
        <w:rPr>
          <w:rFonts w:ascii="Calibri" w:eastAsia="SimSun" w:hAnsi="Calibri"/>
          <w:sz w:val="20"/>
          <w:szCs w:val="20"/>
          <w:lang w:val="es-EC" w:eastAsia="en-US"/>
        </w:rPr>
      </w:pPr>
      <w:r w:rsidRPr="00A51E75">
        <w:rPr>
          <w:rFonts w:ascii="Calibri" w:eastAsia="SimSun" w:hAnsi="Calibri"/>
          <w:sz w:val="20"/>
          <w:szCs w:val="20"/>
          <w:lang w:eastAsia="en-US"/>
        </w:rPr>
        <w:t>Gestión financiera, incluyendo la supervisión de los gastos financieros frente a los presupuestos del proyecto.</w:t>
      </w:r>
    </w:p>
    <w:p w14:paraId="52D5682C" w14:textId="77777777" w:rsidR="003F7D8D" w:rsidRPr="00D830D9" w:rsidRDefault="003F7D8D" w:rsidP="00EC2CBE">
      <w:pPr>
        <w:numPr>
          <w:ilvl w:val="0"/>
          <w:numId w:val="35"/>
        </w:numPr>
        <w:spacing w:after="160" w:line="256" w:lineRule="auto"/>
        <w:jc w:val="both"/>
        <w:rPr>
          <w:rFonts w:ascii="Calibri" w:eastAsia="SimSun" w:hAnsi="Calibri"/>
          <w:kern w:val="2"/>
          <w:sz w:val="20"/>
          <w:szCs w:val="20"/>
          <w:lang w:val="es-EC" w:eastAsia="en-US"/>
          <w14:ligatures w14:val="standardContextual"/>
        </w:rPr>
      </w:pPr>
      <w:r w:rsidRPr="00A51E75">
        <w:rPr>
          <w:rFonts w:ascii="Calibri" w:eastAsia="SimSun" w:hAnsi="Calibri"/>
          <w:kern w:val="2"/>
          <w:sz w:val="20"/>
          <w:szCs w:val="20"/>
          <w:lang w:eastAsia="en-US"/>
          <w14:ligatures w14:val="standardContextual"/>
        </w:rPr>
        <w:t>Aprobando y firmando el plan de trabajo plurianual.</w:t>
      </w:r>
    </w:p>
    <w:p w14:paraId="600A4450" w14:textId="371907EE" w:rsidR="003F7D8D" w:rsidRPr="00D830D9" w:rsidRDefault="5CB4F857" w:rsidP="00EC2CBE">
      <w:pPr>
        <w:numPr>
          <w:ilvl w:val="0"/>
          <w:numId w:val="35"/>
        </w:numPr>
        <w:spacing w:after="160" w:line="256" w:lineRule="auto"/>
        <w:jc w:val="both"/>
        <w:rPr>
          <w:rFonts w:ascii="Calibri" w:eastAsia="SimSun" w:hAnsi="Calibri"/>
          <w:kern w:val="2"/>
          <w:sz w:val="20"/>
          <w:szCs w:val="20"/>
          <w:lang w:val="es-EC" w:eastAsia="en-US"/>
          <w14:ligatures w14:val="standardContextual"/>
        </w:rPr>
      </w:pPr>
      <w:r w:rsidRPr="00A51E75">
        <w:rPr>
          <w:rFonts w:ascii="Calibri" w:eastAsia="SimSun" w:hAnsi="Calibri"/>
          <w:kern w:val="2"/>
          <w:sz w:val="20"/>
          <w:szCs w:val="20"/>
          <w:lang w:eastAsia="en-US"/>
          <w14:ligatures w14:val="standardContextual"/>
        </w:rPr>
        <w:t>Aprobar y firmar el informe de entrega combinada a final de año; y,</w:t>
      </w:r>
    </w:p>
    <w:p w14:paraId="04EB9339" w14:textId="77777777" w:rsidR="003F7D8D" w:rsidRPr="00321DED" w:rsidRDefault="5CB4F857" w:rsidP="00EC2CBE">
      <w:pPr>
        <w:numPr>
          <w:ilvl w:val="0"/>
          <w:numId w:val="35"/>
        </w:numPr>
        <w:spacing w:after="160" w:line="256" w:lineRule="auto"/>
        <w:jc w:val="both"/>
        <w:rPr>
          <w:rFonts w:ascii="Calibri" w:eastAsia="SimSun" w:hAnsi="Calibri"/>
          <w:kern w:val="2"/>
          <w:sz w:val="20"/>
          <w:szCs w:val="20"/>
          <w:lang w:val="es-EC" w:eastAsia="en-US"/>
          <w14:ligatures w14:val="standardContextual"/>
        </w:rPr>
      </w:pPr>
      <w:r w:rsidRPr="00A51E75">
        <w:rPr>
          <w:rFonts w:ascii="Calibri" w:eastAsia="SimSun" w:hAnsi="Calibri"/>
          <w:kern w:val="2"/>
          <w:sz w:val="20"/>
          <w:szCs w:val="20"/>
          <w:lang w:eastAsia="en-US"/>
          <w14:ligatures w14:val="standardContextual"/>
        </w:rPr>
        <w:t>Firmar el informe financiero o la autorización de financiación y el certificado de gastos.</w:t>
      </w:r>
    </w:p>
    <w:p w14:paraId="14BC9B83" w14:textId="1253C74B" w:rsidR="003E46DD" w:rsidRPr="007B6E8B" w:rsidRDefault="004D588A" w:rsidP="007B6E8B">
      <w:pPr>
        <w:pStyle w:val="Prrafodelista"/>
        <w:numPr>
          <w:ilvl w:val="0"/>
          <w:numId w:val="3"/>
        </w:numPr>
        <w:tabs>
          <w:tab w:val="clear" w:pos="360"/>
          <w:tab w:val="num" w:pos="0"/>
        </w:tabs>
        <w:ind w:left="0" w:hanging="502"/>
        <w:jc w:val="both"/>
        <w:rPr>
          <w:rFonts w:ascii="Calibri" w:eastAsia="SimSun" w:hAnsi="Calibri"/>
          <w:kern w:val="2"/>
          <w:sz w:val="20"/>
          <w:szCs w:val="20"/>
          <w:highlight w:val="yellow"/>
          <w:lang w:val="es-EC" w:eastAsia="en-US"/>
          <w14:ligatures w14:val="standardContextual"/>
        </w:rPr>
      </w:pPr>
      <w:r w:rsidRPr="007B6E8B">
        <w:rPr>
          <w:rFonts w:ascii="Calibri" w:eastAsia="SimSun" w:hAnsi="Calibri"/>
          <w:kern w:val="2"/>
          <w:sz w:val="20"/>
          <w:szCs w:val="20"/>
          <w:highlight w:val="yellow"/>
          <w:lang w:val="es-EC" w:eastAsia="en-US"/>
          <w14:ligatures w14:val="standardContextual"/>
        </w:rPr>
        <w:t xml:space="preserve">El/La </w:t>
      </w:r>
      <w:r w:rsidR="00BB566E" w:rsidRPr="007B6E8B">
        <w:rPr>
          <w:rFonts w:ascii="Calibri" w:eastAsia="SimSun" w:hAnsi="Calibri"/>
          <w:kern w:val="2"/>
          <w:sz w:val="20"/>
          <w:szCs w:val="20"/>
          <w:highlight w:val="yellow"/>
          <w:lang w:val="es-EC" w:eastAsia="en-US"/>
          <w14:ligatures w14:val="standardContextual"/>
        </w:rPr>
        <w:t>D</w:t>
      </w:r>
      <w:r w:rsidRPr="007B6E8B">
        <w:rPr>
          <w:rFonts w:ascii="Calibri" w:eastAsia="SimSun" w:hAnsi="Calibri"/>
          <w:kern w:val="2"/>
          <w:sz w:val="20"/>
          <w:szCs w:val="20"/>
          <w:highlight w:val="yellow"/>
          <w:lang w:val="es-EC" w:eastAsia="en-US"/>
          <w14:ligatures w14:val="standardContextual"/>
        </w:rPr>
        <w:t>irectora/a</w:t>
      </w:r>
      <w:r w:rsidR="00321DED" w:rsidRPr="007B6E8B">
        <w:rPr>
          <w:rFonts w:ascii="Calibri" w:eastAsia="SimSun" w:hAnsi="Calibri"/>
          <w:kern w:val="2"/>
          <w:sz w:val="20"/>
          <w:szCs w:val="20"/>
          <w:highlight w:val="yellow"/>
          <w:lang w:val="es-EC" w:eastAsia="en-US"/>
          <w14:ligatures w14:val="standardContextual"/>
        </w:rPr>
        <w:t xml:space="preserve"> Nacional del Proyecto</w:t>
      </w:r>
      <w:r w:rsidR="00BB566E" w:rsidRPr="007B6E8B">
        <w:rPr>
          <w:rFonts w:ascii="Calibri" w:eastAsia="SimSun" w:hAnsi="Calibri"/>
          <w:kern w:val="2"/>
          <w:sz w:val="20"/>
          <w:szCs w:val="20"/>
          <w:highlight w:val="yellow"/>
          <w:lang w:val="es-EC" w:eastAsia="en-US"/>
          <w14:ligatures w14:val="standardContextual"/>
        </w:rPr>
        <w:t xml:space="preserve"> (DNP)</w:t>
      </w:r>
      <w:r w:rsidR="00321DED" w:rsidRPr="007B6E8B">
        <w:rPr>
          <w:rFonts w:ascii="Calibri" w:eastAsia="SimSun" w:hAnsi="Calibri"/>
          <w:kern w:val="2"/>
          <w:sz w:val="20"/>
          <w:szCs w:val="20"/>
          <w:highlight w:val="yellow"/>
          <w:lang w:val="es-EC" w:eastAsia="en-US"/>
          <w14:ligatures w14:val="standardContextual"/>
        </w:rPr>
        <w:t xml:space="preserve"> </w:t>
      </w:r>
      <w:r w:rsidRPr="007B6E8B">
        <w:rPr>
          <w:rFonts w:ascii="Calibri" w:eastAsia="SimSun" w:hAnsi="Calibri"/>
          <w:kern w:val="2"/>
          <w:sz w:val="20"/>
          <w:szCs w:val="20"/>
          <w:highlight w:val="yellow"/>
          <w:lang w:val="es-EC" w:eastAsia="en-US"/>
          <w14:ligatures w14:val="standardContextual"/>
        </w:rPr>
        <w:t xml:space="preserve">será el/la Subsecretario/a de Cambio Climático del </w:t>
      </w:r>
      <w:r w:rsidR="00C2202F" w:rsidRPr="007B6E8B">
        <w:rPr>
          <w:rFonts w:ascii="Calibri" w:eastAsia="SimSun" w:hAnsi="Calibri"/>
          <w:kern w:val="2"/>
          <w:sz w:val="20"/>
          <w:szCs w:val="20"/>
          <w:highlight w:val="yellow"/>
          <w:lang w:val="es-EC" w:eastAsia="en-US"/>
          <w14:ligatures w14:val="standardContextual"/>
        </w:rPr>
        <w:t>Ministerio de Ambiente y Energía</w:t>
      </w:r>
      <w:r w:rsidR="00BB566E" w:rsidRPr="007B6E8B">
        <w:rPr>
          <w:rFonts w:ascii="Calibri" w:eastAsia="SimSun" w:hAnsi="Calibri"/>
          <w:kern w:val="2"/>
          <w:sz w:val="20"/>
          <w:szCs w:val="20"/>
          <w:highlight w:val="yellow"/>
          <w:lang w:val="es-EC" w:eastAsia="en-US"/>
          <w14:ligatures w14:val="standardContextual"/>
        </w:rPr>
        <w:t xml:space="preserve"> y será responsable de brindar orientación sobre la gestión y la viabilidad técnica del proyecto y de asegurar que su implementación conduzca al logro de los resultados. El/La DNP </w:t>
      </w:r>
      <w:r w:rsidR="0045359C" w:rsidRPr="007B6E8B">
        <w:rPr>
          <w:rFonts w:ascii="Calibri" w:eastAsia="SimSun" w:hAnsi="Calibri"/>
          <w:kern w:val="2"/>
          <w:sz w:val="20"/>
          <w:szCs w:val="20"/>
          <w:highlight w:val="yellow"/>
          <w:lang w:val="es-EC" w:eastAsia="en-US"/>
          <w14:ligatures w14:val="standardContextual"/>
        </w:rPr>
        <w:t xml:space="preserve">será responsable de orientar al Coordinador/a del proyecto sobre las políticas y prioridades del Gobierno. El/La DNP contará con el apoyo del Comité Asesor Técnico </w:t>
      </w:r>
      <w:r w:rsidR="006B3424" w:rsidRPr="007B6E8B">
        <w:rPr>
          <w:rFonts w:ascii="Calibri" w:eastAsia="SimSun" w:hAnsi="Calibri"/>
          <w:kern w:val="2"/>
          <w:sz w:val="20"/>
          <w:szCs w:val="20"/>
          <w:highlight w:val="yellow"/>
          <w:lang w:val="es-EC" w:eastAsia="en-US"/>
          <w14:ligatures w14:val="standardContextual"/>
        </w:rPr>
        <w:t>y revisará la coherencia de la intervención, incluidos los resultados, riesgos, la planificación y los procesos de adquisiciones.</w:t>
      </w:r>
      <w:r w:rsidR="007B6E8B" w:rsidRPr="007B6E8B">
        <w:rPr>
          <w:rFonts w:ascii="Calibri" w:eastAsia="SimSun" w:hAnsi="Calibri"/>
          <w:kern w:val="2"/>
          <w:sz w:val="20"/>
          <w:szCs w:val="20"/>
          <w:highlight w:val="yellow"/>
          <w:lang w:val="es-EC" w:eastAsia="en-US"/>
          <w14:ligatures w14:val="standardContextual"/>
        </w:rPr>
        <w:t xml:space="preserve"> </w:t>
      </w:r>
      <w:r w:rsidR="003E46DD" w:rsidRPr="007B6E8B">
        <w:rPr>
          <w:rFonts w:ascii="Calibri" w:eastAsia="SimSun" w:hAnsi="Calibri"/>
          <w:kern w:val="2"/>
          <w:sz w:val="20"/>
          <w:szCs w:val="20"/>
          <w:highlight w:val="yellow"/>
          <w:lang w:val="es-EC" w:eastAsia="en-US"/>
          <w14:ligatures w14:val="standardContextual"/>
        </w:rPr>
        <w:t xml:space="preserve">El/La DNP firmará y aprobará las adquisiciones de servicios y bienes correspondientes al proyecto y delegará al Coordinador/a </w:t>
      </w:r>
      <w:r w:rsidR="00BA7840" w:rsidRPr="007B6E8B">
        <w:rPr>
          <w:rFonts w:ascii="Calibri" w:eastAsia="SimSun" w:hAnsi="Calibri"/>
          <w:kern w:val="2"/>
          <w:sz w:val="20"/>
          <w:szCs w:val="20"/>
          <w:highlight w:val="yellow"/>
          <w:lang w:val="es-EC" w:eastAsia="en-US"/>
          <w14:ligatures w14:val="standardContextual"/>
        </w:rPr>
        <w:t>del Proyecto la aprobación y firma de las solicitudes de adquisiciones</w:t>
      </w:r>
      <w:r w:rsidR="007B6E8B" w:rsidRPr="007B6E8B">
        <w:rPr>
          <w:rFonts w:ascii="Calibri" w:eastAsia="SimSun" w:hAnsi="Calibri"/>
          <w:kern w:val="2"/>
          <w:sz w:val="20"/>
          <w:szCs w:val="20"/>
          <w:highlight w:val="yellow"/>
          <w:lang w:val="es-EC" w:eastAsia="en-US"/>
          <w14:ligatures w14:val="standardContextual"/>
        </w:rPr>
        <w:t xml:space="preserve"> y contrataciones, así como de los pagos, de conformidad con los Procedimientos Operativos </w:t>
      </w:r>
      <w:proofErr w:type="gramStart"/>
      <w:r w:rsidR="007B6E8B" w:rsidRPr="007B6E8B">
        <w:rPr>
          <w:rFonts w:ascii="Calibri" w:eastAsia="SimSun" w:hAnsi="Calibri"/>
          <w:kern w:val="2"/>
          <w:sz w:val="20"/>
          <w:szCs w:val="20"/>
          <w:highlight w:val="yellow"/>
          <w:lang w:val="es-EC" w:eastAsia="en-US"/>
          <w14:ligatures w14:val="standardContextual"/>
        </w:rPr>
        <w:t>Estándar(</w:t>
      </w:r>
      <w:proofErr w:type="gramEnd"/>
      <w:r w:rsidR="007B6E8B" w:rsidRPr="007B6E8B">
        <w:rPr>
          <w:rFonts w:ascii="Calibri" w:eastAsia="SimSun" w:hAnsi="Calibri"/>
          <w:kern w:val="2"/>
          <w:sz w:val="20"/>
          <w:szCs w:val="20"/>
          <w:highlight w:val="yellow"/>
          <w:lang w:val="es-EC" w:eastAsia="en-US"/>
          <w14:ligatures w14:val="standardContextual"/>
        </w:rPr>
        <w:t>SOP; por sus siglas en inglés) del PNUD. El Reporte Combinado de Gastos (CDR, por sus siglas en inglés) será aprobado y firmado por el/la DNP; así como también el inventario.</w:t>
      </w:r>
    </w:p>
    <w:p w14:paraId="36DF47EA" w14:textId="77777777" w:rsidR="00216891" w:rsidRPr="00D830D9" w:rsidRDefault="00216891" w:rsidP="003F7D8D">
      <w:pPr>
        <w:jc w:val="both"/>
        <w:rPr>
          <w:rFonts w:asciiTheme="minorHAnsi" w:eastAsia="SimSun" w:hAnsiTheme="minorHAnsi" w:cstheme="minorHAnsi"/>
          <w:bCs/>
          <w:iCs/>
          <w:noProof/>
          <w:sz w:val="20"/>
          <w:szCs w:val="20"/>
          <w:lang w:val="es-EC" w:eastAsia="zh-CN"/>
        </w:rPr>
      </w:pPr>
    </w:p>
    <w:p w14:paraId="35F7EAC4" w14:textId="2217F298" w:rsidR="00E5524A" w:rsidRPr="00D830D9" w:rsidRDefault="08FF0B95"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lang w:val="es-EC" w:eastAsia="zh-CN"/>
        </w:rPr>
      </w:pPr>
      <w:r w:rsidRPr="00A51E75">
        <w:rPr>
          <w:rFonts w:asciiTheme="minorHAnsi" w:eastAsia="SimSun" w:hAnsiTheme="minorHAnsi" w:cstheme="minorBidi"/>
          <w:noProof/>
          <w:sz w:val="20"/>
          <w:szCs w:val="20"/>
          <w:u w:val="single"/>
          <w:lang w:eastAsia="zh-CN"/>
        </w:rPr>
        <w:t xml:space="preserve">Partes responsables: </w:t>
      </w:r>
      <w:r w:rsidR="6A147F29" w:rsidRPr="00A51E75">
        <w:rPr>
          <w:rFonts w:asciiTheme="minorHAnsi" w:eastAsia="SimSun" w:hAnsiTheme="minorHAnsi" w:cstheme="minorBidi"/>
          <w:noProof/>
          <w:sz w:val="20"/>
          <w:szCs w:val="20"/>
          <w:lang w:eastAsia="zh-CN"/>
        </w:rPr>
        <w:t>Si surge la necesidad durante la implementación por necesidades específicas para implementar los resultados del proyecto, cualquier Parte Responsable será designada conforme a las normas y procedimientos del PNUD.</w:t>
      </w:r>
    </w:p>
    <w:p w14:paraId="6CAA5C74" w14:textId="77777777" w:rsidR="001F35AA" w:rsidRPr="00D830D9" w:rsidRDefault="001F35AA" w:rsidP="001F35AA">
      <w:pPr>
        <w:pStyle w:val="Prrafodelista"/>
        <w:ind w:left="0"/>
        <w:jc w:val="both"/>
        <w:rPr>
          <w:rFonts w:asciiTheme="minorHAnsi" w:eastAsia="SimSun" w:hAnsiTheme="minorHAnsi" w:cstheme="minorBidi"/>
          <w:noProof/>
          <w:sz w:val="20"/>
          <w:szCs w:val="20"/>
          <w:lang w:val="es-EC" w:eastAsia="zh-CN"/>
        </w:rPr>
      </w:pPr>
    </w:p>
    <w:p w14:paraId="0F89E002" w14:textId="752E3CDD" w:rsidR="001F35AA" w:rsidRPr="00D830D9" w:rsidRDefault="5CB4F857"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lang w:val="es-EC" w:eastAsia="zh-CN"/>
        </w:rPr>
      </w:pPr>
      <w:r w:rsidRPr="00A51E75">
        <w:rPr>
          <w:rFonts w:asciiTheme="minorHAnsi" w:eastAsia="SimSun" w:hAnsiTheme="minorHAnsi" w:cstheme="minorBidi"/>
          <w:noProof/>
          <w:sz w:val="20"/>
          <w:szCs w:val="20"/>
          <w:u w:val="single"/>
          <w:lang w:eastAsia="zh-CN"/>
        </w:rPr>
        <w:t xml:space="preserve">Partes interesadas y grupos objetivo: </w:t>
      </w:r>
      <w:r w:rsidRPr="00A51E75">
        <w:rPr>
          <w:rFonts w:asciiTheme="minorHAnsi" w:eastAsia="SimSun" w:hAnsiTheme="minorHAnsi" w:cstheme="minorBidi"/>
          <w:noProof/>
          <w:sz w:val="20"/>
          <w:szCs w:val="20"/>
          <w:lang w:eastAsia="zh-CN"/>
        </w:rPr>
        <w:t>El proyecto garantiza una participación significativa, inclusiva e informada de las partes interesadas y grupos objetivo a lo largo de todas las fases del ciclo de vida del proyecto. Aunque estas partes no son miembros de la Junta del Proyecto, su participación es clave para garantizar la legitimidad, la propiedad territorial y la sostenibilidad de los resultados.</w:t>
      </w:r>
    </w:p>
    <w:p w14:paraId="7B78ABED" w14:textId="77777777" w:rsidR="001F35AA" w:rsidRPr="00D830D9" w:rsidRDefault="001F35AA" w:rsidP="001F35AA">
      <w:pPr>
        <w:pStyle w:val="Prrafodelista"/>
        <w:rPr>
          <w:rFonts w:asciiTheme="minorHAnsi" w:eastAsia="SimSun" w:hAnsiTheme="minorHAnsi" w:cstheme="minorHAnsi"/>
          <w:bCs/>
          <w:iCs/>
          <w:noProof/>
          <w:sz w:val="20"/>
          <w:szCs w:val="20"/>
          <w:lang w:val="es-EC" w:eastAsia="zh-CN"/>
        </w:rPr>
      </w:pPr>
    </w:p>
    <w:p w14:paraId="376371BD" w14:textId="40A38616" w:rsidR="003F7D8D" w:rsidRPr="00D830D9" w:rsidRDefault="003F7D8D"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eastAsia="zh-CN"/>
        </w:rPr>
      </w:pPr>
      <w:r w:rsidRPr="00A51E75">
        <w:rPr>
          <w:rFonts w:asciiTheme="minorHAnsi" w:eastAsia="SimSun" w:hAnsiTheme="minorHAnsi" w:cstheme="minorHAnsi"/>
          <w:bCs/>
          <w:iCs/>
          <w:noProof/>
          <w:sz w:val="20"/>
          <w:szCs w:val="20"/>
          <w:lang w:eastAsia="zh-CN"/>
        </w:rPr>
        <w:t>Los grupos objetivo participarán en la toma de decisiones a través de:</w:t>
      </w:r>
    </w:p>
    <w:p w14:paraId="7D0F1E4C" w14:textId="77777777" w:rsidR="003F7D8D" w:rsidRPr="00D830D9" w:rsidRDefault="003F7D8D" w:rsidP="00EC2CBE">
      <w:pPr>
        <w:numPr>
          <w:ilvl w:val="0"/>
          <w:numId w:val="11"/>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lastRenderedPageBreak/>
        <w:t>Co-diseño de intervenciones mediante talleres, mesas redondas técnicas y espacios participativos territoriales.</w:t>
      </w:r>
    </w:p>
    <w:p w14:paraId="480A441E" w14:textId="77777777" w:rsidR="003F7D8D" w:rsidRPr="00D830D9" w:rsidRDefault="003F7D8D" w:rsidP="00EC2CBE">
      <w:pPr>
        <w:numPr>
          <w:ilvl w:val="0"/>
          <w:numId w:val="11"/>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t>Validación de instrumentos técnicos y planes de vida en coordinación con el Socio Implementador.</w:t>
      </w:r>
    </w:p>
    <w:p w14:paraId="66DB3F32" w14:textId="041376B2" w:rsidR="003F7D8D" w:rsidRPr="00D830D9" w:rsidRDefault="5CB4F857" w:rsidP="00EC2CBE">
      <w:pPr>
        <w:numPr>
          <w:ilvl w:val="0"/>
          <w:numId w:val="11"/>
        </w:numPr>
        <w:jc w:val="both"/>
        <w:rPr>
          <w:rFonts w:asciiTheme="minorHAnsi" w:eastAsia="SimSun" w:hAnsiTheme="minorHAnsi" w:cstheme="minorBidi"/>
          <w:noProof/>
          <w:sz w:val="20"/>
          <w:szCs w:val="20"/>
          <w:lang w:val="es-EC" w:eastAsia="zh-CN"/>
        </w:rPr>
      </w:pPr>
      <w:r w:rsidRPr="00A51E75">
        <w:rPr>
          <w:rFonts w:asciiTheme="minorHAnsi" w:eastAsia="SimSun" w:hAnsiTheme="minorHAnsi" w:cstheme="minorBidi"/>
          <w:noProof/>
          <w:sz w:val="20"/>
          <w:szCs w:val="20"/>
          <w:lang w:eastAsia="zh-CN"/>
        </w:rPr>
        <w:t xml:space="preserve">Participación en comités temáticos y procesos de planificación operativa </w:t>
      </w:r>
    </w:p>
    <w:p w14:paraId="63B2815D" w14:textId="09A09F77" w:rsidR="003F7D8D" w:rsidRPr="00D830D9" w:rsidRDefault="5CB4F857" w:rsidP="00EC2CBE">
      <w:pPr>
        <w:numPr>
          <w:ilvl w:val="0"/>
          <w:numId w:val="11"/>
        </w:numPr>
        <w:jc w:val="both"/>
        <w:rPr>
          <w:rFonts w:asciiTheme="minorHAnsi" w:eastAsia="SimSun" w:hAnsiTheme="minorHAnsi" w:cstheme="minorBidi"/>
          <w:noProof/>
          <w:sz w:val="20"/>
          <w:szCs w:val="20"/>
          <w:lang w:val="es-EC" w:eastAsia="zh-CN"/>
        </w:rPr>
      </w:pPr>
      <w:r w:rsidRPr="00A51E75">
        <w:rPr>
          <w:rFonts w:asciiTheme="minorHAnsi" w:eastAsia="SimSun" w:hAnsiTheme="minorHAnsi" w:cstheme="minorBidi"/>
          <w:noProof/>
          <w:sz w:val="20"/>
          <w:szCs w:val="20"/>
          <w:lang w:eastAsia="zh-CN"/>
        </w:rPr>
        <w:t>Consultas culturalmente apropiadas con los pueblos indígenas, de acuerdo con el principio de Consentimiento Libre, Previo e Informado (</w:t>
      </w:r>
      <w:r w:rsidR="009E552B">
        <w:rPr>
          <w:rFonts w:asciiTheme="minorHAnsi" w:eastAsia="SimSun" w:hAnsiTheme="minorHAnsi" w:cstheme="minorBidi"/>
          <w:noProof/>
          <w:sz w:val="20"/>
          <w:szCs w:val="20"/>
          <w:lang w:eastAsia="zh-CN"/>
        </w:rPr>
        <w:t>CLPI</w:t>
      </w:r>
      <w:r w:rsidRPr="00A51E75">
        <w:rPr>
          <w:rFonts w:asciiTheme="minorHAnsi" w:eastAsia="SimSun" w:hAnsiTheme="minorHAnsi" w:cstheme="minorBidi"/>
          <w:noProof/>
          <w:sz w:val="20"/>
          <w:szCs w:val="20"/>
          <w:lang w:eastAsia="zh-CN"/>
        </w:rPr>
        <w:t>).</w:t>
      </w:r>
    </w:p>
    <w:p w14:paraId="5219C724" w14:textId="77777777" w:rsidR="003F7D8D" w:rsidRPr="00895463" w:rsidRDefault="003F7D8D" w:rsidP="00EC2CBE">
      <w:pPr>
        <w:numPr>
          <w:ilvl w:val="0"/>
          <w:numId w:val="11"/>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t>Espacios de diálogo multisectoriales y multinivel, como mecanismos participativos de gobernanza territorial.</w:t>
      </w:r>
    </w:p>
    <w:p w14:paraId="4C98A5E8" w14:textId="754BA4CC" w:rsidR="003F7D8D" w:rsidRPr="00D830D9" w:rsidRDefault="003F7D8D" w:rsidP="00EC2CBE">
      <w:pPr>
        <w:numPr>
          <w:ilvl w:val="0"/>
          <w:numId w:val="11"/>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t>Procesos de evaluación y retroalimentación a través de grupos focales, encuestas de satisfacción y reuniones con la Unidad de Gestión de Proyectos (</w:t>
      </w:r>
      <w:r w:rsidR="00547037">
        <w:rPr>
          <w:rFonts w:asciiTheme="minorHAnsi" w:eastAsia="SimSun" w:hAnsiTheme="minorHAnsi" w:cstheme="minorHAnsi"/>
          <w:bCs/>
          <w:iCs/>
          <w:noProof/>
          <w:sz w:val="20"/>
          <w:szCs w:val="20"/>
          <w:lang w:eastAsia="zh-CN"/>
        </w:rPr>
        <w:t>UGP</w:t>
      </w:r>
      <w:r w:rsidRPr="00A51E75">
        <w:rPr>
          <w:rFonts w:asciiTheme="minorHAnsi" w:eastAsia="SimSun" w:hAnsiTheme="minorHAnsi" w:cstheme="minorHAnsi"/>
          <w:bCs/>
          <w:iCs/>
          <w:noProof/>
          <w:sz w:val="20"/>
          <w:szCs w:val="20"/>
          <w:lang w:eastAsia="zh-CN"/>
        </w:rPr>
        <w:t>).</w:t>
      </w:r>
    </w:p>
    <w:p w14:paraId="3CF2A8C2" w14:textId="77777777" w:rsidR="003F7D8D" w:rsidRPr="00D830D9" w:rsidRDefault="003F7D8D" w:rsidP="007C4983">
      <w:pPr>
        <w:jc w:val="both"/>
        <w:rPr>
          <w:rFonts w:asciiTheme="minorHAnsi" w:eastAsia="SimSun" w:hAnsiTheme="minorHAnsi" w:cstheme="minorHAnsi"/>
          <w:bCs/>
          <w:iCs/>
          <w:noProof/>
          <w:sz w:val="20"/>
          <w:szCs w:val="20"/>
          <w:lang w:val="es-EC" w:eastAsia="zh-CN"/>
        </w:rPr>
      </w:pPr>
    </w:p>
    <w:p w14:paraId="6E6B64C9" w14:textId="5ABF0488" w:rsidR="007C4983" w:rsidRPr="00D830D9" w:rsidRDefault="007C4983" w:rsidP="007C4983">
      <w:pPr>
        <w:pStyle w:val="Descripcin"/>
        <w:keepNext/>
        <w:jc w:val="center"/>
        <w:rPr>
          <w:rFonts w:asciiTheme="minorHAnsi" w:hAnsiTheme="minorHAnsi" w:cstheme="minorHAnsi"/>
          <w:lang w:val="es-EC"/>
        </w:rPr>
      </w:pPr>
      <w:bookmarkStart w:id="54" w:name="_Toc201073154"/>
      <w:r w:rsidRPr="00A51E75">
        <w:rPr>
          <w:rFonts w:asciiTheme="minorHAnsi" w:hAnsiTheme="minorHAnsi" w:cstheme="minorHAnsi"/>
        </w:rPr>
        <w:t xml:space="preserve">Tabla </w:t>
      </w:r>
      <w:r w:rsidRPr="00A51E75">
        <w:rPr>
          <w:rFonts w:asciiTheme="minorHAnsi" w:hAnsiTheme="minorHAnsi" w:cstheme="minorHAnsi"/>
        </w:rPr>
        <w:fldChar w:fldCharType="begin"/>
      </w:r>
      <w:r w:rsidRPr="00A51E75">
        <w:rPr>
          <w:rFonts w:asciiTheme="minorHAnsi" w:hAnsiTheme="minorHAnsi" w:cstheme="minorHAnsi"/>
        </w:rPr>
        <w:instrText xml:space="preserve"> SEQ Tabla \* ARABIC </w:instrText>
      </w:r>
      <w:r w:rsidRPr="00A51E75">
        <w:rPr>
          <w:rFonts w:asciiTheme="minorHAnsi" w:hAnsiTheme="minorHAnsi" w:cstheme="minorHAnsi"/>
        </w:rPr>
        <w:fldChar w:fldCharType="separate"/>
      </w:r>
      <w:r w:rsidR="00554466" w:rsidRPr="00A51E75">
        <w:rPr>
          <w:rFonts w:asciiTheme="minorHAnsi" w:hAnsiTheme="minorHAnsi" w:cstheme="minorHAnsi"/>
          <w:noProof/>
        </w:rPr>
        <w:t>9</w:t>
      </w:r>
      <w:r w:rsidRPr="00A51E75">
        <w:rPr>
          <w:rFonts w:asciiTheme="minorHAnsi" w:hAnsiTheme="minorHAnsi" w:cstheme="minorHAnsi"/>
        </w:rPr>
        <w:fldChar w:fldCharType="end"/>
      </w:r>
      <w:r w:rsidRPr="00A51E75">
        <w:rPr>
          <w:rFonts w:asciiTheme="minorHAnsi" w:hAnsiTheme="minorHAnsi" w:cstheme="minorHAnsi"/>
        </w:rPr>
        <w:t>: Participación de los grupos de interés y grupos objetivo en los procesos de toma de decisiones</w:t>
      </w:r>
      <w:bookmarkEnd w:id="54"/>
    </w:p>
    <w:tbl>
      <w:tblPr>
        <w:tblStyle w:val="Tablaconcuadrcula"/>
        <w:tblW w:w="0" w:type="auto"/>
        <w:tblLook w:val="04A0" w:firstRow="1" w:lastRow="0" w:firstColumn="1" w:lastColumn="0" w:noHBand="0" w:noVBand="1"/>
      </w:tblPr>
      <w:tblGrid>
        <w:gridCol w:w="2437"/>
        <w:gridCol w:w="2837"/>
        <w:gridCol w:w="4076"/>
      </w:tblGrid>
      <w:tr w:rsidR="009E721B" w:rsidRPr="007D4F41" w14:paraId="3B1AEE1D" w14:textId="77777777" w:rsidTr="009E721B">
        <w:tc>
          <w:tcPr>
            <w:tcW w:w="0" w:type="auto"/>
            <w:shd w:val="clear" w:color="auto" w:fill="D9D9D9" w:themeFill="background1" w:themeFillShade="D9"/>
            <w:vAlign w:val="center"/>
          </w:tcPr>
          <w:p w14:paraId="3A6AFD22" w14:textId="77777777" w:rsidR="009E721B" w:rsidRPr="00A51E75" w:rsidRDefault="009E721B" w:rsidP="009E721B">
            <w:pPr>
              <w:spacing w:after="60"/>
              <w:rPr>
                <w:rFonts w:asciiTheme="minorHAnsi" w:eastAsia="SimSun" w:hAnsiTheme="minorHAnsi" w:cstheme="minorHAnsi"/>
                <w:b/>
                <w:bCs/>
                <w:sz w:val="20"/>
                <w:szCs w:val="20"/>
                <w:lang w:val="en-US"/>
              </w:rPr>
            </w:pPr>
            <w:r w:rsidRPr="00A51E75">
              <w:rPr>
                <w:rFonts w:asciiTheme="minorHAnsi" w:eastAsia="SimSun" w:hAnsiTheme="minorHAnsi" w:cstheme="minorHAnsi"/>
                <w:b/>
                <w:bCs/>
                <w:sz w:val="20"/>
                <w:szCs w:val="20"/>
              </w:rPr>
              <w:t xml:space="preserve">Grupos de interés / Objetivo </w:t>
            </w:r>
          </w:p>
        </w:tc>
        <w:tc>
          <w:tcPr>
            <w:tcW w:w="0" w:type="auto"/>
            <w:shd w:val="clear" w:color="auto" w:fill="D9D9D9" w:themeFill="background1" w:themeFillShade="D9"/>
            <w:vAlign w:val="center"/>
          </w:tcPr>
          <w:p w14:paraId="357DDAAB" w14:textId="77777777" w:rsidR="009E721B" w:rsidRPr="00A51E75" w:rsidRDefault="009E721B" w:rsidP="009E721B">
            <w:pPr>
              <w:spacing w:after="60"/>
              <w:rPr>
                <w:rFonts w:asciiTheme="minorHAnsi" w:eastAsia="SimSun" w:hAnsiTheme="minorHAnsi" w:cstheme="minorHAnsi"/>
                <w:b/>
                <w:bCs/>
                <w:sz w:val="20"/>
                <w:szCs w:val="20"/>
                <w:lang w:val="en-US"/>
              </w:rPr>
            </w:pPr>
            <w:r w:rsidRPr="00A51E75">
              <w:rPr>
                <w:rFonts w:asciiTheme="minorHAnsi" w:eastAsia="SimSun" w:hAnsiTheme="minorHAnsi" w:cstheme="minorHAnsi"/>
                <w:b/>
                <w:bCs/>
                <w:sz w:val="20"/>
                <w:szCs w:val="20"/>
              </w:rPr>
              <w:t xml:space="preserve"> Papel en el proyecto </w:t>
            </w:r>
          </w:p>
        </w:tc>
        <w:tc>
          <w:tcPr>
            <w:tcW w:w="0" w:type="auto"/>
            <w:shd w:val="clear" w:color="auto" w:fill="D9D9D9" w:themeFill="background1" w:themeFillShade="D9"/>
            <w:vAlign w:val="center"/>
          </w:tcPr>
          <w:p w14:paraId="383A9961" w14:textId="77777777" w:rsidR="009E721B" w:rsidRPr="00D830D9" w:rsidRDefault="009E721B" w:rsidP="009E721B">
            <w:pPr>
              <w:spacing w:after="60"/>
              <w:rPr>
                <w:rFonts w:asciiTheme="minorHAnsi" w:eastAsia="SimSun" w:hAnsiTheme="minorHAnsi" w:cstheme="minorHAnsi"/>
                <w:b/>
                <w:bCs/>
                <w:sz w:val="20"/>
                <w:szCs w:val="20"/>
                <w:lang w:val="es-EC"/>
              </w:rPr>
            </w:pPr>
            <w:r w:rsidRPr="00A51E75">
              <w:rPr>
                <w:rFonts w:asciiTheme="minorHAnsi" w:eastAsia="SimSun" w:hAnsiTheme="minorHAnsi" w:cstheme="minorHAnsi"/>
                <w:b/>
                <w:bCs/>
                <w:sz w:val="20"/>
                <w:szCs w:val="20"/>
              </w:rPr>
              <w:t xml:space="preserve"> Forma de participación en la toma de decisiones</w:t>
            </w:r>
          </w:p>
        </w:tc>
      </w:tr>
      <w:tr w:rsidR="009E721B" w:rsidRPr="007D4F41" w14:paraId="3618FEF3" w14:textId="77777777" w:rsidTr="009E721B">
        <w:tc>
          <w:tcPr>
            <w:tcW w:w="0" w:type="auto"/>
            <w:vAlign w:val="center"/>
          </w:tcPr>
          <w:p w14:paraId="132D9A24"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CONFENIAE, FOIN, PKR </w:t>
            </w:r>
          </w:p>
        </w:tc>
        <w:tc>
          <w:tcPr>
            <w:tcW w:w="0" w:type="auto"/>
            <w:vAlign w:val="center"/>
          </w:tcPr>
          <w:p w14:paraId="577F151E" w14:textId="77777777"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 Representación política de los pueblos indígenas amazónicos </w:t>
            </w:r>
          </w:p>
        </w:tc>
        <w:tc>
          <w:tcPr>
            <w:tcW w:w="0" w:type="auto"/>
            <w:vAlign w:val="center"/>
          </w:tcPr>
          <w:p w14:paraId="415A0906" w14:textId="32D381F4" w:rsidR="009E721B" w:rsidRPr="00D830D9" w:rsidRDefault="009E721B" w:rsidP="009E721B">
            <w:pPr>
              <w:spacing w:after="60"/>
              <w:rPr>
                <w:rFonts w:asciiTheme="minorHAnsi" w:eastAsia="SimSun" w:hAnsiTheme="minorHAnsi" w:cstheme="minorHAnsi"/>
                <w:sz w:val="20"/>
                <w:szCs w:val="20"/>
                <w:lang w:val="es-EC"/>
              </w:rPr>
            </w:pPr>
            <w:proofErr w:type="spellStart"/>
            <w:r w:rsidRPr="00A51E75">
              <w:rPr>
                <w:rFonts w:asciiTheme="minorHAnsi" w:eastAsia="SimSun" w:hAnsiTheme="minorHAnsi" w:cstheme="minorHAnsi"/>
                <w:sz w:val="20"/>
                <w:szCs w:val="20"/>
              </w:rPr>
              <w:t>Co-diseño</w:t>
            </w:r>
            <w:proofErr w:type="spellEnd"/>
            <w:r w:rsidRPr="00A51E75">
              <w:rPr>
                <w:rFonts w:asciiTheme="minorHAnsi" w:eastAsia="SimSun" w:hAnsiTheme="minorHAnsi" w:cstheme="minorHAnsi"/>
                <w:sz w:val="20"/>
                <w:szCs w:val="20"/>
              </w:rPr>
              <w:t xml:space="preserve"> de actividades; validación de planes de vida; Consultas </w:t>
            </w:r>
            <w:r w:rsidR="0078696E">
              <w:rPr>
                <w:rFonts w:asciiTheme="minorHAnsi" w:eastAsia="SimSun" w:hAnsiTheme="minorHAnsi" w:cstheme="minorHAnsi"/>
                <w:sz w:val="20"/>
                <w:szCs w:val="20"/>
              </w:rPr>
              <w:t>CPLI</w:t>
            </w:r>
            <w:r w:rsidRPr="00A51E75">
              <w:rPr>
                <w:rFonts w:asciiTheme="minorHAnsi" w:eastAsia="SimSun" w:hAnsiTheme="minorHAnsi" w:cstheme="minorHAnsi"/>
                <w:sz w:val="20"/>
                <w:szCs w:val="20"/>
              </w:rPr>
              <w:t>; Liderazgo comunitario</w:t>
            </w:r>
          </w:p>
        </w:tc>
      </w:tr>
      <w:tr w:rsidR="009E721B" w:rsidRPr="007D4F41" w14:paraId="5E0245E4" w14:textId="77777777" w:rsidTr="009E721B">
        <w:tc>
          <w:tcPr>
            <w:tcW w:w="0" w:type="auto"/>
            <w:vAlign w:val="center"/>
          </w:tcPr>
          <w:p w14:paraId="77F98CF6" w14:textId="77777777"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Organizaciones de mujeres y jóvenes </w:t>
            </w:r>
          </w:p>
        </w:tc>
        <w:tc>
          <w:tcPr>
            <w:tcW w:w="0" w:type="auto"/>
            <w:vAlign w:val="center"/>
          </w:tcPr>
          <w:p w14:paraId="3BA1ADA8" w14:textId="77777777"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 Actores clave en los procesos territoriales </w:t>
            </w:r>
          </w:p>
        </w:tc>
        <w:tc>
          <w:tcPr>
            <w:tcW w:w="0" w:type="auto"/>
            <w:vAlign w:val="center"/>
          </w:tcPr>
          <w:p w14:paraId="448FDC46" w14:textId="4181FCFE"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Participación afirmativa en espacios de diálogo, diseño de medidas diferenciadas, liderazgo local</w:t>
            </w:r>
          </w:p>
        </w:tc>
      </w:tr>
      <w:tr w:rsidR="009E721B" w:rsidRPr="007D4F41" w14:paraId="345B6F05" w14:textId="77777777" w:rsidTr="009E721B">
        <w:tc>
          <w:tcPr>
            <w:tcW w:w="0" w:type="auto"/>
            <w:vAlign w:val="center"/>
          </w:tcPr>
          <w:p w14:paraId="18401B37"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ECOCIENCIA </w:t>
            </w:r>
          </w:p>
        </w:tc>
        <w:tc>
          <w:tcPr>
            <w:tcW w:w="0" w:type="auto"/>
            <w:vAlign w:val="center"/>
          </w:tcPr>
          <w:p w14:paraId="6E60C938"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 ONG técnica y estratégica </w:t>
            </w:r>
          </w:p>
        </w:tc>
        <w:tc>
          <w:tcPr>
            <w:tcW w:w="0" w:type="auto"/>
            <w:vAlign w:val="center"/>
          </w:tcPr>
          <w:p w14:paraId="12146B0C" w14:textId="24789893"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Soporte técnico; propuestas metodológicas; Participación en comités técnicos y seguimiento</w:t>
            </w:r>
          </w:p>
        </w:tc>
      </w:tr>
      <w:tr w:rsidR="009E721B" w:rsidRPr="007D4F41" w14:paraId="0F8A8D1D" w14:textId="77777777" w:rsidTr="009E721B">
        <w:tc>
          <w:tcPr>
            <w:tcW w:w="0" w:type="auto"/>
            <w:vAlign w:val="center"/>
          </w:tcPr>
          <w:p w14:paraId="32BEED7B" w14:textId="6134CB2E"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BanEcuador, BD</w:t>
            </w:r>
            <w:r w:rsidR="0078696E">
              <w:rPr>
                <w:rFonts w:asciiTheme="minorHAnsi" w:eastAsia="SimSun" w:hAnsiTheme="minorHAnsi" w:cstheme="minorHAnsi"/>
                <w:sz w:val="20"/>
                <w:szCs w:val="20"/>
              </w:rPr>
              <w:t>E</w:t>
            </w:r>
            <w:r w:rsidRPr="00A51E75">
              <w:rPr>
                <w:rFonts w:asciiTheme="minorHAnsi" w:eastAsia="SimSun" w:hAnsiTheme="minorHAnsi" w:cstheme="minorHAnsi"/>
                <w:sz w:val="20"/>
                <w:szCs w:val="20"/>
              </w:rPr>
              <w:t xml:space="preserve">, CONAFIPS, BIOFIN </w:t>
            </w:r>
          </w:p>
        </w:tc>
        <w:tc>
          <w:tcPr>
            <w:tcW w:w="0" w:type="auto"/>
            <w:vAlign w:val="center"/>
          </w:tcPr>
          <w:p w14:paraId="61A95947"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 Instituciones financieras nacionales </w:t>
            </w:r>
          </w:p>
        </w:tc>
        <w:tc>
          <w:tcPr>
            <w:tcW w:w="0" w:type="auto"/>
            <w:vAlign w:val="center"/>
          </w:tcPr>
          <w:p w14:paraId="38D2F194" w14:textId="4F199BBE"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Diseño de esquemas financieros sostenibles; asistencia técnica; Reuniones estratégicas</w:t>
            </w:r>
          </w:p>
        </w:tc>
      </w:tr>
      <w:tr w:rsidR="009E721B" w:rsidRPr="007D4F41" w14:paraId="644DDD57" w14:textId="77777777" w:rsidTr="009E721B">
        <w:tc>
          <w:tcPr>
            <w:tcW w:w="0" w:type="auto"/>
            <w:vAlign w:val="center"/>
          </w:tcPr>
          <w:p w14:paraId="51545CEA"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FONAG, FODESNA </w:t>
            </w:r>
          </w:p>
        </w:tc>
        <w:tc>
          <w:tcPr>
            <w:tcW w:w="0" w:type="auto"/>
            <w:vAlign w:val="center"/>
          </w:tcPr>
          <w:p w14:paraId="2C7D4C82"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 Fondos de agua </w:t>
            </w:r>
          </w:p>
        </w:tc>
        <w:tc>
          <w:tcPr>
            <w:tcW w:w="0" w:type="auto"/>
            <w:vAlign w:val="center"/>
          </w:tcPr>
          <w:p w14:paraId="5DECE659" w14:textId="7201EE23"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Diseño e implementación de mecanismos de pago para servicios ecosistémicos; Cofinanciación</w:t>
            </w:r>
          </w:p>
        </w:tc>
      </w:tr>
      <w:tr w:rsidR="009E721B" w:rsidRPr="007D4F41" w14:paraId="0C2E3E20" w14:textId="77777777" w:rsidTr="009E721B">
        <w:tc>
          <w:tcPr>
            <w:tcW w:w="0" w:type="auto"/>
            <w:vAlign w:val="center"/>
          </w:tcPr>
          <w:p w14:paraId="1A3139DC" w14:textId="77777777"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Productores locales, asociaciones, redes juveniles </w:t>
            </w:r>
          </w:p>
        </w:tc>
        <w:tc>
          <w:tcPr>
            <w:tcW w:w="0" w:type="auto"/>
            <w:vAlign w:val="center"/>
          </w:tcPr>
          <w:p w14:paraId="6D856BEF"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 Beneficiarios directos del proyecto </w:t>
            </w:r>
          </w:p>
        </w:tc>
        <w:tc>
          <w:tcPr>
            <w:tcW w:w="0" w:type="auto"/>
            <w:vAlign w:val="center"/>
          </w:tcPr>
          <w:p w14:paraId="328AA6D0" w14:textId="6B8F42C8"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Participación en formaciones, validación de herramientas, retroalimentación sobre los planes anuales</w:t>
            </w:r>
          </w:p>
        </w:tc>
      </w:tr>
      <w:tr w:rsidR="009E721B" w:rsidRPr="007D4F41" w14:paraId="23A5E9FF" w14:textId="77777777" w:rsidTr="009E721B">
        <w:tc>
          <w:tcPr>
            <w:tcW w:w="0" w:type="auto"/>
            <w:vAlign w:val="center"/>
          </w:tcPr>
          <w:p w14:paraId="65120CD1" w14:textId="77777777" w:rsidR="009E721B" w:rsidRPr="00A51E75" w:rsidRDefault="009E721B" w:rsidP="009E721B">
            <w:pPr>
              <w:spacing w:after="60"/>
              <w:rPr>
                <w:rFonts w:asciiTheme="minorHAnsi" w:eastAsia="SimSun" w:hAnsiTheme="minorHAnsi" w:cstheme="minorHAnsi"/>
                <w:sz w:val="20"/>
                <w:szCs w:val="20"/>
                <w:lang w:val="en-US"/>
              </w:rPr>
            </w:pPr>
            <w:proofErr w:type="spellStart"/>
            <w:r w:rsidRPr="00A51E75">
              <w:rPr>
                <w:rFonts w:asciiTheme="minorHAnsi" w:eastAsia="SimSun" w:hAnsiTheme="minorHAnsi" w:cstheme="minorHAnsi"/>
                <w:sz w:val="20"/>
                <w:szCs w:val="20"/>
              </w:rPr>
              <w:t>GADs</w:t>
            </w:r>
            <w:proofErr w:type="spellEnd"/>
            <w:r w:rsidRPr="00A51E75">
              <w:rPr>
                <w:rFonts w:asciiTheme="minorHAnsi" w:eastAsia="SimSun" w:hAnsiTheme="minorHAnsi" w:cstheme="minorHAnsi"/>
                <w:sz w:val="20"/>
                <w:szCs w:val="20"/>
              </w:rPr>
              <w:t xml:space="preserve"> provinciales y cantonales </w:t>
            </w:r>
          </w:p>
        </w:tc>
        <w:tc>
          <w:tcPr>
            <w:tcW w:w="0" w:type="auto"/>
            <w:vAlign w:val="center"/>
          </w:tcPr>
          <w:p w14:paraId="00829ACD"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 Autoridades locales </w:t>
            </w:r>
          </w:p>
        </w:tc>
        <w:tc>
          <w:tcPr>
            <w:tcW w:w="0" w:type="auto"/>
            <w:vAlign w:val="center"/>
          </w:tcPr>
          <w:p w14:paraId="2D795B07" w14:textId="25A2A48C"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Participación en la planificación y validación de planes territoriales; Liderazgo de las acciones locales</w:t>
            </w:r>
          </w:p>
        </w:tc>
      </w:tr>
      <w:tr w:rsidR="009E721B" w:rsidRPr="007D4F41" w14:paraId="588E48B4" w14:textId="77777777" w:rsidTr="009E721B">
        <w:tc>
          <w:tcPr>
            <w:tcW w:w="0" w:type="auto"/>
            <w:vAlign w:val="center"/>
          </w:tcPr>
          <w:p w14:paraId="2F0EA16F" w14:textId="77777777"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ONG y sociedad civil (WWF, WCS, CI, TNC, NCI) </w:t>
            </w:r>
          </w:p>
        </w:tc>
        <w:tc>
          <w:tcPr>
            <w:tcW w:w="0" w:type="auto"/>
            <w:vAlign w:val="center"/>
          </w:tcPr>
          <w:p w14:paraId="5F53ED96" w14:textId="77777777" w:rsidR="009E721B" w:rsidRPr="00A51E75" w:rsidRDefault="009E721B" w:rsidP="009E721B">
            <w:pPr>
              <w:spacing w:after="60"/>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 xml:space="preserve"> Implementación técnica y cofinanciación </w:t>
            </w:r>
          </w:p>
        </w:tc>
        <w:tc>
          <w:tcPr>
            <w:tcW w:w="0" w:type="auto"/>
            <w:vAlign w:val="center"/>
          </w:tcPr>
          <w:p w14:paraId="31CE75E9" w14:textId="41639D9F" w:rsidR="009E721B" w:rsidRPr="00D830D9" w:rsidRDefault="009E721B" w:rsidP="009E721B">
            <w:pPr>
              <w:spacing w:after="60"/>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Coordinación operativa; Contribución de metodologías, monitoreo y gestión participativa</w:t>
            </w:r>
          </w:p>
        </w:tc>
      </w:tr>
    </w:tbl>
    <w:p w14:paraId="3299996E" w14:textId="77777777" w:rsidR="009B7ADA" w:rsidRPr="00D830D9" w:rsidRDefault="009B7ADA" w:rsidP="00A52BEA">
      <w:pPr>
        <w:spacing w:after="60"/>
        <w:jc w:val="both"/>
        <w:rPr>
          <w:rFonts w:asciiTheme="minorHAnsi" w:eastAsia="SimSun" w:hAnsiTheme="minorHAnsi" w:cstheme="minorHAnsi"/>
          <w:sz w:val="20"/>
          <w:szCs w:val="20"/>
          <w:lang w:val="es-EC"/>
        </w:rPr>
      </w:pPr>
    </w:p>
    <w:p w14:paraId="1D0BC204" w14:textId="77777777" w:rsidR="00C765A4" w:rsidRPr="00D830D9" w:rsidRDefault="00C765A4" w:rsidP="001F35AA">
      <w:pPr>
        <w:pStyle w:val="Prrafodelista"/>
        <w:ind w:left="0"/>
        <w:jc w:val="both"/>
        <w:rPr>
          <w:rFonts w:asciiTheme="minorHAnsi" w:eastAsia="SimSun" w:hAnsiTheme="minorHAnsi" w:cstheme="minorBidi"/>
          <w:noProof/>
          <w:sz w:val="20"/>
          <w:szCs w:val="20"/>
          <w:u w:val="single"/>
          <w:lang w:val="es-EC" w:eastAsia="zh-CN"/>
        </w:rPr>
      </w:pPr>
    </w:p>
    <w:p w14:paraId="311E74A1" w14:textId="74FF8293" w:rsidR="00C83FB6" w:rsidRPr="00D830D9" w:rsidRDefault="5CB4F857"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u w:val="single"/>
          <w:lang w:val="es-EC" w:eastAsia="zh-CN"/>
        </w:rPr>
      </w:pPr>
      <w:r w:rsidRPr="00A51E75">
        <w:rPr>
          <w:rFonts w:asciiTheme="minorHAnsi" w:eastAsia="SimSun" w:hAnsiTheme="minorHAnsi" w:cstheme="minorBidi"/>
          <w:noProof/>
          <w:sz w:val="20"/>
          <w:szCs w:val="20"/>
          <w:u w:val="single"/>
          <w:lang w:eastAsia="zh-CN"/>
        </w:rPr>
        <w:t xml:space="preserve">PNUD: </w:t>
      </w:r>
      <w:r w:rsidRPr="00A51E75">
        <w:rPr>
          <w:rFonts w:asciiTheme="minorHAnsi" w:hAnsiTheme="minorHAnsi" w:cstheme="minorBidi"/>
          <w:sz w:val="20"/>
          <w:szCs w:val="20"/>
        </w:rPr>
        <w:t xml:space="preserve">El PNUD es responsable ante el </w:t>
      </w:r>
      <w:r w:rsidR="0078696E">
        <w:rPr>
          <w:rFonts w:asciiTheme="minorHAnsi" w:hAnsiTheme="minorHAnsi" w:cstheme="minorBidi"/>
          <w:sz w:val="20"/>
          <w:szCs w:val="20"/>
        </w:rPr>
        <w:t>FMAM</w:t>
      </w:r>
      <w:r w:rsidRPr="00A51E75">
        <w:rPr>
          <w:rFonts w:asciiTheme="minorHAnsi" w:hAnsiTheme="minorHAnsi" w:cstheme="minorBidi"/>
          <w:sz w:val="20"/>
          <w:szCs w:val="20"/>
        </w:rPr>
        <w:t xml:space="preserve"> de la implementación de este proyecto. Esto incluye supervisar la ejecución del proyecto llevada a cabo por el Socio Ejecutor para garantizar que el proyecto se lleve a cabo conforme a las políticas y procedimientos del PNUD y el </w:t>
      </w:r>
      <w:r w:rsidR="0078696E">
        <w:rPr>
          <w:rFonts w:asciiTheme="minorHAnsi" w:hAnsiTheme="minorHAnsi" w:cstheme="minorBidi"/>
          <w:sz w:val="20"/>
          <w:szCs w:val="20"/>
        </w:rPr>
        <w:t>FMAM</w:t>
      </w:r>
      <w:r w:rsidRPr="00A51E75">
        <w:rPr>
          <w:rFonts w:asciiTheme="minorHAnsi" w:hAnsiTheme="minorHAnsi" w:cstheme="minorBidi"/>
          <w:sz w:val="20"/>
          <w:szCs w:val="20"/>
        </w:rPr>
        <w:t xml:space="preserve">, así como con los estándares y disposiciones establecidos en la carta de Delegación de Autoridad (DOA) para este proyecto. </w:t>
      </w:r>
      <w:r w:rsidRPr="00A51E75">
        <w:rPr>
          <w:rFonts w:asciiTheme="minorHAnsi" w:eastAsia="SimSun" w:hAnsiTheme="minorHAnsi" w:cstheme="minorBidi"/>
          <w:noProof/>
          <w:sz w:val="20"/>
          <w:szCs w:val="20"/>
          <w:lang w:eastAsia="zh-CN"/>
        </w:rPr>
        <w:t xml:space="preserve">El Coordinador Ejecutivo del </w:t>
      </w:r>
      <w:r w:rsidR="0078696E">
        <w:rPr>
          <w:rFonts w:asciiTheme="minorHAnsi" w:eastAsia="SimSun" w:hAnsiTheme="minorHAnsi" w:cstheme="minorBidi"/>
          <w:noProof/>
          <w:sz w:val="20"/>
          <w:szCs w:val="20"/>
          <w:lang w:eastAsia="zh-CN"/>
        </w:rPr>
        <w:t>FMAM</w:t>
      </w:r>
      <w:r w:rsidRPr="00A51E75">
        <w:rPr>
          <w:rFonts w:asciiTheme="minorHAnsi" w:eastAsia="SimSun" w:hAnsiTheme="minorHAnsi" w:cstheme="minorBidi"/>
          <w:noProof/>
          <w:sz w:val="20"/>
          <w:szCs w:val="20"/>
          <w:lang w:eastAsia="zh-CN"/>
        </w:rPr>
        <w:t xml:space="preserve"> del PNUD, en consulta con las Oficinas del PNUD y el Socio Implementador, conserva el derecho de revocar la DOA del proyecto, suspender o cancelar este proyecto del </w:t>
      </w:r>
      <w:r w:rsidR="0078696E">
        <w:rPr>
          <w:rFonts w:asciiTheme="minorHAnsi" w:eastAsia="SimSun" w:hAnsiTheme="minorHAnsi" w:cstheme="minorBidi"/>
          <w:noProof/>
          <w:sz w:val="20"/>
          <w:szCs w:val="20"/>
          <w:lang w:eastAsia="zh-CN"/>
        </w:rPr>
        <w:t>FMAM</w:t>
      </w:r>
      <w:r w:rsidRPr="00A51E75">
        <w:rPr>
          <w:rFonts w:asciiTheme="minorHAnsi" w:eastAsia="SimSun" w:hAnsiTheme="minorHAnsi" w:cstheme="minorBidi"/>
          <w:noProof/>
          <w:sz w:val="20"/>
          <w:szCs w:val="20"/>
          <w:lang w:eastAsia="zh-CN"/>
        </w:rPr>
        <w:t xml:space="preserve">. </w:t>
      </w:r>
      <w:r w:rsidRPr="00A51E75">
        <w:rPr>
          <w:rFonts w:asciiTheme="minorHAnsi" w:hAnsiTheme="minorHAnsi" w:cstheme="minorBidi"/>
          <w:sz w:val="20"/>
          <w:szCs w:val="20"/>
        </w:rPr>
        <w:t>El PNUD es responsable de la función de Aseguramiento del Proyecto en la estructura de gobernanza del proyecto y presenta ante la Junta del Proyecto y asiste a las reuniones de la Junta como miembro sin derecho a voto.</w:t>
      </w:r>
    </w:p>
    <w:p w14:paraId="1F95915F" w14:textId="1D4D2B3B" w:rsidR="00BD32F8" w:rsidRPr="00D830D9" w:rsidRDefault="4FDD74C9"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u w:val="single"/>
          <w:lang w:val="es-EC" w:eastAsia="zh-CN"/>
        </w:rPr>
      </w:pPr>
      <w:r w:rsidRPr="00A51E75">
        <w:rPr>
          <w:rFonts w:asciiTheme="minorHAnsi" w:hAnsiTheme="minorHAnsi" w:cstheme="minorBidi"/>
          <w:sz w:val="20"/>
          <w:szCs w:val="20"/>
        </w:rPr>
        <w:t xml:space="preserve">Se mantendrá un cortafuegos entre la prestación de la supervisión del proyecto y el aseguramiento de calidad realizados por el PNUD y cargados a la Cuota del </w:t>
      </w:r>
      <w:r w:rsidR="0078696E">
        <w:rPr>
          <w:rFonts w:asciiTheme="minorHAnsi" w:hAnsiTheme="minorHAnsi" w:cstheme="minorBidi"/>
          <w:sz w:val="20"/>
          <w:szCs w:val="20"/>
        </w:rPr>
        <w:t>FMAM</w:t>
      </w:r>
      <w:r w:rsidRPr="00A51E75">
        <w:rPr>
          <w:rFonts w:asciiTheme="minorHAnsi" w:hAnsiTheme="minorHAnsi" w:cstheme="minorBidi"/>
          <w:sz w:val="20"/>
          <w:szCs w:val="20"/>
        </w:rPr>
        <w:t xml:space="preserve"> y cualquier apoyo a la ejecución del proyecto realizado por el PNUD (según lo solicitado y acordado por el Socio Ejecutor y el </w:t>
      </w:r>
      <w:r w:rsidR="0078696E">
        <w:rPr>
          <w:rFonts w:asciiTheme="minorHAnsi" w:hAnsiTheme="minorHAnsi" w:cstheme="minorBidi"/>
          <w:sz w:val="20"/>
          <w:szCs w:val="20"/>
        </w:rPr>
        <w:t>FMAM</w:t>
      </w:r>
      <w:r w:rsidRPr="00A51E75">
        <w:rPr>
          <w:rFonts w:asciiTheme="minorHAnsi" w:hAnsiTheme="minorHAnsi" w:cstheme="minorBidi"/>
          <w:sz w:val="20"/>
          <w:szCs w:val="20"/>
        </w:rPr>
        <w:t xml:space="preserve">), y no se cargará al presupuesto del </w:t>
      </w:r>
      <w:r w:rsidRPr="00A51E75">
        <w:rPr>
          <w:rFonts w:asciiTheme="minorHAnsi" w:hAnsiTheme="minorHAnsi" w:cstheme="minorBidi"/>
          <w:sz w:val="20"/>
          <w:szCs w:val="20"/>
        </w:rPr>
        <w:lastRenderedPageBreak/>
        <w:t xml:space="preserve">proyecto, sino que estará totalmente cubierto por recursos no pertenecientes al </w:t>
      </w:r>
      <w:r w:rsidR="0078696E">
        <w:rPr>
          <w:rFonts w:asciiTheme="minorHAnsi" w:hAnsiTheme="minorHAnsi" w:cstheme="minorBidi"/>
          <w:sz w:val="20"/>
          <w:szCs w:val="20"/>
        </w:rPr>
        <w:t>FMAM</w:t>
      </w:r>
      <w:r w:rsidRPr="00A51E75">
        <w:rPr>
          <w:rFonts w:asciiTheme="minorHAnsi" w:hAnsiTheme="minorHAnsi" w:cstheme="minorBidi"/>
          <w:sz w:val="20"/>
          <w:szCs w:val="20"/>
        </w:rPr>
        <w:t>. La segregación de funciones y las disposiciones de cortafuegos para el PNUD en este caso se describen en la siguiente sección.</w:t>
      </w:r>
    </w:p>
    <w:p w14:paraId="16BA192F" w14:textId="369C5E2E" w:rsidR="00DD2A9B" w:rsidRPr="00D830D9" w:rsidRDefault="5333626C" w:rsidP="00BD32F8">
      <w:pPr>
        <w:pStyle w:val="Prrafodelista"/>
        <w:ind w:left="0"/>
        <w:jc w:val="both"/>
        <w:rPr>
          <w:rFonts w:asciiTheme="minorHAnsi" w:eastAsia="SimSun" w:hAnsiTheme="minorHAnsi" w:cstheme="minorBidi"/>
          <w:noProof/>
          <w:sz w:val="20"/>
          <w:szCs w:val="20"/>
          <w:u w:val="single"/>
          <w:lang w:val="es-EC" w:eastAsia="zh-CN"/>
        </w:rPr>
      </w:pPr>
      <w:r w:rsidRPr="00A51E75">
        <w:rPr>
          <w:rFonts w:asciiTheme="minorHAnsi" w:eastAsia="SimSun" w:hAnsiTheme="minorHAnsi" w:cstheme="minorBidi"/>
          <w:noProof/>
          <w:sz w:val="20"/>
          <w:szCs w:val="20"/>
          <w:lang w:eastAsia="zh-CN"/>
        </w:rPr>
        <w:t>Para garantizar la coherencia técnica y la articulación efectiva entre los actores institucionales clave</w:t>
      </w:r>
      <w:r w:rsidRPr="006352A8">
        <w:rPr>
          <w:rFonts w:asciiTheme="minorHAnsi" w:eastAsia="SimSun" w:hAnsiTheme="minorHAnsi" w:cstheme="minorBidi"/>
          <w:noProof/>
          <w:sz w:val="20"/>
          <w:szCs w:val="20"/>
          <w:lang w:eastAsia="zh-CN"/>
        </w:rPr>
        <w:t>,  se establecerá un Comité Asesor Técnico. Este Comité actuará como un órgano consultivo no ejecu</w:t>
      </w:r>
      <w:r w:rsidRPr="00A51E75">
        <w:rPr>
          <w:rFonts w:asciiTheme="minorHAnsi" w:eastAsia="SimSun" w:hAnsiTheme="minorHAnsi" w:cstheme="minorBidi"/>
          <w:noProof/>
          <w:sz w:val="20"/>
          <w:szCs w:val="20"/>
          <w:lang w:eastAsia="zh-CN"/>
        </w:rPr>
        <w:t xml:space="preserve">tivo compuesto por representantes de subsecretarías técnicas de la </w:t>
      </w:r>
      <w:r w:rsidR="009E221F">
        <w:rPr>
          <w:rFonts w:asciiTheme="minorHAnsi" w:eastAsia="SimSun" w:hAnsiTheme="minorHAnsi" w:cstheme="minorBidi"/>
          <w:noProof/>
          <w:sz w:val="20"/>
          <w:szCs w:val="20"/>
          <w:lang w:eastAsia="zh-CN"/>
        </w:rPr>
        <w:t>MAE</w:t>
      </w:r>
      <w:r w:rsidRPr="00A51E75">
        <w:rPr>
          <w:rFonts w:asciiTheme="minorHAnsi" w:eastAsia="SimSun" w:hAnsiTheme="minorHAnsi" w:cstheme="minorBidi"/>
          <w:noProof/>
          <w:sz w:val="20"/>
          <w:szCs w:val="20"/>
          <w:lang w:eastAsia="zh-CN"/>
        </w:rPr>
        <w:t>, el Ministerio de Agricultura</w:t>
      </w:r>
      <w:r w:rsidR="003940EC">
        <w:rPr>
          <w:rFonts w:asciiTheme="minorHAnsi" w:eastAsia="SimSun" w:hAnsiTheme="minorHAnsi" w:cstheme="minorBidi"/>
          <w:noProof/>
          <w:sz w:val="20"/>
          <w:szCs w:val="20"/>
          <w:lang w:eastAsia="zh-CN"/>
        </w:rPr>
        <w:t>,</w:t>
      </w:r>
      <w:r w:rsidRPr="00A51E75">
        <w:rPr>
          <w:rFonts w:asciiTheme="minorHAnsi" w:eastAsia="SimSun" w:hAnsiTheme="minorHAnsi" w:cstheme="minorBidi"/>
          <w:noProof/>
          <w:sz w:val="20"/>
          <w:szCs w:val="20"/>
          <w:lang w:eastAsia="zh-CN"/>
        </w:rPr>
        <w:t xml:space="preserve"> Ganadería</w:t>
      </w:r>
      <w:r w:rsidR="003940EC">
        <w:rPr>
          <w:rFonts w:asciiTheme="minorHAnsi" w:eastAsia="SimSun" w:hAnsiTheme="minorHAnsi" w:cstheme="minorBidi"/>
          <w:noProof/>
          <w:sz w:val="20"/>
          <w:szCs w:val="20"/>
          <w:lang w:eastAsia="zh-CN"/>
        </w:rPr>
        <w:t xml:space="preserve"> y Pesca</w:t>
      </w:r>
      <w:r w:rsidRPr="00A51E75">
        <w:rPr>
          <w:rFonts w:asciiTheme="minorHAnsi" w:eastAsia="SimSun" w:hAnsiTheme="minorHAnsi" w:cstheme="minorBidi"/>
          <w:noProof/>
          <w:sz w:val="20"/>
          <w:szCs w:val="20"/>
          <w:lang w:eastAsia="zh-CN"/>
        </w:rPr>
        <w:t xml:space="preserve"> (</w:t>
      </w:r>
      <w:r w:rsidR="009E221F">
        <w:rPr>
          <w:rFonts w:asciiTheme="minorHAnsi" w:eastAsia="SimSun" w:hAnsiTheme="minorHAnsi" w:cstheme="minorBidi"/>
          <w:noProof/>
          <w:sz w:val="20"/>
          <w:szCs w:val="20"/>
          <w:lang w:eastAsia="zh-CN"/>
        </w:rPr>
        <w:t>MAGP</w:t>
      </w:r>
      <w:r w:rsidRPr="00A51E75">
        <w:rPr>
          <w:rFonts w:asciiTheme="minorHAnsi" w:eastAsia="SimSun" w:hAnsiTheme="minorHAnsi" w:cstheme="minorBidi"/>
          <w:noProof/>
          <w:sz w:val="20"/>
          <w:szCs w:val="20"/>
          <w:lang w:eastAsia="zh-CN"/>
        </w:rPr>
        <w:t>) y otros actores relevantes, según sea necesario. Su función principal es proporcionar orientación técnica y promover la alineación de las intervenciones de los proyectos con las políticas nacionales y las prioridades sectoriales. El Comité Asesor Técnico no tendrá autoridad para tomar decisiones, ni asumirá responsabilidades relacionadas con la ejecución o supervisión del proyecto. Su función es totalmente coherente con el cortafuegos que garantiza una clara separación funcional entre el Panel de Proyecto (supervisión) y la Unidad de Gestión de Proyectos (ejecución). El Comité se reunirá periódicamente para revisar los entregables técnicos clave y proporcionar recomendaciones al Socio Implementador y a la Junta del Proyecto.</w:t>
      </w:r>
    </w:p>
    <w:p w14:paraId="7651D57C" w14:textId="77777777" w:rsidR="00BD32F8" w:rsidRPr="00D830D9" w:rsidRDefault="00BD32F8" w:rsidP="003F7D8D">
      <w:pPr>
        <w:jc w:val="both"/>
        <w:rPr>
          <w:rFonts w:asciiTheme="minorHAnsi" w:hAnsiTheme="minorHAnsi" w:cstheme="minorHAnsi"/>
          <w:b/>
          <w:bCs/>
          <w:lang w:val="es-EC"/>
        </w:rPr>
      </w:pPr>
    </w:p>
    <w:p w14:paraId="62DE57AA" w14:textId="7B80C95E" w:rsidR="003F7D8D" w:rsidRPr="00A51E75" w:rsidRDefault="003F7D8D" w:rsidP="003F7D8D">
      <w:pPr>
        <w:jc w:val="both"/>
        <w:rPr>
          <w:rFonts w:asciiTheme="minorHAnsi" w:hAnsiTheme="minorHAnsi" w:cstheme="minorHAnsi"/>
        </w:rPr>
      </w:pPr>
      <w:r w:rsidRPr="00A51E75">
        <w:rPr>
          <w:rFonts w:asciiTheme="minorHAnsi" w:hAnsiTheme="minorHAnsi" w:cstheme="minorHAnsi"/>
          <w:b/>
          <w:bCs/>
        </w:rPr>
        <w:t>Sección 2: Estructura de Gobernanza del Proyecto</w:t>
      </w:r>
    </w:p>
    <w:p w14:paraId="598AC3F3" w14:textId="77777777" w:rsidR="003F7D8D" w:rsidRPr="00A51E75" w:rsidRDefault="003F7D8D" w:rsidP="00A52BEA">
      <w:pPr>
        <w:jc w:val="both"/>
        <w:rPr>
          <w:rFonts w:asciiTheme="minorHAnsi" w:hAnsiTheme="minorHAnsi" w:cstheme="minorHAnsi"/>
          <w:sz w:val="20"/>
          <w:szCs w:val="20"/>
        </w:rPr>
      </w:pPr>
    </w:p>
    <w:p w14:paraId="3033D1F6" w14:textId="0C160BE9" w:rsidR="00A52BEA" w:rsidRPr="00A51E75" w:rsidRDefault="005038E6" w:rsidP="00292600">
      <w:pPr>
        <w:jc w:val="center"/>
      </w:pPr>
      <w:r w:rsidRPr="005038E6">
        <w:rPr>
          <w:noProof/>
        </w:rPr>
        <w:drawing>
          <wp:inline distT="0" distB="0" distL="0" distR="0" wp14:anchorId="44D3B15A" wp14:editId="0293BF86">
            <wp:extent cx="5943600" cy="4669155"/>
            <wp:effectExtent l="0" t="0" r="0" b="4445"/>
            <wp:docPr id="5577383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38323" name=""/>
                    <pic:cNvPicPr/>
                  </pic:nvPicPr>
                  <pic:blipFill>
                    <a:blip r:embed="rId19"/>
                    <a:stretch>
                      <a:fillRect/>
                    </a:stretch>
                  </pic:blipFill>
                  <pic:spPr>
                    <a:xfrm>
                      <a:off x="0" y="0"/>
                      <a:ext cx="5943600" cy="4669155"/>
                    </a:xfrm>
                    <a:prstGeom prst="rect">
                      <a:avLst/>
                    </a:prstGeom>
                  </pic:spPr>
                </pic:pic>
              </a:graphicData>
            </a:graphic>
          </wp:inline>
        </w:drawing>
      </w:r>
    </w:p>
    <w:p w14:paraId="079CCEE7" w14:textId="6F497B17" w:rsidR="00B220F9" w:rsidRPr="00D830D9" w:rsidRDefault="00042AE0"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lang w:val="es-EC" w:eastAsia="zh-CN"/>
        </w:rPr>
      </w:pPr>
      <w:bookmarkStart w:id="55" w:name="_Hlk195709165"/>
      <w:r w:rsidRPr="00A51E75">
        <w:rPr>
          <w:rFonts w:asciiTheme="minorHAnsi" w:eastAsia="SimSun" w:hAnsiTheme="minorHAnsi" w:cstheme="minorBidi"/>
          <w:noProof/>
          <w:sz w:val="20"/>
          <w:szCs w:val="20"/>
          <w:lang w:eastAsia="zh-CN"/>
        </w:rPr>
        <w:t xml:space="preserve">El Representante Residente del PNUD asume plena responsabilidad y rendición de cuentas por la supervisión y aseguramiento de la calidad de este proyecto y garantiza su implementación oportuna de acuerdo con los requisitos específicos del </w:t>
      </w:r>
      <w:r w:rsidR="0078696E">
        <w:rPr>
          <w:rFonts w:asciiTheme="minorHAnsi" w:eastAsia="SimSun" w:hAnsiTheme="minorHAnsi" w:cstheme="minorBidi"/>
          <w:noProof/>
          <w:sz w:val="20"/>
          <w:szCs w:val="20"/>
          <w:lang w:eastAsia="zh-CN"/>
        </w:rPr>
        <w:t>FMAM</w:t>
      </w:r>
      <w:r w:rsidRPr="00A51E75">
        <w:rPr>
          <w:rFonts w:asciiTheme="minorHAnsi" w:eastAsia="SimSun" w:hAnsiTheme="minorHAnsi" w:cstheme="minorBidi"/>
          <w:noProof/>
          <w:sz w:val="20"/>
          <w:szCs w:val="20"/>
          <w:lang w:eastAsia="zh-CN"/>
        </w:rPr>
        <w:t>, así como con las Políticas y Procedimientos de Programas y Operaciones (POPP</w:t>
      </w:r>
      <w:r w:rsidR="00DC4F9F">
        <w:rPr>
          <w:rFonts w:asciiTheme="minorHAnsi" w:eastAsia="SimSun" w:hAnsiTheme="minorHAnsi" w:cstheme="minorBidi"/>
          <w:noProof/>
          <w:sz w:val="20"/>
          <w:szCs w:val="20"/>
          <w:lang w:eastAsia="zh-CN"/>
        </w:rPr>
        <w:t xml:space="preserve"> por sigla en inglés</w:t>
      </w:r>
      <w:r w:rsidRPr="00A51E75">
        <w:rPr>
          <w:rFonts w:asciiTheme="minorHAnsi" w:eastAsia="SimSun" w:hAnsiTheme="minorHAnsi" w:cstheme="minorBidi"/>
          <w:noProof/>
          <w:sz w:val="20"/>
          <w:szCs w:val="20"/>
          <w:lang w:eastAsia="zh-CN"/>
        </w:rPr>
        <w:t>) del PNUD, sus Regulaciones Financieras y el Marco de Control Interno. Un representante de la Oficina de País del PNUD desempeñará la función de aseguramiento y presentará los hallazgos de la garantía a la Junta del Proyecto, asistiendo a sus reuniones como miembro sin derecho a voto.</w:t>
      </w:r>
    </w:p>
    <w:p w14:paraId="5EF0A87A" w14:textId="74E9756A" w:rsidR="00A07464" w:rsidRPr="0074015C" w:rsidRDefault="5CB4F857"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lang w:val="es-EC" w:eastAsia="zh-CN"/>
        </w:rPr>
      </w:pPr>
      <w:r w:rsidRPr="00A51E75">
        <w:rPr>
          <w:rFonts w:asciiTheme="minorHAnsi" w:eastAsia="SimSun" w:hAnsiTheme="minorHAnsi" w:cstheme="minorBidi"/>
          <w:b/>
          <w:bCs/>
          <w:noProof/>
          <w:sz w:val="20"/>
          <w:szCs w:val="20"/>
          <w:lang w:eastAsia="zh-CN"/>
        </w:rPr>
        <w:lastRenderedPageBreak/>
        <w:t>Apoyo al proyecto del PNUD</w:t>
      </w:r>
      <w:r w:rsidRPr="00A51E75">
        <w:rPr>
          <w:rFonts w:asciiTheme="minorHAnsi" w:eastAsia="SimSun" w:hAnsiTheme="minorHAnsi" w:cstheme="minorBidi"/>
          <w:noProof/>
          <w:sz w:val="20"/>
          <w:szCs w:val="20"/>
          <w:lang w:eastAsia="zh-CN"/>
        </w:rPr>
        <w:t xml:space="preserve">: El socio ejecutor y la </w:t>
      </w:r>
      <w:r w:rsidR="00653675">
        <w:rPr>
          <w:rFonts w:asciiTheme="minorHAnsi" w:eastAsia="SimSun" w:hAnsiTheme="minorHAnsi" w:cstheme="minorBidi"/>
          <w:noProof/>
          <w:sz w:val="20"/>
          <w:szCs w:val="20"/>
          <w:lang w:eastAsia="zh-CN"/>
        </w:rPr>
        <w:t>Punto Focal Operativo (</w:t>
      </w:r>
      <w:r w:rsidRPr="00A51E75">
        <w:rPr>
          <w:rFonts w:asciiTheme="minorHAnsi" w:eastAsia="SimSun" w:hAnsiTheme="minorHAnsi" w:cstheme="minorBidi"/>
          <w:noProof/>
          <w:sz w:val="20"/>
          <w:szCs w:val="20"/>
          <w:lang w:eastAsia="zh-CN"/>
        </w:rPr>
        <w:t>OFP</w:t>
      </w:r>
      <w:r w:rsidR="00653675">
        <w:rPr>
          <w:rFonts w:asciiTheme="minorHAnsi" w:eastAsia="SimSun" w:hAnsiTheme="minorHAnsi" w:cstheme="minorBidi"/>
          <w:noProof/>
          <w:sz w:val="20"/>
          <w:szCs w:val="20"/>
          <w:lang w:eastAsia="zh-CN"/>
        </w:rPr>
        <w:t xml:space="preserve"> por sigla en ingles) </w:t>
      </w:r>
      <w:r w:rsidRPr="00A51E75">
        <w:rPr>
          <w:rFonts w:asciiTheme="minorHAnsi" w:eastAsia="SimSun" w:hAnsiTheme="minorHAnsi" w:cstheme="minorBidi"/>
          <w:noProof/>
          <w:sz w:val="20"/>
          <w:szCs w:val="20"/>
          <w:lang w:eastAsia="zh-CN"/>
        </w:rPr>
        <w:t xml:space="preserve">del </w:t>
      </w:r>
      <w:r w:rsidR="0078696E">
        <w:rPr>
          <w:rFonts w:asciiTheme="minorHAnsi" w:eastAsia="SimSun" w:hAnsiTheme="minorHAnsi" w:cstheme="minorBidi"/>
          <w:noProof/>
          <w:sz w:val="20"/>
          <w:szCs w:val="20"/>
          <w:lang w:eastAsia="zh-CN"/>
        </w:rPr>
        <w:t>FMAM</w:t>
      </w:r>
      <w:r w:rsidRPr="00A51E75">
        <w:rPr>
          <w:rFonts w:asciiTheme="minorHAnsi" w:eastAsia="SimSun" w:hAnsiTheme="minorHAnsi" w:cstheme="minorBidi"/>
          <w:noProof/>
          <w:sz w:val="20"/>
          <w:szCs w:val="20"/>
          <w:lang w:eastAsia="zh-CN"/>
        </w:rPr>
        <w:t xml:space="preserve"> han solicitado al PNUD que preste servicios de apoyo por un importe de </w:t>
      </w:r>
      <w:r w:rsidR="00E664C0">
        <w:rPr>
          <w:rFonts w:asciiTheme="minorHAnsi" w:eastAsia="SimSun" w:hAnsiTheme="minorHAnsi" w:cstheme="minorBidi"/>
          <w:noProof/>
          <w:sz w:val="20"/>
          <w:szCs w:val="20"/>
          <w:lang w:eastAsia="zh-CN"/>
        </w:rPr>
        <w:t xml:space="preserve">USD </w:t>
      </w:r>
      <w:r w:rsidRPr="00A51E75">
        <w:rPr>
          <w:rFonts w:asciiTheme="minorHAnsi" w:eastAsia="SimSun" w:hAnsiTheme="minorHAnsi" w:cstheme="minorBidi"/>
          <w:noProof/>
          <w:sz w:val="20"/>
          <w:szCs w:val="20"/>
          <w:lang w:eastAsia="zh-CN"/>
        </w:rPr>
        <w:t xml:space="preserve">200.000 durante toda la duración del proyecto, </w:t>
      </w:r>
      <w:r w:rsidR="49CBCC7A" w:rsidRPr="00A51E75">
        <w:rPr>
          <w:rFonts w:ascii="Calibri" w:eastAsia="SimSun" w:hAnsi="Calibri" w:cs="Calibri"/>
          <w:noProof/>
          <w:sz w:val="20"/>
          <w:szCs w:val="20"/>
        </w:rPr>
        <w:t xml:space="preserve">y el </w:t>
      </w:r>
      <w:r w:rsidR="0078696E">
        <w:rPr>
          <w:rFonts w:ascii="Calibri" w:eastAsia="SimSun" w:hAnsi="Calibri" w:cs="Calibri"/>
          <w:noProof/>
          <w:sz w:val="20"/>
          <w:szCs w:val="20"/>
        </w:rPr>
        <w:t>FMAM</w:t>
      </w:r>
      <w:r w:rsidR="49CBCC7A" w:rsidRPr="00A51E75">
        <w:rPr>
          <w:rFonts w:ascii="Calibri" w:eastAsia="SimSun" w:hAnsi="Calibri" w:cs="Calibri"/>
          <w:noProof/>
          <w:sz w:val="20"/>
          <w:szCs w:val="20"/>
        </w:rPr>
        <w:t xml:space="preserve"> ha acordado que el PNUD proporcione dichos servicios de apoyo a la ejecución</w:t>
      </w:r>
      <w:r w:rsidR="003F7D8D" w:rsidRPr="00A51E75">
        <w:rPr>
          <w:rFonts w:ascii="Calibri" w:eastAsia="SimSun" w:hAnsi="Calibri" w:cs="Calibri"/>
          <w:noProof/>
          <w:sz w:val="20"/>
          <w:szCs w:val="20"/>
          <w:vertAlign w:val="superscript"/>
        </w:rPr>
        <w:footnoteReference w:id="16"/>
      </w:r>
      <w:r w:rsidR="7D4A3DA3" w:rsidRPr="00A51E75">
        <w:rPr>
          <w:rFonts w:ascii="Calibri" w:eastAsia="SimSun" w:hAnsi="Calibri" w:cs="Calibri"/>
          <w:noProof/>
          <w:sz w:val="20"/>
          <w:szCs w:val="20"/>
        </w:rPr>
        <w:t>, siempre que estos cost</w:t>
      </w:r>
      <w:r w:rsidR="00E664C0">
        <w:rPr>
          <w:rFonts w:ascii="Calibri" w:eastAsia="SimSun" w:hAnsi="Calibri" w:cs="Calibri"/>
          <w:noProof/>
          <w:sz w:val="20"/>
          <w:szCs w:val="20"/>
        </w:rPr>
        <w:t>o</w:t>
      </w:r>
      <w:r w:rsidR="7D4A3DA3" w:rsidRPr="00A51E75">
        <w:rPr>
          <w:rFonts w:ascii="Calibri" w:eastAsia="SimSun" w:hAnsi="Calibri" w:cs="Calibri"/>
          <w:noProof/>
          <w:sz w:val="20"/>
          <w:szCs w:val="20"/>
        </w:rPr>
        <w:t xml:space="preserve">s no se carguen al presupuesto del proyecto sino que estén totalmente cubiertos por recursos no pertenecientes al </w:t>
      </w:r>
      <w:r w:rsidR="0078696E">
        <w:rPr>
          <w:rFonts w:ascii="Calibri" w:eastAsia="SimSun" w:hAnsi="Calibri" w:cs="Calibri"/>
          <w:noProof/>
          <w:sz w:val="20"/>
          <w:szCs w:val="20"/>
        </w:rPr>
        <w:t>FMAM</w:t>
      </w:r>
      <w:r w:rsidR="7D4A3DA3" w:rsidRPr="00A51E75">
        <w:rPr>
          <w:rFonts w:ascii="Calibri" w:eastAsia="SimSun" w:hAnsi="Calibri" w:cs="Calibri"/>
          <w:noProof/>
          <w:sz w:val="20"/>
          <w:szCs w:val="20"/>
        </w:rPr>
        <w:t xml:space="preserve">. </w:t>
      </w:r>
      <w:r w:rsidR="2A26F150" w:rsidRPr="00A51E75">
        <w:rPr>
          <w:rFonts w:asciiTheme="minorHAnsi" w:eastAsia="SimSun" w:hAnsiTheme="minorHAnsi" w:cstheme="minorBidi"/>
          <w:noProof/>
          <w:sz w:val="20"/>
          <w:szCs w:val="20"/>
          <w:lang w:eastAsia="zh-CN"/>
        </w:rPr>
        <w:t>Los servicios de apoyo a la ejecución se han detallado y acordado entre la Oficina del PNUD y el Socio Ejecutor en una Carta de Acuerdo (LOA</w:t>
      </w:r>
      <w:r w:rsidR="0074015C">
        <w:rPr>
          <w:rFonts w:asciiTheme="minorHAnsi" w:eastAsia="SimSun" w:hAnsiTheme="minorHAnsi" w:cstheme="minorBidi"/>
          <w:noProof/>
          <w:sz w:val="20"/>
          <w:szCs w:val="20"/>
          <w:lang w:eastAsia="zh-CN"/>
        </w:rPr>
        <w:t xml:space="preserve"> por sigla en inglés</w:t>
      </w:r>
      <w:r w:rsidR="2A26F150" w:rsidRPr="00A51E75">
        <w:rPr>
          <w:rFonts w:asciiTheme="minorHAnsi" w:eastAsia="SimSun" w:hAnsiTheme="minorHAnsi" w:cstheme="minorBidi"/>
          <w:noProof/>
          <w:sz w:val="20"/>
          <w:szCs w:val="20"/>
          <w:lang w:eastAsia="zh-CN"/>
        </w:rPr>
        <w:t>). Esta LOA está adjunta a este Documento del Proyecto.</w:t>
      </w:r>
    </w:p>
    <w:p w14:paraId="7DF1379A" w14:textId="1880AE48" w:rsidR="003F7D8D" w:rsidRPr="00D830D9" w:rsidRDefault="003F7D8D" w:rsidP="00EC2CBE">
      <w:pPr>
        <w:pStyle w:val="Prrafodelista"/>
        <w:numPr>
          <w:ilvl w:val="0"/>
          <w:numId w:val="3"/>
        </w:numPr>
        <w:tabs>
          <w:tab w:val="clear" w:pos="360"/>
          <w:tab w:val="num" w:pos="0"/>
        </w:tabs>
        <w:ind w:left="0" w:hanging="502"/>
        <w:jc w:val="both"/>
        <w:rPr>
          <w:rFonts w:asciiTheme="minorHAnsi" w:eastAsia="SimSun" w:hAnsiTheme="minorHAnsi" w:cstheme="minorBidi"/>
          <w:noProof/>
          <w:sz w:val="20"/>
          <w:szCs w:val="20"/>
          <w:lang w:val="es-EC" w:eastAsia="zh-CN"/>
        </w:rPr>
      </w:pPr>
      <w:r w:rsidRPr="00A51E75">
        <w:rPr>
          <w:rFonts w:asciiTheme="minorHAnsi" w:eastAsia="SimSun" w:hAnsiTheme="minorHAnsi" w:cstheme="minorHAnsi"/>
          <w:noProof/>
          <w:sz w:val="20"/>
          <w:szCs w:val="20"/>
          <w:lang w:eastAsia="zh-CN"/>
        </w:rPr>
        <w:t xml:space="preserve">Para garantizar la estricta independencia exigida por el </w:t>
      </w:r>
      <w:r w:rsidR="0078696E">
        <w:rPr>
          <w:rFonts w:asciiTheme="minorHAnsi" w:eastAsia="SimSun" w:hAnsiTheme="minorHAnsi" w:cstheme="minorHAnsi"/>
          <w:noProof/>
          <w:sz w:val="20"/>
          <w:szCs w:val="20"/>
          <w:lang w:eastAsia="zh-CN"/>
        </w:rPr>
        <w:t>FMAM</w:t>
      </w:r>
      <w:r w:rsidRPr="00A51E75">
        <w:rPr>
          <w:rFonts w:asciiTheme="minorHAnsi" w:eastAsia="SimSun" w:hAnsiTheme="minorHAnsi" w:cstheme="minorHAnsi"/>
          <w:noProof/>
          <w:sz w:val="20"/>
          <w:szCs w:val="20"/>
          <w:lang w:eastAsia="zh-CN"/>
        </w:rPr>
        <w:t xml:space="preserve"> y de acuerdo con el Marco de Control Interno del PNUD, estos servicios de ejecución se proporcionarán de forma independiente de los servicios específicos de supervisión y aseguramiento de calidad del </w:t>
      </w:r>
      <w:r w:rsidR="0078696E">
        <w:rPr>
          <w:rFonts w:asciiTheme="minorHAnsi" w:eastAsia="SimSun" w:hAnsiTheme="minorHAnsi" w:cstheme="minorHAnsi"/>
          <w:noProof/>
          <w:sz w:val="20"/>
          <w:szCs w:val="20"/>
          <w:lang w:eastAsia="zh-CN"/>
        </w:rPr>
        <w:t>FMAM</w:t>
      </w:r>
      <w:r w:rsidRPr="00A51E75">
        <w:rPr>
          <w:rFonts w:asciiTheme="minorHAnsi" w:eastAsia="SimSun" w:hAnsiTheme="minorHAnsi" w:cstheme="minorHAnsi"/>
          <w:noProof/>
          <w:sz w:val="20"/>
          <w:szCs w:val="20"/>
          <w:lang w:eastAsia="zh-CN"/>
        </w:rPr>
        <w:t>.</w:t>
      </w:r>
    </w:p>
    <w:p w14:paraId="29EF076F" w14:textId="5DCCD04C" w:rsidR="003F7D8D" w:rsidRPr="00D830D9" w:rsidRDefault="003F7D8D" w:rsidP="003F7D8D">
      <w:pPr>
        <w:shd w:val="clear" w:color="auto" w:fill="FFFFFF"/>
        <w:jc w:val="both"/>
        <w:rPr>
          <w:rFonts w:asciiTheme="minorHAnsi" w:eastAsia="SimSun" w:hAnsiTheme="minorHAnsi" w:cstheme="minorHAnsi"/>
          <w:noProof/>
          <w:sz w:val="20"/>
          <w:szCs w:val="20"/>
          <w:lang w:val="es-EC" w:eastAsia="zh-CN"/>
        </w:rPr>
      </w:pPr>
    </w:p>
    <w:p w14:paraId="51FCE3CC" w14:textId="33EE53B1" w:rsidR="003F7D8D" w:rsidRPr="00D830D9" w:rsidRDefault="5CB4F857" w:rsidP="4D0299E8">
      <w:pPr>
        <w:shd w:val="clear" w:color="auto" w:fill="FFFFFF" w:themeFill="background1"/>
        <w:jc w:val="both"/>
        <w:rPr>
          <w:rFonts w:asciiTheme="minorHAnsi" w:eastAsia="SimSun" w:hAnsiTheme="minorHAnsi" w:cstheme="minorBidi"/>
          <w:b/>
          <w:bCs/>
          <w:noProof/>
          <w:lang w:val="es-EC" w:eastAsia="zh-CN"/>
        </w:rPr>
      </w:pPr>
      <w:r w:rsidRPr="00A51E75">
        <w:rPr>
          <w:rFonts w:asciiTheme="minorHAnsi" w:eastAsia="SimSun" w:hAnsiTheme="minorHAnsi" w:cstheme="minorBidi"/>
          <w:b/>
          <w:bCs/>
          <w:noProof/>
          <w:lang w:eastAsia="zh-CN"/>
        </w:rPr>
        <w:t>Sección 3: Segregación de funciones y Firewalls respecto a la representación del PNUD en la Junta del Proyecto</w:t>
      </w:r>
    </w:p>
    <w:p w14:paraId="38FB2C22" w14:textId="77777777" w:rsidR="000B241B" w:rsidRPr="00D830D9" w:rsidRDefault="000B241B" w:rsidP="000B241B">
      <w:pPr>
        <w:pStyle w:val="Prrafodelista"/>
        <w:tabs>
          <w:tab w:val="left" w:pos="540"/>
        </w:tabs>
        <w:spacing w:after="120"/>
        <w:ind w:left="0"/>
        <w:contextualSpacing w:val="0"/>
        <w:jc w:val="both"/>
        <w:rPr>
          <w:rFonts w:asciiTheme="minorHAnsi" w:eastAsia="SimSun" w:hAnsiTheme="minorHAnsi" w:cstheme="minorHAnsi"/>
          <w:noProof/>
          <w:sz w:val="20"/>
          <w:szCs w:val="20"/>
          <w:lang w:val="es-EC" w:eastAsia="zh-CN"/>
        </w:rPr>
      </w:pPr>
    </w:p>
    <w:p w14:paraId="653569A7" w14:textId="7A7FB4DD" w:rsidR="00F025E1" w:rsidRPr="00D830D9" w:rsidRDefault="00617996"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noProof/>
          <w:sz w:val="20"/>
          <w:szCs w:val="20"/>
          <w:lang w:eastAsia="zh-CN"/>
        </w:rPr>
        <w:t>Como se señala</w:t>
      </w:r>
      <w:r w:rsidR="00AA444A" w:rsidRPr="00A51E75">
        <w:rPr>
          <w:rFonts w:ascii="Calibri" w:eastAsia="SimSun" w:hAnsi="Calibri" w:cs="Arial"/>
          <w:bCs/>
          <w:noProof/>
          <w:sz w:val="20"/>
          <w:szCs w:val="20"/>
          <w:lang w:eastAsia="zh-CN"/>
        </w:rPr>
        <w:t xml:space="preserve"> en </w:t>
      </w:r>
      <w:r w:rsidR="0074015C">
        <w:rPr>
          <w:rFonts w:ascii="Calibri" w:eastAsia="SimSun" w:hAnsi="Calibri" w:cs="Arial"/>
          <w:bCs/>
          <w:noProof/>
          <w:sz w:val="20"/>
          <w:szCs w:val="20"/>
          <w:lang w:eastAsia="zh-CN"/>
        </w:rPr>
        <w:t xml:space="preserve">el </w:t>
      </w:r>
      <w:r w:rsidR="0074015C" w:rsidRPr="00943C92">
        <w:rPr>
          <w:rFonts w:asciiTheme="minorHAnsi" w:eastAsia="SimSun" w:hAnsiTheme="minorHAnsi" w:cstheme="minorHAnsi"/>
          <w:bCs/>
          <w:noProof/>
          <w:sz w:val="20"/>
          <w:szCs w:val="20"/>
          <w:lang w:eastAsia="zh-CN"/>
        </w:rPr>
        <w:t>documento de</w:t>
      </w:r>
      <w:r w:rsidR="00AA444A" w:rsidRPr="00943C92">
        <w:rPr>
          <w:rFonts w:asciiTheme="minorHAnsi" w:eastAsia="SimSun" w:hAnsiTheme="minorHAnsi" w:cstheme="minorHAnsi"/>
          <w:bCs/>
          <w:noProof/>
          <w:sz w:val="20"/>
          <w:szCs w:val="20"/>
          <w:lang w:eastAsia="zh-CN"/>
        </w:rPr>
        <w:t xml:space="preserve"> </w:t>
      </w:r>
      <w:hyperlink r:id="rId20" w:history="1">
        <w:r w:rsidR="0074015C" w:rsidRPr="00943C92">
          <w:rPr>
            <w:rStyle w:val="Hipervnculo"/>
            <w:rFonts w:asciiTheme="minorHAnsi" w:hAnsiTheme="minorHAnsi" w:cstheme="minorHAnsi"/>
            <w:sz w:val="20"/>
            <w:szCs w:val="20"/>
          </w:rPr>
          <w:t>Estándares Fiduciarios del FMAM</w:t>
        </w:r>
      </w:hyperlink>
      <w:r w:rsidR="00BD32F8" w:rsidRPr="00A51E75">
        <w:rPr>
          <w:rFonts w:asciiTheme="minorHAnsi" w:eastAsia="SimSun" w:hAnsiTheme="minorHAnsi" w:cstheme="minorHAnsi"/>
          <w:noProof/>
          <w:sz w:val="20"/>
          <w:szCs w:val="20"/>
          <w:lang w:eastAsia="zh-CN"/>
        </w:rPr>
        <w:t xml:space="preserve">, en los casos en que una Agencia Socia del </w:t>
      </w:r>
      <w:r w:rsidR="0078696E">
        <w:rPr>
          <w:rFonts w:asciiTheme="minorHAnsi" w:eastAsia="SimSun" w:hAnsiTheme="minorHAnsi" w:cstheme="minorHAnsi"/>
          <w:noProof/>
          <w:sz w:val="20"/>
          <w:szCs w:val="20"/>
          <w:lang w:eastAsia="zh-CN"/>
        </w:rPr>
        <w:t>FMAM</w:t>
      </w:r>
      <w:r w:rsidR="00BD32F8" w:rsidRPr="00A51E75">
        <w:rPr>
          <w:rFonts w:asciiTheme="minorHAnsi" w:eastAsia="SimSun" w:hAnsiTheme="minorHAnsi" w:cstheme="minorHAnsi"/>
          <w:noProof/>
          <w:sz w:val="20"/>
          <w:szCs w:val="20"/>
          <w:lang w:eastAsia="zh-CN"/>
        </w:rPr>
        <w:t xml:space="preserve"> (es decir, el PNUD) realiza tanto la supervisión de la implementación como la ejecución de un proyecto, la Agencia Socia del </w:t>
      </w:r>
      <w:r w:rsidR="0074015C">
        <w:rPr>
          <w:rFonts w:asciiTheme="minorHAnsi" w:eastAsia="SimSun" w:hAnsiTheme="minorHAnsi" w:cstheme="minorHAnsi"/>
          <w:noProof/>
          <w:sz w:val="20"/>
          <w:szCs w:val="20"/>
          <w:lang w:eastAsia="zh-CN"/>
        </w:rPr>
        <w:t>FMAM</w:t>
      </w:r>
      <w:r w:rsidR="00BD32F8" w:rsidRPr="00A51E75">
        <w:rPr>
          <w:rFonts w:asciiTheme="minorHAnsi" w:eastAsia="SimSun" w:hAnsiTheme="minorHAnsi" w:cstheme="minorHAnsi"/>
          <w:noProof/>
          <w:sz w:val="20"/>
          <w:szCs w:val="20"/>
          <w:lang w:eastAsia="zh-CN"/>
        </w:rPr>
        <w:t xml:space="preserve"> (es decir, el PNUD) debe separar sus funciones de supervisión de implementación del proyecto y de ejecución, y describir en el documento correspondiente a: 1) Disposición institucional satisfactoria para la separación de supervisión de la implementación y funciones de ejecución en los diferentes departamentos de la Agencia Socia del </w:t>
      </w:r>
      <w:r w:rsidR="0078696E">
        <w:rPr>
          <w:rFonts w:asciiTheme="minorHAnsi" w:eastAsia="SimSun" w:hAnsiTheme="minorHAnsi" w:cstheme="minorHAnsi"/>
          <w:noProof/>
          <w:sz w:val="20"/>
          <w:szCs w:val="20"/>
          <w:lang w:eastAsia="zh-CN"/>
        </w:rPr>
        <w:t>FMAM</w:t>
      </w:r>
      <w:r w:rsidR="00BD32F8" w:rsidRPr="00A51E75">
        <w:rPr>
          <w:rFonts w:asciiTheme="minorHAnsi" w:eastAsia="SimSun" w:hAnsiTheme="minorHAnsi" w:cstheme="minorHAnsi"/>
          <w:noProof/>
          <w:sz w:val="20"/>
          <w:szCs w:val="20"/>
          <w:lang w:eastAsia="zh-CN"/>
        </w:rPr>
        <w:t xml:space="preserve">; y 2) Líneas claras de responsabilidad, informes y rendición de cuentas dentro de la Agencia Socia del </w:t>
      </w:r>
      <w:r w:rsidR="0078696E">
        <w:rPr>
          <w:rFonts w:asciiTheme="minorHAnsi" w:eastAsia="SimSun" w:hAnsiTheme="minorHAnsi" w:cstheme="minorHAnsi"/>
          <w:noProof/>
          <w:sz w:val="20"/>
          <w:szCs w:val="20"/>
          <w:lang w:eastAsia="zh-CN"/>
        </w:rPr>
        <w:t>FMAM</w:t>
      </w:r>
      <w:r w:rsidR="00BD32F8" w:rsidRPr="00A51E75">
        <w:rPr>
          <w:rFonts w:asciiTheme="minorHAnsi" w:eastAsia="SimSun" w:hAnsiTheme="minorHAnsi" w:cstheme="minorHAnsi"/>
          <w:noProof/>
          <w:sz w:val="20"/>
          <w:szCs w:val="20"/>
          <w:lang w:eastAsia="zh-CN"/>
        </w:rPr>
        <w:t xml:space="preserve"> entre la supervisión de la implementación del proyecto y las funciones de ejecución.</w:t>
      </w:r>
    </w:p>
    <w:p w14:paraId="4D232188" w14:textId="63DDA71B" w:rsidR="00617996" w:rsidRPr="00D830D9" w:rsidRDefault="5FBBA7F5"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Bidi"/>
          <w:kern w:val="2"/>
          <w:sz w:val="20"/>
          <w:szCs w:val="20"/>
          <w:lang w:eastAsia="en-US"/>
          <w14:ligatures w14:val="standardContextual"/>
        </w:rPr>
        <w:t>En este caso, el papel de supervisión de la implementación del PNUD en el proyecto —representado en la junta del proyecto y a través de la función de aseguramiento del proyecto— es desempeñado por el Representante</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Delegado Residente del PNUD y la Oficina Regional del PNUD (Asesor</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Delegado Regional) y el Punto Focal de Medio Ambiente</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 xml:space="preserve">Delegado de la Oficina Nacional del PNUD, ambos proporcionando garantías del proyecto. El papel de ejecución del PNUD en el proyecto (solicitado por el socio implementador y aprobado por el </w:t>
      </w:r>
      <w:r w:rsidR="0078696E">
        <w:rPr>
          <w:rFonts w:asciiTheme="minorHAnsi" w:eastAsia="SimSun" w:hAnsiTheme="minorHAnsi" w:cstheme="minorBidi"/>
          <w:kern w:val="2"/>
          <w:sz w:val="20"/>
          <w:szCs w:val="20"/>
          <w:lang w:eastAsia="en-US"/>
          <w14:ligatures w14:val="standardContextual"/>
        </w:rPr>
        <w:t>FMAM</w:t>
      </w:r>
      <w:r w:rsidRPr="00A51E75">
        <w:rPr>
          <w:rFonts w:asciiTheme="minorHAnsi" w:eastAsia="SimSun" w:hAnsiTheme="minorHAnsi" w:cstheme="minorBidi"/>
          <w:kern w:val="2"/>
          <w:sz w:val="20"/>
          <w:szCs w:val="20"/>
          <w:lang w:eastAsia="en-US"/>
          <w14:ligatures w14:val="standardContextual"/>
        </w:rPr>
        <w:t>) lo desempeña el Director de Operaciones, quien reportará a</w:t>
      </w:r>
      <w:r w:rsidR="0074015C">
        <w:rPr>
          <w:rFonts w:asciiTheme="minorHAnsi" w:eastAsia="SimSun" w:hAnsiTheme="minorHAnsi" w:cstheme="minorBidi"/>
          <w:kern w:val="2"/>
          <w:sz w:val="20"/>
          <w:szCs w:val="20"/>
          <w:lang w:eastAsia="en-US"/>
          <w14:ligatures w14:val="standardContextual"/>
        </w:rPr>
        <w:t xml:space="preserve"> </w:t>
      </w:r>
      <w:r w:rsidRPr="00A51E75">
        <w:rPr>
          <w:rFonts w:asciiTheme="minorHAnsi" w:eastAsia="SimSun" w:hAnsiTheme="minorHAnsi" w:cstheme="minorBidi"/>
          <w:kern w:val="2"/>
          <w:sz w:val="20"/>
          <w:szCs w:val="20"/>
          <w:lang w:eastAsia="en-US"/>
          <w14:ligatures w14:val="standardContextual"/>
        </w:rPr>
        <w:t>l</w:t>
      </w:r>
      <w:r w:rsidR="0074015C">
        <w:rPr>
          <w:rFonts w:asciiTheme="minorHAnsi" w:eastAsia="SimSun" w:hAnsiTheme="minorHAnsi" w:cstheme="minorBidi"/>
          <w:kern w:val="2"/>
          <w:sz w:val="20"/>
          <w:szCs w:val="20"/>
          <w:lang w:eastAsia="en-US"/>
          <w14:ligatures w14:val="standardContextual"/>
        </w:rPr>
        <w:t>a Oficina Central</w:t>
      </w:r>
      <w:r w:rsidRPr="00A51E75">
        <w:rPr>
          <w:rFonts w:asciiTheme="minorHAnsi" w:eastAsia="SimSun" w:hAnsiTheme="minorHAnsi" w:cstheme="minorBidi"/>
          <w:kern w:val="2"/>
          <w:sz w:val="20"/>
          <w:szCs w:val="20"/>
          <w:lang w:eastAsia="en-US"/>
          <w14:ligatures w14:val="standardContextual"/>
        </w:rPr>
        <w:t xml:space="preserve"> </w:t>
      </w:r>
      <w:r w:rsidR="0074015C">
        <w:rPr>
          <w:rFonts w:asciiTheme="minorHAnsi" w:eastAsia="SimSun" w:hAnsiTheme="minorHAnsi" w:cstheme="minorBidi"/>
          <w:kern w:val="2"/>
          <w:sz w:val="20"/>
          <w:szCs w:val="20"/>
          <w:lang w:eastAsia="en-US"/>
          <w14:ligatures w14:val="standardContextual"/>
        </w:rPr>
        <w:t>(</w:t>
      </w:r>
      <w:r w:rsidRPr="00A51E75">
        <w:rPr>
          <w:rFonts w:asciiTheme="minorHAnsi" w:eastAsia="SimSun" w:hAnsiTheme="minorHAnsi" w:cstheme="minorBidi"/>
          <w:kern w:val="2"/>
          <w:sz w:val="20"/>
          <w:szCs w:val="20"/>
          <w:lang w:eastAsia="en-US"/>
          <w14:ligatures w14:val="standardContextual"/>
        </w:rPr>
        <w:t>CO</w:t>
      </w:r>
      <w:r w:rsidR="0074015C">
        <w:rPr>
          <w:rFonts w:asciiTheme="minorHAnsi" w:eastAsia="SimSun" w:hAnsiTheme="minorHAnsi" w:cstheme="minorBidi"/>
          <w:kern w:val="2"/>
          <w:sz w:val="20"/>
          <w:szCs w:val="20"/>
          <w:lang w:eastAsia="en-US"/>
          <w14:ligatures w14:val="standardContextual"/>
        </w:rPr>
        <w:t xml:space="preserve"> por </w:t>
      </w:r>
      <w:r w:rsidR="00943C92">
        <w:rPr>
          <w:rFonts w:asciiTheme="minorHAnsi" w:eastAsia="SimSun" w:hAnsiTheme="minorHAnsi" w:cstheme="minorBidi"/>
          <w:kern w:val="2"/>
          <w:sz w:val="20"/>
          <w:szCs w:val="20"/>
          <w:lang w:eastAsia="en-US"/>
          <w14:ligatures w14:val="standardContextual"/>
        </w:rPr>
        <w:t xml:space="preserve">sus </w:t>
      </w:r>
      <w:r w:rsidR="0074015C">
        <w:rPr>
          <w:rFonts w:asciiTheme="minorHAnsi" w:eastAsia="SimSun" w:hAnsiTheme="minorHAnsi" w:cstheme="minorBidi"/>
          <w:kern w:val="2"/>
          <w:sz w:val="20"/>
          <w:szCs w:val="20"/>
          <w:lang w:eastAsia="en-US"/>
          <w14:ligatures w14:val="standardContextual"/>
        </w:rPr>
        <w:t>sigla</w:t>
      </w:r>
      <w:r w:rsidR="00943C92">
        <w:rPr>
          <w:rFonts w:asciiTheme="minorHAnsi" w:eastAsia="SimSun" w:hAnsiTheme="minorHAnsi" w:cstheme="minorBidi"/>
          <w:kern w:val="2"/>
          <w:sz w:val="20"/>
          <w:szCs w:val="20"/>
          <w:lang w:eastAsia="en-US"/>
          <w14:ligatures w14:val="standardContextual"/>
        </w:rPr>
        <w:t>s</w:t>
      </w:r>
      <w:r w:rsidR="0074015C">
        <w:rPr>
          <w:rFonts w:asciiTheme="minorHAnsi" w:eastAsia="SimSun" w:hAnsiTheme="minorHAnsi" w:cstheme="minorBidi"/>
          <w:kern w:val="2"/>
          <w:sz w:val="20"/>
          <w:szCs w:val="20"/>
          <w:lang w:eastAsia="en-US"/>
          <w14:ligatures w14:val="standardContextual"/>
        </w:rPr>
        <w:t xml:space="preserve"> en </w:t>
      </w:r>
      <w:r w:rsidR="00943C92">
        <w:rPr>
          <w:rFonts w:asciiTheme="minorHAnsi" w:eastAsia="SimSun" w:hAnsiTheme="minorHAnsi" w:cstheme="minorBidi"/>
          <w:kern w:val="2"/>
          <w:sz w:val="20"/>
          <w:szCs w:val="20"/>
          <w:lang w:eastAsia="en-US"/>
          <w14:ligatures w14:val="standardContextual"/>
        </w:rPr>
        <w:t>inglés</w:t>
      </w:r>
      <w:r w:rsidR="0074015C">
        <w:rPr>
          <w:rFonts w:asciiTheme="minorHAnsi" w:eastAsia="SimSun" w:hAnsiTheme="minorHAnsi" w:cstheme="minorBidi"/>
          <w:kern w:val="2"/>
          <w:sz w:val="20"/>
          <w:szCs w:val="20"/>
          <w:lang w:eastAsia="en-US"/>
          <w14:ligatures w14:val="standardContextual"/>
        </w:rPr>
        <w:t>)</w:t>
      </w:r>
      <w:r w:rsidRPr="00A51E75">
        <w:rPr>
          <w:rFonts w:asciiTheme="minorHAnsi" w:eastAsia="SimSun" w:hAnsiTheme="minorHAnsi" w:cstheme="minorBidi"/>
          <w:kern w:val="2"/>
          <w:sz w:val="20"/>
          <w:szCs w:val="20"/>
          <w:lang w:eastAsia="en-US"/>
          <w14:ligatures w14:val="standardContextual"/>
        </w:rPr>
        <w:t xml:space="preserve"> del PNUD como Representante Residente (RR).</w:t>
      </w:r>
    </w:p>
    <w:p w14:paraId="0FED8759" w14:textId="4F142E78" w:rsidR="009B7ADA" w:rsidRDefault="009B7ADA" w:rsidP="4D0299E8">
      <w:pPr>
        <w:tabs>
          <w:tab w:val="left" w:pos="567"/>
        </w:tabs>
        <w:jc w:val="both"/>
        <w:rPr>
          <w:rFonts w:asciiTheme="minorHAnsi" w:eastAsia="SimSun" w:hAnsiTheme="minorHAnsi" w:cstheme="minorBidi"/>
          <w:noProof/>
          <w:sz w:val="20"/>
          <w:szCs w:val="20"/>
          <w:lang w:val="es-EC" w:eastAsia="zh-CN"/>
        </w:rPr>
      </w:pPr>
    </w:p>
    <w:p w14:paraId="6CF0482B" w14:textId="32E82C05" w:rsidR="003F7D8D" w:rsidRPr="00D830D9" w:rsidRDefault="003F7D8D" w:rsidP="003F7D8D">
      <w:pPr>
        <w:shd w:val="clear" w:color="auto" w:fill="FFFFFF"/>
        <w:jc w:val="both"/>
        <w:rPr>
          <w:rFonts w:asciiTheme="minorHAnsi" w:eastAsia="SimSun" w:hAnsiTheme="minorHAnsi" w:cstheme="minorHAnsi"/>
          <w:b/>
          <w:bCs/>
          <w:noProof/>
          <w:lang w:val="es-EC" w:eastAsia="zh-CN"/>
        </w:rPr>
      </w:pPr>
      <w:r w:rsidRPr="00A51E75">
        <w:rPr>
          <w:rFonts w:asciiTheme="minorHAnsi" w:eastAsia="SimSun" w:hAnsiTheme="minorHAnsi" w:cstheme="minorHAnsi"/>
          <w:b/>
          <w:bCs/>
          <w:noProof/>
          <w:lang w:eastAsia="zh-CN"/>
        </w:rPr>
        <w:t>Sección 4: Funciones y responsabilidades de la estructura organizativa del proyecto</w:t>
      </w:r>
    </w:p>
    <w:p w14:paraId="245A0963" w14:textId="77777777" w:rsidR="009B7ADA" w:rsidRPr="00D830D9" w:rsidRDefault="009B7ADA" w:rsidP="003F7D8D">
      <w:pPr>
        <w:shd w:val="clear" w:color="auto" w:fill="FFFFFF"/>
        <w:jc w:val="both"/>
        <w:rPr>
          <w:rFonts w:asciiTheme="minorHAnsi" w:eastAsia="SimSun" w:hAnsiTheme="minorHAnsi" w:cstheme="minorHAnsi"/>
          <w:b/>
          <w:bCs/>
          <w:noProof/>
          <w:sz w:val="20"/>
          <w:szCs w:val="20"/>
          <w:lang w:val="es-EC" w:eastAsia="zh-CN"/>
        </w:rPr>
      </w:pPr>
    </w:p>
    <w:p w14:paraId="590D83F1" w14:textId="6F238AC7" w:rsidR="00E7787E" w:rsidRPr="00D830D9" w:rsidRDefault="003F7D8D"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
          <w:bCs/>
          <w:noProof/>
          <w:sz w:val="20"/>
          <w:szCs w:val="20"/>
          <w:lang w:eastAsia="zh-CN"/>
        </w:rPr>
        <w:t xml:space="preserve">Junta de Proyecto: </w:t>
      </w:r>
      <w:r w:rsidRPr="00A51E75">
        <w:rPr>
          <w:rFonts w:asciiTheme="minorHAnsi" w:eastAsia="SimSun" w:hAnsiTheme="minorHAnsi" w:cstheme="minorHAnsi"/>
          <w:noProof/>
          <w:sz w:val="20"/>
          <w:szCs w:val="20"/>
          <w:lang w:eastAsia="zh-CN"/>
        </w:rPr>
        <w:t>Todos los proyectos del PNUD deben estar gobernados por una junta o comité multiactoral establecido para revisar el desempeño en función de cuestiones de seguimiento, evaluación e implementación para garantizar la calidad de los resultados. La Junta del Proyecto (también conocida como el Comité Directivo del Proyecto) es el órgano de supervisión de más alto nivel de un proyecto.</w:t>
      </w:r>
    </w:p>
    <w:p w14:paraId="768BAB29" w14:textId="0D16C449" w:rsidR="003F7D8D" w:rsidRPr="00D830D9" w:rsidRDefault="003F7D8D"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noProof/>
          <w:sz w:val="20"/>
          <w:szCs w:val="20"/>
          <w:lang w:eastAsia="zh-CN"/>
        </w:rPr>
        <w:t>Las dos funciones principales (obligatorias) de la Junta de Proyecto son:</w:t>
      </w:r>
    </w:p>
    <w:p w14:paraId="67323256" w14:textId="45F80B99" w:rsidR="003F7D8D" w:rsidRPr="00D830D9" w:rsidRDefault="003F7D8D" w:rsidP="00EC2CBE">
      <w:pPr>
        <w:numPr>
          <w:ilvl w:val="0"/>
          <w:numId w:val="12"/>
        </w:numPr>
        <w:shd w:val="clear" w:color="auto" w:fill="FFFFFF"/>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
          <w:bCs/>
          <w:noProof/>
          <w:sz w:val="20"/>
          <w:szCs w:val="20"/>
          <w:lang w:eastAsia="zh-CN"/>
        </w:rPr>
        <w:t>Supervisión de alto nivel</w:t>
      </w:r>
      <w:r w:rsidRPr="00A51E75">
        <w:rPr>
          <w:rFonts w:asciiTheme="minorHAnsi" w:eastAsia="SimSun" w:hAnsiTheme="minorHAnsi" w:cstheme="minorHAnsi"/>
          <w:noProof/>
          <w:sz w:val="20"/>
          <w:szCs w:val="20"/>
          <w:lang w:eastAsia="zh-CN"/>
        </w:rPr>
        <w:t xml:space="preserve"> de la implementación del proyecto por parte del Socio Implementador (como se explica en la</w:t>
      </w:r>
      <w:r w:rsidR="005F7453">
        <w:rPr>
          <w:rFonts w:asciiTheme="minorHAnsi" w:eastAsia="SimSun" w:hAnsiTheme="minorHAnsi" w:cstheme="minorHAnsi"/>
          <w:noProof/>
          <w:sz w:val="20"/>
          <w:szCs w:val="20"/>
          <w:lang w:eastAsia="zh-CN"/>
        </w:rPr>
        <w:t xml:space="preserve"> sección del:</w:t>
      </w:r>
      <w:r w:rsidRPr="00A51E75">
        <w:rPr>
          <w:rFonts w:asciiTheme="minorHAnsi" w:eastAsia="SimSun" w:hAnsiTheme="minorHAnsi" w:cstheme="minorHAnsi"/>
          <w:noProof/>
          <w:sz w:val="20"/>
          <w:szCs w:val="20"/>
          <w:lang w:eastAsia="zh-CN"/>
        </w:rPr>
        <w:t xml:space="preserve"> </w:t>
      </w:r>
      <w:hyperlink r:id="rId21" w:history="1">
        <w:r w:rsidR="005F7453">
          <w:rPr>
            <w:rStyle w:val="Hipervnculo"/>
            <w:rFonts w:asciiTheme="minorHAnsi" w:eastAsia="SimSun" w:hAnsiTheme="minorHAnsi" w:cstheme="minorHAnsi"/>
            <w:noProof/>
            <w:sz w:val="20"/>
            <w:szCs w:val="20"/>
            <w:lang w:eastAsia="zh-CN"/>
          </w:rPr>
          <w:t>Portal de politicas y procedimientos del PNUD</w:t>
        </w:r>
      </w:hyperlink>
      <w:r w:rsidR="00BD32F8" w:rsidRPr="00A51E75">
        <w:rPr>
          <w:rFonts w:asciiTheme="minorHAnsi" w:eastAsia="SimSun" w:hAnsiTheme="minorHAnsi" w:cstheme="minorHAnsi"/>
          <w:noProof/>
          <w:sz w:val="20"/>
          <w:szCs w:val="20"/>
          <w:lang w:eastAsia="zh-CN"/>
        </w:rPr>
        <w:t xml:space="preserve"> </w:t>
      </w:r>
      <w:r w:rsidR="005F7453">
        <w:rPr>
          <w:rFonts w:asciiTheme="minorHAnsi" w:eastAsia="SimSun" w:hAnsiTheme="minorHAnsi" w:cstheme="minorHAnsi"/>
          <w:noProof/>
          <w:sz w:val="20"/>
          <w:szCs w:val="20"/>
          <w:lang w:eastAsia="zh-CN"/>
        </w:rPr>
        <w:t>(</w:t>
      </w:r>
      <w:r w:rsidR="00BD32F8" w:rsidRPr="00A51E75">
        <w:rPr>
          <w:rFonts w:asciiTheme="minorHAnsi" w:eastAsia="SimSun" w:hAnsiTheme="minorHAnsi" w:cstheme="minorHAnsi"/>
          <w:noProof/>
          <w:sz w:val="20"/>
          <w:szCs w:val="20"/>
          <w:lang w:eastAsia="zh-CN"/>
        </w:rPr>
        <w:t>POPP</w:t>
      </w:r>
      <w:r w:rsidR="005F7453">
        <w:rPr>
          <w:rFonts w:asciiTheme="minorHAnsi" w:eastAsia="SimSun" w:hAnsiTheme="minorHAnsi" w:cstheme="minorHAnsi"/>
          <w:noProof/>
          <w:sz w:val="20"/>
          <w:szCs w:val="20"/>
          <w:lang w:eastAsia="zh-CN"/>
        </w:rPr>
        <w:t xml:space="preserve"> por sigla en inglés</w:t>
      </w:r>
      <w:r w:rsidR="00BD32F8" w:rsidRPr="00A51E75">
        <w:rPr>
          <w:rFonts w:asciiTheme="minorHAnsi" w:eastAsia="SimSun" w:hAnsiTheme="minorHAnsi" w:cstheme="minorHAnsi"/>
          <w:noProof/>
          <w:sz w:val="20"/>
          <w:szCs w:val="20"/>
          <w:lang w:eastAsia="zh-CN"/>
        </w:rPr>
        <w:t>). Esta es la función principal de la Junta de Proyecto e incluye evaluaciones anuales (y ad hoc) de cualquier riesgo importante para el proyecto, así como decisiones/acuerdos sobre acciones de gestión o medidas correctivas para abordarlos eficazmente. La Junta de Proyecto revisa la evidencia de desempeño del proyecto basándose en el seguimiento, la evaluación y la elaboración de informes, incluyendo informes de progreso, evaluaciones, registros de riesgos y el informe de entrega combinada. La Junta del Proyecto es responsable de tomar las medidas correctivas necesarias para asegurar que el proyecto alcance los resultados deseados.</w:t>
      </w:r>
    </w:p>
    <w:p w14:paraId="0481CDAA" w14:textId="77777777" w:rsidR="00E2667C" w:rsidRPr="00D830D9" w:rsidRDefault="00E2667C" w:rsidP="006E4DDA">
      <w:pPr>
        <w:shd w:val="clear" w:color="auto" w:fill="FFFFFF"/>
        <w:ind w:left="720"/>
        <w:jc w:val="both"/>
        <w:rPr>
          <w:rFonts w:asciiTheme="minorHAnsi" w:eastAsia="SimSun" w:hAnsiTheme="minorHAnsi" w:cstheme="minorHAnsi"/>
          <w:noProof/>
          <w:sz w:val="20"/>
          <w:szCs w:val="20"/>
          <w:lang w:val="es-EC" w:eastAsia="zh-CN"/>
        </w:rPr>
      </w:pPr>
    </w:p>
    <w:p w14:paraId="57F558B7" w14:textId="77777777" w:rsidR="00FB7EAC" w:rsidRPr="00D830D9" w:rsidRDefault="003F7D8D" w:rsidP="00EC2CBE">
      <w:pPr>
        <w:numPr>
          <w:ilvl w:val="0"/>
          <w:numId w:val="12"/>
        </w:numPr>
        <w:shd w:val="clear" w:color="auto" w:fill="FFFFFF"/>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
          <w:bCs/>
          <w:noProof/>
          <w:sz w:val="20"/>
          <w:szCs w:val="20"/>
          <w:lang w:eastAsia="zh-CN"/>
        </w:rPr>
        <w:t>Aprobación de decisiones estratégicas de ejecución de proyectos</w:t>
      </w:r>
      <w:r w:rsidRPr="00A51E75">
        <w:rPr>
          <w:rFonts w:asciiTheme="minorHAnsi" w:eastAsia="SimSun" w:hAnsiTheme="minorHAnsi" w:cstheme="minorHAnsi"/>
          <w:noProof/>
          <w:sz w:val="20"/>
          <w:szCs w:val="20"/>
          <w:lang w:eastAsia="zh-CN"/>
        </w:rPr>
        <w:t xml:space="preserve"> por parte del Socio Implementador con el fin de evaluar y gestionar riesgos, monitorizar y garantizar el logro global de los resultados e impactos </w:t>
      </w:r>
      <w:r w:rsidRPr="00A51E75">
        <w:rPr>
          <w:rFonts w:asciiTheme="minorHAnsi" w:eastAsia="SimSun" w:hAnsiTheme="minorHAnsi" w:cstheme="minorHAnsi"/>
          <w:noProof/>
          <w:sz w:val="20"/>
          <w:szCs w:val="20"/>
          <w:lang w:eastAsia="zh-CN"/>
        </w:rPr>
        <w:lastRenderedPageBreak/>
        <w:t>proyectados, así como garantizar la sostenibilidad a largo plazo de las decisiones de ejecución del proyecto (como se explica en la sección "</w:t>
      </w:r>
      <w:hyperlink r:id="rId22" w:history="1">
        <w:r w:rsidRPr="00A51E75">
          <w:rPr>
            <w:rStyle w:val="Hipervnculo"/>
            <w:rFonts w:asciiTheme="minorHAnsi" w:eastAsia="SimSun" w:hAnsiTheme="minorHAnsi" w:cstheme="minorHAnsi"/>
            <w:noProof/>
            <w:sz w:val="20"/>
            <w:szCs w:val="20"/>
            <w:lang w:eastAsia="zh-CN"/>
          </w:rPr>
          <w:t>Gestionar Cambios</w:t>
        </w:r>
      </w:hyperlink>
      <w:r w:rsidRPr="00A51E75">
        <w:rPr>
          <w:rFonts w:asciiTheme="minorHAnsi" w:eastAsia="SimSun" w:hAnsiTheme="minorHAnsi" w:cstheme="minorHAnsi"/>
          <w:noProof/>
          <w:sz w:val="20"/>
          <w:szCs w:val="20"/>
          <w:lang w:eastAsia="zh-CN"/>
        </w:rPr>
        <w:t>" del POPP).</w:t>
      </w:r>
    </w:p>
    <w:p w14:paraId="703EC2DA" w14:textId="77777777" w:rsidR="00FB7EAC" w:rsidRPr="00D830D9" w:rsidRDefault="00FB7EAC" w:rsidP="00FB7EAC">
      <w:pPr>
        <w:shd w:val="clear" w:color="auto" w:fill="FFFFFF"/>
        <w:jc w:val="both"/>
        <w:rPr>
          <w:rFonts w:ascii="Calibri" w:eastAsia="SimSun" w:hAnsi="Calibri" w:cs="Arial"/>
          <w:b/>
          <w:bCs/>
          <w:noProof/>
          <w:sz w:val="20"/>
          <w:lang w:val="es-EC" w:eastAsia="zh-CN"/>
        </w:rPr>
      </w:pPr>
    </w:p>
    <w:p w14:paraId="5FFC296B" w14:textId="104CE01F" w:rsidR="00A73B3A" w:rsidRPr="00D830D9" w:rsidRDefault="008A07BD"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
          <w:bCs/>
          <w:noProof/>
          <w:sz w:val="20"/>
          <w:szCs w:val="20"/>
          <w:lang w:eastAsia="zh-CN"/>
        </w:rPr>
        <w:t xml:space="preserve">Requisitos para formar parte de la Junta del Proyecto: </w:t>
      </w:r>
      <w:r w:rsidR="00A73B3A" w:rsidRPr="00A51E75">
        <w:rPr>
          <w:rFonts w:asciiTheme="minorHAnsi" w:eastAsia="SimSun" w:hAnsiTheme="minorHAnsi" w:cstheme="minorHAnsi"/>
          <w:noProof/>
          <w:sz w:val="20"/>
          <w:szCs w:val="20"/>
          <w:lang w:eastAsia="zh-CN"/>
        </w:rPr>
        <w:t>Aceptar los Términos de Referencia de la Junta y las normas sobre protocolos, quórum y actas.</w:t>
      </w:r>
    </w:p>
    <w:p w14:paraId="67CDD56B" w14:textId="77777777" w:rsidR="00A73B3A" w:rsidRPr="00D830D9" w:rsidRDefault="00A73B3A" w:rsidP="00EC2CBE">
      <w:pPr>
        <w:numPr>
          <w:ilvl w:val="0"/>
          <w:numId w:val="13"/>
        </w:numPr>
        <w:shd w:val="clear" w:color="auto" w:fill="FFFFFF"/>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noProof/>
          <w:sz w:val="20"/>
          <w:szCs w:val="20"/>
          <w:lang w:eastAsia="zh-CN"/>
        </w:rPr>
        <w:t>Se reúnen anualmente; al menos una vez.</w:t>
      </w:r>
    </w:p>
    <w:p w14:paraId="5E816B1F" w14:textId="77777777" w:rsidR="00A73B3A" w:rsidRPr="00D830D9" w:rsidRDefault="00A73B3A" w:rsidP="00EC2CBE">
      <w:pPr>
        <w:numPr>
          <w:ilvl w:val="0"/>
          <w:numId w:val="13"/>
        </w:numPr>
        <w:shd w:val="clear" w:color="auto" w:fill="FFFFFF"/>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noProof/>
          <w:sz w:val="20"/>
          <w:szCs w:val="20"/>
          <w:lang w:eastAsia="zh-CN"/>
        </w:rPr>
        <w:t>Revelar cualquier conflicto de intereses en el desempeño de las funciones de un miembro de la Junta del Proyecto y tomar todas las medidas necesarias para evitar conflictos reales o percibidos. Esta divulgación debe ser documentada y registrada por el PNUD.</w:t>
      </w:r>
    </w:p>
    <w:p w14:paraId="25F76AC4" w14:textId="77777777" w:rsidR="00A73B3A" w:rsidRPr="00D830D9" w:rsidRDefault="00A73B3A" w:rsidP="00EC2CBE">
      <w:pPr>
        <w:numPr>
          <w:ilvl w:val="0"/>
          <w:numId w:val="13"/>
        </w:numPr>
        <w:shd w:val="clear" w:color="auto" w:fill="FFFFFF"/>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noProof/>
          <w:sz w:val="20"/>
          <w:szCs w:val="20"/>
          <w:lang w:eastAsia="zh-CN"/>
        </w:rPr>
        <w:t>Desempeñar las funciones de la Junta de Proyecto conforme a las políticas y procedimientos del PNUD.</w:t>
      </w:r>
    </w:p>
    <w:p w14:paraId="1FC7A743" w14:textId="77777777" w:rsidR="00A73B3A" w:rsidRPr="00D830D9" w:rsidRDefault="00A73B3A" w:rsidP="00EC2CBE">
      <w:pPr>
        <w:numPr>
          <w:ilvl w:val="0"/>
          <w:numId w:val="13"/>
        </w:numPr>
        <w:shd w:val="clear" w:color="auto" w:fill="FFFFFF"/>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noProof/>
          <w:sz w:val="20"/>
          <w:szCs w:val="20"/>
          <w:lang w:eastAsia="zh-CN"/>
        </w:rPr>
        <w:t>Garantizar los niveles más altos de transparencia y asegurar que las actas de las reuniones de la Junta de Proyecto se registren y compartan con las partes interesadas del proyecto.</w:t>
      </w:r>
    </w:p>
    <w:p w14:paraId="5A39E423" w14:textId="5967D2F7" w:rsidR="003F7D8D" w:rsidRPr="00D830D9" w:rsidRDefault="003F7D8D" w:rsidP="00725897">
      <w:pPr>
        <w:shd w:val="clear" w:color="auto" w:fill="FFFFFF"/>
        <w:ind w:left="720"/>
        <w:jc w:val="both"/>
        <w:rPr>
          <w:rFonts w:asciiTheme="minorHAnsi" w:eastAsia="SimSun" w:hAnsiTheme="minorHAnsi" w:cstheme="minorHAnsi"/>
          <w:noProof/>
          <w:sz w:val="20"/>
          <w:szCs w:val="20"/>
          <w:lang w:val="es-EC" w:eastAsia="zh-CN"/>
        </w:rPr>
      </w:pPr>
    </w:p>
    <w:bookmarkEnd w:id="53"/>
    <w:bookmarkEnd w:id="55"/>
    <w:p w14:paraId="0BD62F7B" w14:textId="77777777" w:rsidR="009B7ADA" w:rsidRPr="00D830D9" w:rsidRDefault="009B7ADA" w:rsidP="00A018F7">
      <w:pPr>
        <w:jc w:val="both"/>
        <w:rPr>
          <w:rFonts w:asciiTheme="minorHAnsi" w:eastAsia="SimSun" w:hAnsiTheme="minorHAnsi" w:cstheme="minorHAnsi"/>
          <w:b/>
          <w:bCs/>
          <w:noProof/>
          <w:sz w:val="20"/>
          <w:szCs w:val="20"/>
          <w:lang w:val="es-EC" w:eastAsia="zh-CN"/>
        </w:rPr>
      </w:pPr>
    </w:p>
    <w:p w14:paraId="496CCA46" w14:textId="6C4421E8" w:rsidR="00537B89" w:rsidRPr="00D830D9" w:rsidRDefault="00537B89" w:rsidP="00EC2CBE">
      <w:pPr>
        <w:pStyle w:val="Prrafodelista"/>
        <w:numPr>
          <w:ilvl w:val="0"/>
          <w:numId w:val="3"/>
        </w:numPr>
        <w:tabs>
          <w:tab w:val="clear" w:pos="360"/>
          <w:tab w:val="num" w:pos="0"/>
        </w:tabs>
        <w:ind w:left="0" w:hanging="502"/>
        <w:jc w:val="both"/>
        <w:rPr>
          <w:rFonts w:asciiTheme="minorHAnsi" w:eastAsia="SimSun" w:hAnsiTheme="minorHAnsi" w:cstheme="minorHAnsi"/>
          <w:b/>
          <w:bCs/>
          <w:noProof/>
          <w:sz w:val="20"/>
          <w:szCs w:val="20"/>
          <w:lang w:val="es-EC" w:eastAsia="zh-CN"/>
        </w:rPr>
      </w:pPr>
      <w:r w:rsidRPr="00A51E75">
        <w:rPr>
          <w:rFonts w:asciiTheme="minorHAnsi" w:eastAsia="SimSun" w:hAnsiTheme="minorHAnsi" w:cstheme="minorHAnsi"/>
          <w:b/>
          <w:bCs/>
          <w:noProof/>
          <w:sz w:val="20"/>
          <w:szCs w:val="20"/>
          <w:lang w:eastAsia="zh-CN"/>
        </w:rPr>
        <w:t xml:space="preserve">Responsabilidades de la Junta del Proyecto: </w:t>
      </w:r>
    </w:p>
    <w:p w14:paraId="6D98C8B4" w14:textId="77777777" w:rsidR="00537B89" w:rsidRPr="00A51E75" w:rsidRDefault="00537B89" w:rsidP="00EC2CBE">
      <w:pPr>
        <w:numPr>
          <w:ilvl w:val="0"/>
          <w:numId w:val="30"/>
        </w:numPr>
        <w:shd w:val="clear" w:color="auto" w:fill="FFFFFF"/>
        <w:jc w:val="both"/>
        <w:rPr>
          <w:rFonts w:ascii="Calibri" w:hAnsi="Calibri" w:cs="Calibri"/>
          <w:sz w:val="20"/>
          <w:szCs w:val="20"/>
        </w:rPr>
      </w:pPr>
      <w:r w:rsidRPr="00A51E75">
        <w:rPr>
          <w:rFonts w:ascii="Calibri" w:eastAsia="SimSun" w:hAnsi="Calibri" w:cs="Calibri"/>
          <w:sz w:val="20"/>
          <w:szCs w:val="20"/>
        </w:rPr>
        <w:t>Toma de decisiones por consenso:</w:t>
      </w:r>
    </w:p>
    <w:p w14:paraId="1958831A" w14:textId="418FF41F" w:rsidR="00537B89" w:rsidRPr="00D830D9" w:rsidRDefault="00537B89" w:rsidP="00EC2CBE">
      <w:pPr>
        <w:numPr>
          <w:ilvl w:val="1"/>
          <w:numId w:val="30"/>
        </w:numPr>
        <w:shd w:val="clear" w:color="auto" w:fill="FFFFFF"/>
        <w:jc w:val="both"/>
        <w:rPr>
          <w:rFonts w:ascii="Calibri" w:hAnsi="Calibri" w:cs="Calibri"/>
          <w:sz w:val="20"/>
          <w:szCs w:val="20"/>
          <w:lang w:val="es-EC"/>
        </w:rPr>
      </w:pPr>
      <w:r w:rsidRPr="00A51E75">
        <w:rPr>
          <w:rFonts w:ascii="Calibri" w:hAnsi="Calibri" w:cs="Calibri"/>
          <w:sz w:val="20"/>
          <w:szCs w:val="20"/>
        </w:rPr>
        <w:t xml:space="preserve">La junta del proyecto proporciona orientación y dirección general al proyecto, asegurando que se mantenga dentro de las restricciones especificadas y supervisando la implementación del proyecto. </w:t>
      </w:r>
    </w:p>
    <w:p w14:paraId="73AA2A86" w14:textId="77777777" w:rsidR="00537B89" w:rsidRPr="00D830D9" w:rsidRDefault="00537B89" w:rsidP="00EC2CBE">
      <w:pPr>
        <w:numPr>
          <w:ilvl w:val="1"/>
          <w:numId w:val="30"/>
        </w:numPr>
        <w:shd w:val="clear" w:color="auto" w:fill="FFFFFF"/>
        <w:jc w:val="both"/>
        <w:rPr>
          <w:rFonts w:ascii="Calibri" w:hAnsi="Calibri" w:cs="Calibri"/>
          <w:sz w:val="20"/>
          <w:szCs w:val="20"/>
          <w:lang w:val="es-EC"/>
        </w:rPr>
      </w:pPr>
      <w:r w:rsidRPr="00A51E75">
        <w:rPr>
          <w:rFonts w:ascii="Calibri" w:hAnsi="Calibri" w:cs="Calibri"/>
          <w:sz w:val="20"/>
          <w:szCs w:val="20"/>
        </w:rPr>
        <w:t>Revisar el rendimiento del proyecto basándose en la monitorización, evaluación e informes, incluyendo informes de progreso, registros de riesgos y el informe de entrega combinada;</w:t>
      </w:r>
    </w:p>
    <w:p w14:paraId="622E4BB7" w14:textId="77777777" w:rsidR="00537B89" w:rsidRPr="00D830D9" w:rsidRDefault="00537B89" w:rsidP="00EC2CBE">
      <w:pPr>
        <w:numPr>
          <w:ilvl w:val="1"/>
          <w:numId w:val="30"/>
        </w:numPr>
        <w:shd w:val="clear" w:color="auto" w:fill="FFFFFF"/>
        <w:jc w:val="both"/>
        <w:rPr>
          <w:rFonts w:ascii="Calibri" w:hAnsi="Calibri" w:cs="Calibri"/>
          <w:sz w:val="20"/>
          <w:szCs w:val="20"/>
          <w:lang w:val="es-EC"/>
        </w:rPr>
      </w:pPr>
      <w:r w:rsidRPr="00A51E75">
        <w:rPr>
          <w:rFonts w:ascii="Calibri" w:eastAsia="SimSun" w:hAnsi="Calibri" w:cs="Calibri"/>
          <w:sz w:val="20"/>
          <w:szCs w:val="20"/>
        </w:rPr>
        <w:t xml:space="preserve">La junta del proyecto es responsable de tomar decisiones de gestión por consenso. </w:t>
      </w:r>
    </w:p>
    <w:p w14:paraId="251BA132" w14:textId="77777777" w:rsidR="00537B89" w:rsidRPr="00D830D9" w:rsidRDefault="00537B89" w:rsidP="00EC2CBE">
      <w:pPr>
        <w:numPr>
          <w:ilvl w:val="1"/>
          <w:numId w:val="30"/>
        </w:numPr>
        <w:shd w:val="clear" w:color="auto" w:fill="FFFFFF"/>
        <w:jc w:val="both"/>
        <w:rPr>
          <w:rFonts w:ascii="Calibri" w:hAnsi="Calibri" w:cs="Calibri"/>
          <w:sz w:val="20"/>
          <w:szCs w:val="20"/>
          <w:lang w:val="es-EC"/>
        </w:rPr>
      </w:pPr>
      <w:r w:rsidRPr="00A51E75">
        <w:rPr>
          <w:rFonts w:ascii="Calibri" w:eastAsia="SimSun" w:hAnsi="Calibri" w:cs="Calibri"/>
          <w:noProof/>
          <w:sz w:val="20"/>
          <w:szCs w:val="20"/>
          <w:lang w:eastAsia="zh-CN"/>
        </w:rPr>
        <w:t xml:space="preserve">Para garantizar la rendición de cuentas última del PNUD, las decisiones de la Junta de Proyecto deben tomarse conforme a estándares que garanticen la gestión de los resultados del desarrollo, el mejor valor económico, la equidad, la integridad, la transparencia y una competencia internacional eficaz. </w:t>
      </w:r>
    </w:p>
    <w:p w14:paraId="5CA661CC" w14:textId="4B5F734F" w:rsidR="00E160C0" w:rsidRPr="00D830D9" w:rsidRDefault="00537B89" w:rsidP="00EC2CBE">
      <w:pPr>
        <w:numPr>
          <w:ilvl w:val="1"/>
          <w:numId w:val="30"/>
        </w:numPr>
        <w:shd w:val="clear" w:color="auto" w:fill="FFFFFF"/>
        <w:jc w:val="both"/>
        <w:rPr>
          <w:rFonts w:ascii="Calibri" w:hAnsi="Calibri" w:cs="Calibri"/>
          <w:sz w:val="20"/>
          <w:szCs w:val="20"/>
          <w:lang w:val="es-EC"/>
        </w:rPr>
      </w:pPr>
      <w:r w:rsidRPr="00A51E75">
        <w:rPr>
          <w:rFonts w:ascii="Calibri" w:eastAsia="SimSun" w:hAnsi="Calibri" w:cs="Calibri"/>
          <w:noProof/>
          <w:sz w:val="20"/>
          <w:szCs w:val="20"/>
          <w:lang w:eastAsia="zh-CN"/>
        </w:rPr>
        <w:t xml:space="preserve">En caso de que no se alcance consenso dentro de la Junta, el representante del PNUD en la junta </w:t>
      </w:r>
      <w:r w:rsidRPr="00A51E75">
        <w:rPr>
          <w:rFonts w:ascii="Calibri" w:hAnsi="Calibri" w:cs="Calibri"/>
          <w:sz w:val="20"/>
          <w:szCs w:val="20"/>
        </w:rPr>
        <w:t>mediará para encontrar consenso y, si este no se alcanza, tomará la decisión final para asegurar que la implementación del proyecto no se retrase indebidamente</w:t>
      </w:r>
      <w:r w:rsidR="00E160C0" w:rsidRPr="00A51E75">
        <w:rPr>
          <w:rFonts w:ascii="Calibri" w:hAnsi="Calibri" w:cs="Calibri"/>
          <w:i/>
          <w:sz w:val="20"/>
          <w:szCs w:val="20"/>
        </w:rPr>
        <w:t>.</w:t>
      </w:r>
    </w:p>
    <w:p w14:paraId="1A5DA396" w14:textId="77777777" w:rsidR="00537B89" w:rsidRPr="00A51E75" w:rsidRDefault="00537B89" w:rsidP="00EC2CBE">
      <w:pPr>
        <w:numPr>
          <w:ilvl w:val="0"/>
          <w:numId w:val="30"/>
        </w:numPr>
        <w:shd w:val="clear" w:color="auto" w:fill="FFFFFF"/>
        <w:jc w:val="both"/>
        <w:rPr>
          <w:rFonts w:ascii="Calibri" w:hAnsi="Calibri" w:cs="Calibri"/>
          <w:sz w:val="20"/>
          <w:szCs w:val="20"/>
        </w:rPr>
      </w:pPr>
      <w:r w:rsidRPr="00A51E75">
        <w:rPr>
          <w:rFonts w:ascii="Calibri" w:eastAsia="SimSun" w:hAnsi="Calibri" w:cs="Calibri"/>
          <w:sz w:val="20"/>
          <w:szCs w:val="20"/>
        </w:rPr>
        <w:t xml:space="preserve">Supervisar la ejecución del proyecto: </w:t>
      </w:r>
    </w:p>
    <w:p w14:paraId="155971A2" w14:textId="77777777" w:rsidR="00537B89" w:rsidRPr="00D830D9" w:rsidRDefault="00537B89" w:rsidP="00EC2CBE">
      <w:pPr>
        <w:numPr>
          <w:ilvl w:val="1"/>
          <w:numId w:val="30"/>
        </w:numPr>
        <w:jc w:val="both"/>
        <w:rPr>
          <w:rFonts w:ascii="Calibri" w:eastAsia="SimSun" w:hAnsi="Calibri"/>
          <w:sz w:val="20"/>
          <w:szCs w:val="20"/>
          <w:lang w:val="es-EC"/>
        </w:rPr>
      </w:pPr>
      <w:r w:rsidRPr="00A51E75">
        <w:rPr>
          <w:rFonts w:ascii="Calibri" w:eastAsia="SimSun" w:hAnsi="Calibri" w:cs="Calibri"/>
          <w:sz w:val="20"/>
          <w:szCs w:val="20"/>
        </w:rPr>
        <w:t>Acordar las tolerancias del jefe de proyecto según sea necesario, dentro de los parámetros establecidos en el documento del proyecto, y proporcionar</w:t>
      </w:r>
      <w:r w:rsidRPr="00A51E75">
        <w:rPr>
          <w:rFonts w:ascii="Calibri" w:eastAsia="SimSun" w:hAnsi="Calibri"/>
          <w:sz w:val="20"/>
          <w:szCs w:val="20"/>
        </w:rPr>
        <w:t xml:space="preserve"> orientación y asesoramiento para situaciones excepcionales en las que se superen las tolerancias del gestor.</w:t>
      </w:r>
    </w:p>
    <w:p w14:paraId="236919E9" w14:textId="77777777" w:rsidR="00537B89" w:rsidRPr="00D830D9" w:rsidRDefault="00537B89" w:rsidP="00EC2CBE">
      <w:pPr>
        <w:numPr>
          <w:ilvl w:val="0"/>
          <w:numId w:val="31"/>
        </w:numPr>
        <w:jc w:val="both"/>
        <w:rPr>
          <w:rFonts w:ascii="Calibri" w:hAnsi="Calibri" w:cs="Calibri"/>
          <w:color w:val="000000"/>
          <w:sz w:val="20"/>
          <w:szCs w:val="20"/>
          <w:lang w:val="es-EC"/>
        </w:rPr>
      </w:pPr>
      <w:r w:rsidRPr="00A51E75">
        <w:rPr>
          <w:rFonts w:ascii="Calibri" w:eastAsia="SimSun" w:hAnsi="Calibri" w:cs="Calibri"/>
          <w:sz w:val="20"/>
          <w:szCs w:val="20"/>
        </w:rPr>
        <w:t>Evaluar los planes de trabajo anuales preparados por el Socio Implementador del Proyecto; Revisa los informes de entrega combinada antes de la certificación por parte del socio implementador.</w:t>
      </w:r>
    </w:p>
    <w:p w14:paraId="1213D31E" w14:textId="77777777" w:rsidR="00537B89" w:rsidRPr="00D830D9" w:rsidRDefault="00537B89" w:rsidP="00EC2CBE">
      <w:pPr>
        <w:numPr>
          <w:ilvl w:val="0"/>
          <w:numId w:val="31"/>
        </w:numPr>
        <w:jc w:val="both"/>
        <w:rPr>
          <w:rFonts w:ascii="Calibri" w:eastAsia="SimSun" w:hAnsi="Calibri" w:cs="Arial"/>
          <w:sz w:val="20"/>
          <w:szCs w:val="20"/>
          <w:lang w:val="es-EC"/>
        </w:rPr>
      </w:pPr>
      <w:r w:rsidRPr="00A51E75">
        <w:rPr>
          <w:rFonts w:ascii="Calibri" w:eastAsia="SimSun" w:hAnsi="Calibri" w:cs="Arial"/>
          <w:sz w:val="20"/>
          <w:szCs w:val="20"/>
        </w:rPr>
        <w:t>Abordar cualquier problema de alto nivel planteado por el gestor de proyecto y la garantía del proyecto;</w:t>
      </w:r>
    </w:p>
    <w:p w14:paraId="1D96E6B7" w14:textId="63F330F7" w:rsidR="00537B89" w:rsidRPr="00D830D9" w:rsidRDefault="00537B89" w:rsidP="00EC2CBE">
      <w:pPr>
        <w:numPr>
          <w:ilvl w:val="0"/>
          <w:numId w:val="31"/>
        </w:numPr>
        <w:jc w:val="both"/>
        <w:rPr>
          <w:rFonts w:ascii="Calibri" w:eastAsia="SimSun" w:hAnsi="Calibri" w:cs="Arial"/>
          <w:sz w:val="20"/>
          <w:szCs w:val="20"/>
          <w:lang w:val="es-EC"/>
        </w:rPr>
      </w:pPr>
      <w:r w:rsidRPr="00A51E75">
        <w:rPr>
          <w:rFonts w:ascii="Calibri" w:eastAsia="SimSun" w:hAnsi="Calibri" w:cs="Arial"/>
          <w:sz w:val="20"/>
          <w:szCs w:val="20"/>
        </w:rPr>
        <w:t xml:space="preserve">Asesorar sobre enmiendas mayores y menores al proyecto dentro de los parámetros establecidos por el PNUD y el donante y remitir dichas enmiendas propuestas mayores y menores al Coordinador Ejecutivo de Naturaleza, Clima y Energía del BPPS del PNUD (y al </w:t>
      </w:r>
      <w:r w:rsidR="0078696E">
        <w:rPr>
          <w:rFonts w:ascii="Calibri" w:eastAsia="SimSun" w:hAnsi="Calibri" w:cs="Arial"/>
          <w:sz w:val="20"/>
          <w:szCs w:val="20"/>
        </w:rPr>
        <w:t>FMAM</w:t>
      </w:r>
      <w:r w:rsidRPr="00A51E75">
        <w:rPr>
          <w:rFonts w:ascii="Calibri" w:eastAsia="SimSun" w:hAnsi="Calibri" w:cs="Arial"/>
          <w:sz w:val="20"/>
          <w:szCs w:val="20"/>
        </w:rPr>
        <w:t xml:space="preserve">, según lo requieran las políticas del </w:t>
      </w:r>
      <w:r w:rsidR="0078696E">
        <w:rPr>
          <w:rFonts w:ascii="Calibri" w:eastAsia="SimSun" w:hAnsi="Calibri" w:cs="Arial"/>
          <w:sz w:val="20"/>
          <w:szCs w:val="20"/>
        </w:rPr>
        <w:t>FMAM</w:t>
      </w:r>
      <w:r w:rsidRPr="00A51E75">
        <w:rPr>
          <w:rFonts w:ascii="Calibri" w:eastAsia="SimSun" w:hAnsi="Calibri" w:cs="Arial"/>
          <w:sz w:val="20"/>
          <w:szCs w:val="20"/>
        </w:rPr>
        <w:t>);</w:t>
      </w:r>
    </w:p>
    <w:p w14:paraId="411DB287" w14:textId="348D1D41" w:rsidR="00537B89" w:rsidRPr="00D830D9" w:rsidRDefault="00537B89" w:rsidP="00EC2CBE">
      <w:pPr>
        <w:numPr>
          <w:ilvl w:val="0"/>
          <w:numId w:val="31"/>
        </w:numPr>
        <w:jc w:val="both"/>
        <w:rPr>
          <w:rFonts w:ascii="Calibri" w:eastAsia="SimSun" w:hAnsi="Calibri" w:cs="Arial"/>
          <w:sz w:val="20"/>
          <w:szCs w:val="20"/>
          <w:lang w:val="es-EC"/>
        </w:rPr>
      </w:pPr>
      <w:r w:rsidRPr="00A51E75">
        <w:rPr>
          <w:rFonts w:ascii="Calibri" w:eastAsia="SimSun" w:hAnsi="Calibri" w:cs="Arial"/>
          <w:sz w:val="20"/>
          <w:szCs w:val="20"/>
        </w:rPr>
        <w:t xml:space="preserve">Proporcionar directrices y recomendaciones de alto nivel a la </w:t>
      </w:r>
      <w:r w:rsidR="005F7453">
        <w:rPr>
          <w:rFonts w:ascii="Calibri" w:eastAsia="SimSun" w:hAnsi="Calibri" w:cs="Arial"/>
          <w:sz w:val="20"/>
          <w:szCs w:val="20"/>
        </w:rPr>
        <w:t>UGP</w:t>
      </w:r>
      <w:r w:rsidRPr="00A51E75">
        <w:rPr>
          <w:rFonts w:ascii="Calibri" w:eastAsia="SimSun" w:hAnsi="Calibri" w:cs="Arial"/>
          <w:sz w:val="20"/>
          <w:szCs w:val="20"/>
        </w:rPr>
        <w:t xml:space="preserve"> para garantizar que los entregables acordados se produzcan de manera satisfactoria y conforme a los planes.</w:t>
      </w:r>
    </w:p>
    <w:p w14:paraId="2B56B9CA" w14:textId="77777777" w:rsidR="00537B89" w:rsidRPr="00D830D9" w:rsidRDefault="00537B89" w:rsidP="00EC2CBE">
      <w:pPr>
        <w:numPr>
          <w:ilvl w:val="0"/>
          <w:numId w:val="31"/>
        </w:numPr>
        <w:jc w:val="both"/>
        <w:rPr>
          <w:rFonts w:ascii="Calibri" w:eastAsia="SimSun" w:hAnsi="Calibri" w:cs="Arial"/>
          <w:sz w:val="20"/>
          <w:szCs w:val="20"/>
          <w:lang w:val="es-EC"/>
        </w:rPr>
      </w:pPr>
      <w:r w:rsidRPr="00A51E75">
        <w:rPr>
          <w:rFonts w:ascii="Calibri" w:eastAsia="SimSun" w:hAnsi="Calibri" w:cs="Arial"/>
          <w:sz w:val="20"/>
          <w:szCs w:val="20"/>
        </w:rPr>
        <w:t xml:space="preserve">Hacer seguimiento y monitorizar las actividades cofinanciadas y la realización de los importes de cofinanciación de este proyecto. </w:t>
      </w:r>
    </w:p>
    <w:p w14:paraId="39223E91" w14:textId="41691D32" w:rsidR="00537B89" w:rsidRPr="00D830D9" w:rsidRDefault="00537B89" w:rsidP="00EC2CBE">
      <w:pPr>
        <w:numPr>
          <w:ilvl w:val="0"/>
          <w:numId w:val="31"/>
        </w:numPr>
        <w:jc w:val="both"/>
        <w:rPr>
          <w:rFonts w:ascii="Calibri" w:eastAsia="SimSun" w:hAnsi="Calibri" w:cs="Arial"/>
          <w:sz w:val="20"/>
          <w:szCs w:val="20"/>
          <w:lang w:val="es-EC"/>
        </w:rPr>
      </w:pPr>
      <w:r w:rsidRPr="00A51E75">
        <w:rPr>
          <w:rFonts w:ascii="Calibri" w:eastAsia="SimSun" w:hAnsi="Calibri" w:cs="Arial"/>
          <w:sz w:val="20"/>
          <w:szCs w:val="20"/>
        </w:rPr>
        <w:t xml:space="preserve">Aprobar el Informe de Inicio, los informes anuales de implementación de proyectos del </w:t>
      </w:r>
      <w:r w:rsidR="0078696E">
        <w:rPr>
          <w:rFonts w:ascii="Calibri" w:eastAsia="SimSun" w:hAnsi="Calibri" w:cs="Arial"/>
          <w:sz w:val="20"/>
          <w:szCs w:val="20"/>
        </w:rPr>
        <w:t>FMAM</w:t>
      </w:r>
      <w:r w:rsidRPr="00A51E75">
        <w:rPr>
          <w:rFonts w:ascii="Calibri" w:eastAsia="SimSun" w:hAnsi="Calibri" w:cs="Arial"/>
          <w:sz w:val="20"/>
          <w:szCs w:val="20"/>
        </w:rPr>
        <w:t xml:space="preserve">, la revisión a medio </w:t>
      </w:r>
      <w:r w:rsidR="005F7453">
        <w:rPr>
          <w:rFonts w:ascii="Calibri" w:eastAsia="SimSun" w:hAnsi="Calibri" w:cs="Arial"/>
          <w:sz w:val="20"/>
          <w:szCs w:val="20"/>
        </w:rPr>
        <w:t>termino</w:t>
      </w:r>
      <w:r w:rsidRPr="00A51E75">
        <w:rPr>
          <w:rFonts w:ascii="Calibri" w:eastAsia="SimSun" w:hAnsi="Calibri" w:cs="Arial"/>
          <w:sz w:val="20"/>
          <w:szCs w:val="20"/>
        </w:rPr>
        <w:t xml:space="preserve"> y los informes de evaluación </w:t>
      </w:r>
      <w:r w:rsidR="005F7453">
        <w:rPr>
          <w:rFonts w:ascii="Calibri" w:eastAsia="SimSun" w:hAnsi="Calibri" w:cs="Arial"/>
          <w:sz w:val="20"/>
          <w:szCs w:val="20"/>
        </w:rPr>
        <w:t>final</w:t>
      </w:r>
      <w:r w:rsidRPr="00A51E75">
        <w:rPr>
          <w:rFonts w:ascii="Calibri" w:eastAsia="SimSun" w:hAnsi="Calibri" w:cs="Arial"/>
          <w:sz w:val="20"/>
          <w:szCs w:val="20"/>
        </w:rPr>
        <w:t>.</w:t>
      </w:r>
    </w:p>
    <w:p w14:paraId="71C725C0" w14:textId="77777777" w:rsidR="00537B89" w:rsidRPr="00D830D9" w:rsidRDefault="00537B89" w:rsidP="00EC2CBE">
      <w:pPr>
        <w:numPr>
          <w:ilvl w:val="0"/>
          <w:numId w:val="31"/>
        </w:numPr>
        <w:jc w:val="both"/>
        <w:rPr>
          <w:rFonts w:ascii="Calibri" w:eastAsia="SimSun" w:hAnsi="Calibri" w:cs="Arial"/>
          <w:sz w:val="20"/>
          <w:szCs w:val="20"/>
          <w:lang w:val="es-EC"/>
        </w:rPr>
      </w:pPr>
      <w:r w:rsidRPr="00A51E75">
        <w:rPr>
          <w:rFonts w:ascii="Calibri" w:eastAsia="SimSun" w:hAnsi="Calibri" w:cs="Arial"/>
          <w:sz w:val="20"/>
          <w:szCs w:val="20"/>
        </w:rPr>
        <w:t xml:space="preserve">Asegurar el compromiso de los recursos humanos para apoyar la implementación del proyecto, arbitrando cualquier problema dentro del mismo. </w:t>
      </w:r>
    </w:p>
    <w:p w14:paraId="33CE5F97" w14:textId="77777777" w:rsidR="00A018F7" w:rsidRPr="00A51E75" w:rsidRDefault="00A018F7" w:rsidP="00EC2CBE">
      <w:pPr>
        <w:numPr>
          <w:ilvl w:val="0"/>
          <w:numId w:val="30"/>
        </w:numPr>
        <w:shd w:val="clear" w:color="auto" w:fill="FFFFFF"/>
        <w:jc w:val="both"/>
        <w:rPr>
          <w:rFonts w:ascii="Calibri" w:eastAsia="SimSun" w:hAnsi="Calibri" w:cs="Calibri"/>
          <w:sz w:val="20"/>
          <w:szCs w:val="20"/>
        </w:rPr>
      </w:pPr>
      <w:r w:rsidRPr="00A51E75">
        <w:rPr>
          <w:rFonts w:ascii="Calibri" w:eastAsia="SimSun" w:hAnsi="Calibri" w:cs="Calibri"/>
          <w:sz w:val="20"/>
          <w:szCs w:val="20"/>
        </w:rPr>
        <w:t>Gestión de riesgos:</w:t>
      </w:r>
    </w:p>
    <w:p w14:paraId="0F36009F" w14:textId="77777777" w:rsidR="00A018F7" w:rsidRPr="00D830D9" w:rsidRDefault="00A018F7" w:rsidP="00EC2CBE">
      <w:pPr>
        <w:numPr>
          <w:ilvl w:val="1"/>
          <w:numId w:val="14"/>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t>Proporcionar orientación sobre riesgos de proyectos en evolución o materialización y acordar posibles acciones de mitigación y gestión para abordar riesgos específicos.</w:t>
      </w:r>
    </w:p>
    <w:p w14:paraId="25C2824B" w14:textId="77777777" w:rsidR="00A018F7" w:rsidRPr="00D830D9" w:rsidRDefault="00A018F7" w:rsidP="00EC2CBE">
      <w:pPr>
        <w:numPr>
          <w:ilvl w:val="1"/>
          <w:numId w:val="14"/>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lastRenderedPageBreak/>
        <w:t>Revisa y actualiza el registro de riesgos del proyecto y los planes de gestión asociados basándose en la información preparada por el Socio Implementador. Esto incluye riesgos relacionados con el proyecto directamente manejables y riesgos contextuales que podrían afectar a la implementación del proyecto o al cumplimiento y reputación continuados del PNUD, incluso si están fuera del control del proyecto—por ejemplo, riesgos sociales y medioambientales asociados a actividades cofinanciadas o actividades que ocurren en el área de influencia del proyecto.</w:t>
      </w:r>
    </w:p>
    <w:p w14:paraId="320D495E" w14:textId="77777777" w:rsidR="00A018F7" w:rsidRPr="00A51E75" w:rsidRDefault="00A018F7" w:rsidP="00EC2CBE">
      <w:pPr>
        <w:numPr>
          <w:ilvl w:val="1"/>
          <w:numId w:val="14"/>
        </w:numPr>
        <w:jc w:val="both"/>
        <w:rPr>
          <w:rFonts w:asciiTheme="minorHAnsi" w:eastAsia="SimSun" w:hAnsiTheme="minorHAnsi" w:cstheme="minorHAnsi"/>
          <w:bCs/>
          <w:iCs/>
          <w:noProof/>
          <w:sz w:val="20"/>
          <w:szCs w:val="20"/>
          <w:lang w:eastAsia="zh-CN"/>
        </w:rPr>
      </w:pPr>
      <w:r w:rsidRPr="00A51E75">
        <w:rPr>
          <w:rFonts w:asciiTheme="minorHAnsi" w:eastAsia="SimSun" w:hAnsiTheme="minorHAnsi" w:cstheme="minorHAnsi"/>
          <w:bCs/>
          <w:iCs/>
          <w:noProof/>
          <w:sz w:val="20"/>
          <w:szCs w:val="20"/>
          <w:lang w:eastAsia="zh-CN"/>
        </w:rPr>
        <w:t>Abordar las quejas a nivel de proyecto.</w:t>
      </w:r>
    </w:p>
    <w:p w14:paraId="42C477FC" w14:textId="77777777" w:rsidR="00A018F7" w:rsidRPr="00A51E75" w:rsidRDefault="00A018F7" w:rsidP="00EC2CBE">
      <w:pPr>
        <w:numPr>
          <w:ilvl w:val="0"/>
          <w:numId w:val="30"/>
        </w:numPr>
        <w:shd w:val="clear" w:color="auto" w:fill="FFFFFF"/>
        <w:jc w:val="both"/>
        <w:rPr>
          <w:rFonts w:ascii="Calibri" w:eastAsia="SimSun" w:hAnsi="Calibri" w:cs="Calibri"/>
          <w:sz w:val="20"/>
          <w:szCs w:val="20"/>
        </w:rPr>
      </w:pPr>
      <w:r w:rsidRPr="00A51E75">
        <w:rPr>
          <w:rFonts w:ascii="Calibri" w:eastAsia="SimSun" w:hAnsi="Calibri" w:cs="Calibri"/>
          <w:sz w:val="20"/>
          <w:szCs w:val="20"/>
        </w:rPr>
        <w:t>Coordinación:</w:t>
      </w:r>
    </w:p>
    <w:p w14:paraId="063BDA6A" w14:textId="77777777" w:rsidR="00A018F7" w:rsidRPr="00D830D9" w:rsidRDefault="00A018F7" w:rsidP="00EC2CBE">
      <w:pPr>
        <w:numPr>
          <w:ilvl w:val="1"/>
          <w:numId w:val="14"/>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t>Garantizar la coordinación entre los distintos proyectos y programas financiados por donantes y gobiernos.</w:t>
      </w:r>
    </w:p>
    <w:p w14:paraId="4136BC25" w14:textId="77777777" w:rsidR="00A018F7" w:rsidRPr="00D830D9" w:rsidRDefault="00A018F7" w:rsidP="00EC2CBE">
      <w:pPr>
        <w:numPr>
          <w:ilvl w:val="1"/>
          <w:numId w:val="14"/>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Cs/>
          <w:iCs/>
          <w:noProof/>
          <w:sz w:val="20"/>
          <w:szCs w:val="20"/>
          <w:lang w:eastAsia="zh-CN"/>
        </w:rPr>
        <w:t>Garantizar la coordinación con las distintas agencias gubernamentales y su participación en las actividades del proyecto.</w:t>
      </w:r>
    </w:p>
    <w:p w14:paraId="04250BB1" w14:textId="77777777" w:rsidR="00A018F7" w:rsidRPr="00D830D9" w:rsidRDefault="00A018F7" w:rsidP="004945A8">
      <w:pPr>
        <w:pStyle w:val="Prrafodelista"/>
        <w:ind w:left="0"/>
        <w:jc w:val="both"/>
        <w:rPr>
          <w:rFonts w:asciiTheme="minorHAnsi" w:eastAsia="SimSun" w:hAnsiTheme="minorHAnsi" w:cstheme="minorHAnsi"/>
          <w:b/>
          <w:bCs/>
          <w:noProof/>
          <w:sz w:val="20"/>
          <w:szCs w:val="20"/>
          <w:lang w:val="es-EC" w:eastAsia="zh-CN"/>
        </w:rPr>
      </w:pPr>
    </w:p>
    <w:p w14:paraId="0D0B4303" w14:textId="7A431F26" w:rsidR="00A018F7" w:rsidRPr="00D830D9" w:rsidRDefault="00A018F7"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
          <w:bCs/>
          <w:noProof/>
          <w:sz w:val="20"/>
          <w:szCs w:val="20"/>
          <w:lang w:eastAsia="zh-CN"/>
        </w:rPr>
        <w:t xml:space="preserve">Composición de la Junta del Proyecto: </w:t>
      </w:r>
      <w:r w:rsidRPr="00A51E75">
        <w:rPr>
          <w:rFonts w:asciiTheme="minorHAnsi" w:eastAsia="SimSun" w:hAnsiTheme="minorHAnsi" w:cstheme="minorHAnsi"/>
          <w:noProof/>
          <w:sz w:val="20"/>
          <w:szCs w:val="20"/>
          <w:lang w:eastAsia="zh-CN"/>
        </w:rPr>
        <w:t>La composición de la Junta debe incluir a personas asignadas a las siguientes tres funciones:</w:t>
      </w:r>
    </w:p>
    <w:p w14:paraId="04168390" w14:textId="60C00EEC" w:rsidR="00A018F7" w:rsidRPr="005F7453" w:rsidRDefault="00A018F7" w:rsidP="00EC2CBE">
      <w:pPr>
        <w:numPr>
          <w:ilvl w:val="0"/>
          <w:numId w:val="29"/>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
          <w:bCs/>
          <w:iCs/>
          <w:noProof/>
          <w:sz w:val="20"/>
          <w:szCs w:val="20"/>
          <w:lang w:eastAsia="zh-CN"/>
        </w:rPr>
        <w:t>Ejecutivo de Proyecto:</w:t>
      </w:r>
      <w:r w:rsidRPr="00A51E75">
        <w:rPr>
          <w:rFonts w:asciiTheme="minorHAnsi" w:eastAsia="SimSun" w:hAnsiTheme="minorHAnsi" w:cstheme="minorHAnsi"/>
          <w:bCs/>
          <w:iCs/>
          <w:noProof/>
          <w:sz w:val="20"/>
          <w:szCs w:val="20"/>
          <w:lang w:eastAsia="zh-CN"/>
        </w:rPr>
        <w:t xml:space="preserve"> Esta persona representa a la propiedad del proyecto y preside (o copreside) la Junta del Proyecto. El Ejecutivo suele ser el equivalente nacional de alto nivel para los proyectos implementados a nivel nacional (generalmente de la misma entidad que el Socio Implementador) y debe ser PNUD para proyectos de Implementación Directa (DIM</w:t>
      </w:r>
      <w:r w:rsidR="005F7453">
        <w:rPr>
          <w:rFonts w:asciiTheme="minorHAnsi" w:eastAsia="SimSun" w:hAnsiTheme="minorHAnsi" w:cstheme="minorHAnsi"/>
          <w:bCs/>
          <w:iCs/>
          <w:noProof/>
          <w:sz w:val="20"/>
          <w:szCs w:val="20"/>
          <w:lang w:eastAsia="zh-CN"/>
        </w:rPr>
        <w:t xml:space="preserve"> por </w:t>
      </w:r>
      <w:r w:rsidR="00B27C75">
        <w:rPr>
          <w:rFonts w:asciiTheme="minorHAnsi" w:eastAsia="SimSun" w:hAnsiTheme="minorHAnsi" w:cstheme="minorHAnsi"/>
          <w:bCs/>
          <w:iCs/>
          <w:noProof/>
          <w:sz w:val="20"/>
          <w:szCs w:val="20"/>
          <w:lang w:eastAsia="zh-CN"/>
        </w:rPr>
        <w:t xml:space="preserve">sus </w:t>
      </w:r>
      <w:r w:rsidR="005F7453">
        <w:rPr>
          <w:rFonts w:asciiTheme="minorHAnsi" w:eastAsia="SimSun" w:hAnsiTheme="minorHAnsi" w:cstheme="minorHAnsi"/>
          <w:bCs/>
          <w:iCs/>
          <w:noProof/>
          <w:sz w:val="20"/>
          <w:szCs w:val="20"/>
          <w:lang w:eastAsia="zh-CN"/>
        </w:rPr>
        <w:t>sigla</w:t>
      </w:r>
      <w:r w:rsidR="00B27C75">
        <w:rPr>
          <w:rFonts w:asciiTheme="minorHAnsi" w:eastAsia="SimSun" w:hAnsiTheme="minorHAnsi" w:cstheme="minorHAnsi"/>
          <w:bCs/>
          <w:iCs/>
          <w:noProof/>
          <w:sz w:val="20"/>
          <w:szCs w:val="20"/>
          <w:lang w:eastAsia="zh-CN"/>
        </w:rPr>
        <w:t>s</w:t>
      </w:r>
      <w:r w:rsidR="005F7453">
        <w:rPr>
          <w:rFonts w:asciiTheme="minorHAnsi" w:eastAsia="SimSun" w:hAnsiTheme="minorHAnsi" w:cstheme="minorHAnsi"/>
          <w:bCs/>
          <w:iCs/>
          <w:noProof/>
          <w:sz w:val="20"/>
          <w:szCs w:val="20"/>
          <w:lang w:eastAsia="zh-CN"/>
        </w:rPr>
        <w:t xml:space="preserve"> en Inglés</w:t>
      </w:r>
      <w:r w:rsidRPr="00A51E75">
        <w:rPr>
          <w:rFonts w:asciiTheme="minorHAnsi" w:eastAsia="SimSun" w:hAnsiTheme="minorHAnsi" w:cstheme="minorHAnsi"/>
          <w:bCs/>
          <w:iCs/>
          <w:noProof/>
          <w:sz w:val="20"/>
          <w:szCs w:val="20"/>
          <w:lang w:eastAsia="zh-CN"/>
        </w:rPr>
        <w:t xml:space="preserve">). En casos excepcionales, dos personas de entidades diferentes pueden compartir esta función y/o copresidir la Junta del Proyecto. Si el Ejecutivo del Proyecto copreside la Junta con representantes de otra categoría, normalmente es con un representante del socio de desarrollo. </w:t>
      </w:r>
      <w:r w:rsidRPr="00A51E75">
        <w:rPr>
          <w:rFonts w:asciiTheme="minorHAnsi" w:eastAsia="SimSun" w:hAnsiTheme="minorHAnsi" w:cstheme="minorHAnsi"/>
          <w:b/>
          <w:bCs/>
          <w:iCs/>
          <w:noProof/>
          <w:sz w:val="20"/>
          <w:szCs w:val="20"/>
          <w:lang w:eastAsia="zh-CN"/>
        </w:rPr>
        <w:t xml:space="preserve">El Ejecutivo del Proyecto es </w:t>
      </w:r>
      <w:r w:rsidR="00302E1B" w:rsidRPr="00A51E75">
        <w:rPr>
          <w:rFonts w:asciiTheme="minorHAnsi" w:eastAsia="SimSun" w:hAnsiTheme="minorHAnsi" w:cstheme="minorHAnsi"/>
          <w:iCs/>
          <w:noProof/>
          <w:sz w:val="20"/>
          <w:szCs w:val="20"/>
          <w:lang w:eastAsia="zh-CN"/>
        </w:rPr>
        <w:t>el</w:t>
      </w:r>
      <w:r w:rsidRPr="00A51E75">
        <w:rPr>
          <w:rFonts w:asciiTheme="minorHAnsi" w:eastAsia="SimSun" w:hAnsiTheme="minorHAnsi" w:cstheme="minorHAnsi"/>
          <w:bCs/>
          <w:iCs/>
          <w:noProof/>
          <w:sz w:val="20"/>
          <w:szCs w:val="20"/>
          <w:lang w:eastAsia="zh-CN"/>
        </w:rPr>
        <w:t xml:space="preserve"> Ministr</w:t>
      </w:r>
      <w:r w:rsidR="005F7453">
        <w:rPr>
          <w:rFonts w:asciiTheme="minorHAnsi" w:eastAsia="SimSun" w:hAnsiTheme="minorHAnsi" w:cstheme="minorHAnsi"/>
          <w:bCs/>
          <w:iCs/>
          <w:noProof/>
          <w:sz w:val="20"/>
          <w:szCs w:val="20"/>
          <w:lang w:eastAsia="zh-CN"/>
        </w:rPr>
        <w:t>a/o</w:t>
      </w:r>
      <w:r w:rsidRPr="00A51E75">
        <w:rPr>
          <w:rFonts w:asciiTheme="minorHAnsi" w:eastAsia="SimSun" w:hAnsiTheme="minorHAnsi" w:cstheme="minorHAnsi"/>
          <w:bCs/>
          <w:iCs/>
          <w:noProof/>
          <w:sz w:val="20"/>
          <w:szCs w:val="20"/>
          <w:lang w:eastAsia="zh-CN"/>
        </w:rPr>
        <w:t xml:space="preserve"> de </w:t>
      </w:r>
      <w:r w:rsidR="009E221F">
        <w:rPr>
          <w:rFonts w:asciiTheme="minorHAnsi" w:eastAsia="SimSun" w:hAnsiTheme="minorHAnsi" w:cstheme="minorHAnsi"/>
          <w:bCs/>
          <w:iCs/>
          <w:noProof/>
          <w:sz w:val="20"/>
          <w:szCs w:val="20"/>
          <w:lang w:eastAsia="zh-CN"/>
        </w:rPr>
        <w:t>MAE</w:t>
      </w:r>
      <w:r w:rsidRPr="00A51E75">
        <w:rPr>
          <w:rFonts w:asciiTheme="minorHAnsi" w:eastAsia="SimSun" w:hAnsiTheme="minorHAnsi" w:cstheme="minorHAnsi"/>
          <w:bCs/>
          <w:iCs/>
          <w:noProof/>
          <w:sz w:val="20"/>
          <w:szCs w:val="20"/>
          <w:lang w:eastAsia="zh-CN"/>
        </w:rPr>
        <w:t>.</w:t>
      </w:r>
    </w:p>
    <w:p w14:paraId="6EC1EB00" w14:textId="1E8AFF82" w:rsidR="00A018F7" w:rsidRPr="00D830D9" w:rsidRDefault="00A018F7" w:rsidP="00EC2CBE">
      <w:pPr>
        <w:numPr>
          <w:ilvl w:val="0"/>
          <w:numId w:val="29"/>
        </w:numPr>
        <w:jc w:val="both"/>
        <w:rPr>
          <w:rFonts w:asciiTheme="minorHAnsi" w:eastAsia="SimSun" w:hAnsiTheme="minorHAnsi" w:cstheme="minorHAnsi"/>
          <w:bCs/>
          <w:iCs/>
          <w:noProof/>
          <w:sz w:val="20"/>
          <w:szCs w:val="20"/>
          <w:lang w:val="es-EC" w:eastAsia="zh-CN"/>
        </w:rPr>
      </w:pPr>
      <w:r w:rsidRPr="00A51E75">
        <w:rPr>
          <w:rFonts w:asciiTheme="minorHAnsi" w:eastAsia="SimSun" w:hAnsiTheme="minorHAnsi" w:cstheme="minorHAnsi"/>
          <w:b/>
          <w:bCs/>
          <w:iCs/>
          <w:noProof/>
          <w:sz w:val="20"/>
          <w:szCs w:val="20"/>
          <w:lang w:eastAsia="zh-CN"/>
        </w:rPr>
        <w:t>Representante(s) beneficiario(s):</w:t>
      </w:r>
      <w:r w:rsidRPr="00A51E75">
        <w:rPr>
          <w:rFonts w:asciiTheme="minorHAnsi" w:eastAsia="SimSun" w:hAnsiTheme="minorHAnsi" w:cstheme="minorHAnsi"/>
          <w:bCs/>
          <w:iCs/>
          <w:noProof/>
          <w:sz w:val="20"/>
          <w:szCs w:val="20"/>
          <w:lang w:eastAsia="zh-CN"/>
        </w:rPr>
        <w:t xml:space="preserve"> Individuos o grupos que representan los intereses de los grupos de interés y que finalmente se beneficiarán del proyecto. Su función principal en la junta es asegurar que los resultados del proyecto se logren desde la perspectiva de los beneficiarios. Este papel puede ser ocupado por representantes de la sociedad civil, asociaciones industriales u otras entidades gubernamentales que se beneficien del proyecto. Puede haber varios Representantes de Beneficiarios.</w:t>
      </w:r>
      <w:r w:rsidRPr="00A51E75">
        <w:rPr>
          <w:rFonts w:asciiTheme="minorHAnsi" w:eastAsia="SimSun" w:hAnsiTheme="minorHAnsi" w:cstheme="minorHAnsi"/>
          <w:b/>
          <w:bCs/>
          <w:iCs/>
          <w:noProof/>
          <w:sz w:val="20"/>
          <w:szCs w:val="20"/>
          <w:lang w:eastAsia="zh-CN"/>
        </w:rPr>
        <w:t xml:space="preserve">El/los Representante Beneficiario(s) es/son: </w:t>
      </w:r>
      <w:r w:rsidR="00302E1B" w:rsidRPr="00A51E75">
        <w:rPr>
          <w:rFonts w:asciiTheme="minorHAnsi" w:eastAsia="SimSun" w:hAnsiTheme="minorHAnsi" w:cstheme="minorHAnsi"/>
          <w:bCs/>
          <w:iCs/>
          <w:noProof/>
          <w:sz w:val="20"/>
          <w:szCs w:val="20"/>
          <w:lang w:eastAsia="zh-CN"/>
        </w:rPr>
        <w:t>un Representante de la Mesa REDD+.</w:t>
      </w:r>
    </w:p>
    <w:p w14:paraId="206147FA" w14:textId="6CF167BD" w:rsidR="00A018F7" w:rsidRPr="00A51E75" w:rsidRDefault="00A018F7" w:rsidP="00EC2CBE">
      <w:pPr>
        <w:numPr>
          <w:ilvl w:val="0"/>
          <w:numId w:val="29"/>
        </w:numPr>
        <w:jc w:val="both"/>
        <w:rPr>
          <w:rFonts w:asciiTheme="minorHAnsi" w:eastAsia="SimSun" w:hAnsiTheme="minorHAnsi" w:cstheme="minorHAnsi"/>
          <w:bCs/>
          <w:iCs/>
          <w:noProof/>
          <w:sz w:val="20"/>
          <w:szCs w:val="20"/>
          <w:lang w:eastAsia="zh-CN"/>
        </w:rPr>
      </w:pPr>
      <w:r w:rsidRPr="00A51E75">
        <w:rPr>
          <w:rFonts w:asciiTheme="minorHAnsi" w:eastAsia="SimSun" w:hAnsiTheme="minorHAnsi" w:cstheme="minorHAnsi"/>
          <w:b/>
          <w:bCs/>
          <w:iCs/>
          <w:noProof/>
          <w:sz w:val="20"/>
          <w:szCs w:val="20"/>
          <w:lang w:eastAsia="zh-CN"/>
        </w:rPr>
        <w:t>Socio(s) de desarrollo:</w:t>
      </w:r>
      <w:r w:rsidRPr="00A51E75">
        <w:rPr>
          <w:rFonts w:asciiTheme="minorHAnsi" w:eastAsia="SimSun" w:hAnsiTheme="minorHAnsi" w:cstheme="minorHAnsi"/>
          <w:bCs/>
          <w:iCs/>
          <w:noProof/>
          <w:sz w:val="20"/>
          <w:szCs w:val="20"/>
          <w:lang w:eastAsia="zh-CN"/>
        </w:rPr>
        <w:t xml:space="preserve"> Individuos o grupos que representan los intereses de los interesados que proporcionan financiación, orientación estratégica y/o experiencia técnica al proyecto. </w:t>
      </w:r>
      <w:r w:rsidRPr="00A51E75">
        <w:rPr>
          <w:rFonts w:asciiTheme="minorHAnsi" w:eastAsia="SimSun" w:hAnsiTheme="minorHAnsi" w:cstheme="minorHAnsi"/>
          <w:b/>
          <w:bCs/>
          <w:iCs/>
          <w:noProof/>
          <w:sz w:val="20"/>
          <w:szCs w:val="20"/>
          <w:lang w:eastAsia="zh-CN"/>
        </w:rPr>
        <w:t>El Socio para el Desarrollo es:</w:t>
      </w:r>
      <w:r w:rsidRPr="00A51E75">
        <w:rPr>
          <w:rFonts w:asciiTheme="minorHAnsi" w:eastAsia="SimSun" w:hAnsiTheme="minorHAnsi" w:cstheme="minorHAnsi"/>
          <w:bCs/>
          <w:iCs/>
          <w:noProof/>
          <w:sz w:val="20"/>
          <w:szCs w:val="20"/>
          <w:lang w:eastAsia="zh-CN"/>
        </w:rPr>
        <w:t xml:space="preserve"> Representante Residente del PNUD.</w:t>
      </w:r>
    </w:p>
    <w:p w14:paraId="4C32423F" w14:textId="77777777" w:rsidR="00E87C12" w:rsidRPr="00A51E75" w:rsidRDefault="00E87C12" w:rsidP="006E4DDA">
      <w:pPr>
        <w:ind w:left="720"/>
        <w:jc w:val="both"/>
        <w:rPr>
          <w:rFonts w:asciiTheme="minorHAnsi" w:eastAsia="SimSun" w:hAnsiTheme="minorHAnsi" w:cstheme="minorHAnsi"/>
          <w:bCs/>
          <w:iCs/>
          <w:noProof/>
          <w:sz w:val="20"/>
          <w:szCs w:val="20"/>
          <w:lang w:eastAsia="zh-CN"/>
        </w:rPr>
      </w:pPr>
    </w:p>
    <w:p w14:paraId="3719B4A8" w14:textId="3CA94D0D" w:rsidR="00D62054" w:rsidRPr="00D830D9" w:rsidRDefault="00A018F7"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
          <w:bCs/>
          <w:noProof/>
          <w:sz w:val="20"/>
          <w:szCs w:val="20"/>
          <w:lang w:eastAsia="zh-CN"/>
        </w:rPr>
        <w:t xml:space="preserve">Garantía del proyecto: </w:t>
      </w:r>
      <w:r w:rsidRPr="00A51E75">
        <w:rPr>
          <w:rFonts w:asciiTheme="minorHAnsi" w:eastAsia="SimSun" w:hAnsiTheme="minorHAnsi" w:cstheme="minorHAnsi"/>
          <w:noProof/>
          <w:sz w:val="20"/>
          <w:szCs w:val="20"/>
          <w:lang w:eastAsia="zh-CN"/>
        </w:rPr>
        <w:t xml:space="preserve">Aunque la garantía del proyecto es responsabilidad de cada miembro de la Junta del Proyecto, el PNUD tiene un papel de garantía distinto para todos los proyectos del PNUD mediante la supervisión y seguimiento objetivo e independiente del proyecto. El PNUD garantiza el aseguramiento de la calidad y apoya a la Junta del Proyecto (y a la </w:t>
      </w:r>
      <w:r w:rsidR="00547037">
        <w:rPr>
          <w:rFonts w:asciiTheme="minorHAnsi" w:eastAsia="SimSun" w:hAnsiTheme="minorHAnsi" w:cstheme="minorHAnsi"/>
          <w:noProof/>
          <w:sz w:val="20"/>
          <w:szCs w:val="20"/>
          <w:lang w:eastAsia="zh-CN"/>
        </w:rPr>
        <w:t>UGP</w:t>
      </w:r>
      <w:r w:rsidRPr="00A51E75">
        <w:rPr>
          <w:rFonts w:asciiTheme="minorHAnsi" w:eastAsia="SimSun" w:hAnsiTheme="minorHAnsi" w:cstheme="minorHAnsi"/>
          <w:noProof/>
          <w:sz w:val="20"/>
          <w:szCs w:val="20"/>
          <w:lang w:eastAsia="zh-CN"/>
        </w:rPr>
        <w:t>) mediante una supervisión y supervisión objetiva e independiente del proyecto, incluyendo el cumplimiento de la gestión de riesgos y de los estándares sociales y medioambientales del PNUD. La Junta de Proyecto no puede delegar ninguna de sus responsabilidades de control de calidad al Gestor del Proyecto. La garantía del proyecto es totalmente independiente de la ejecución del proyecto.</w:t>
      </w:r>
    </w:p>
    <w:p w14:paraId="354CAF7B" w14:textId="630B055D" w:rsidR="00FC6D48" w:rsidRPr="00943C92" w:rsidRDefault="00A018F7"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Cs/>
          <w:iCs/>
          <w:noProof/>
          <w:sz w:val="20"/>
          <w:szCs w:val="20"/>
          <w:lang w:eastAsia="zh-CN"/>
        </w:rPr>
        <w:t>Se espera que un representante designado del PNUD que sirva en la función de Garantía del Proyecto asista a todas las reuniones de la Junta de Proyectos y apoye los procesos de la Junta como miembro sin derecho a voto. Es importante señalar que, aunque la función de Garantía del Proyecto puede incluir actividades a múltiples niveles (por ejemplo, global, regional), al menos un representante del PNUD en este cargo debe asistir a las reuniones de la Junta del Proyecto y proporcionar a los miembros la documentación necesaria para desempeñar sus funciones.</w:t>
      </w:r>
      <w:r w:rsidR="00E24F2A">
        <w:rPr>
          <w:rFonts w:asciiTheme="minorHAnsi" w:eastAsia="SimSun" w:hAnsiTheme="minorHAnsi" w:cstheme="minorHAnsi"/>
          <w:bCs/>
          <w:iCs/>
          <w:noProof/>
          <w:sz w:val="20"/>
          <w:szCs w:val="20"/>
          <w:lang w:eastAsia="zh-CN"/>
        </w:rPr>
        <w:t xml:space="preserve"> </w:t>
      </w:r>
      <w:r w:rsidRPr="00A51E75">
        <w:rPr>
          <w:rFonts w:asciiTheme="minorHAnsi" w:eastAsia="SimSun" w:hAnsiTheme="minorHAnsi" w:cstheme="minorHAnsi"/>
          <w:b/>
          <w:bCs/>
          <w:iCs/>
          <w:noProof/>
          <w:sz w:val="20"/>
          <w:szCs w:val="20"/>
          <w:lang w:eastAsia="zh-CN"/>
        </w:rPr>
        <w:t xml:space="preserve">El representante del PNUD que desempeña la función principal de aseguramiento del proyecto es: </w:t>
      </w:r>
      <w:r w:rsidR="00566E9A" w:rsidRPr="00A51E75">
        <w:rPr>
          <w:rFonts w:asciiTheme="minorHAnsi" w:eastAsia="SimSun" w:hAnsiTheme="minorHAnsi" w:cstheme="minorHAnsi"/>
          <w:bCs/>
          <w:iCs/>
          <w:noProof/>
          <w:sz w:val="20"/>
          <w:szCs w:val="20"/>
          <w:lang w:eastAsia="zh-CN"/>
        </w:rPr>
        <w:t>la Oficina Regional Representativa del PNUD (Asesor/Delegado Regional) y el Punto Focal de Medio Ambiente/Delegado de la Oficina de País del PNUD.</w:t>
      </w:r>
    </w:p>
    <w:p w14:paraId="6E32421C" w14:textId="04B53F0F" w:rsidR="008D3E9F" w:rsidRPr="00943C92" w:rsidRDefault="00A018F7"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Cs/>
          <w:iCs/>
          <w:noProof/>
          <w:sz w:val="20"/>
          <w:szCs w:val="20"/>
          <w:lang w:eastAsia="zh-CN"/>
        </w:rPr>
        <w:t>Gestión de Proyectos – Ejecución de Proyectos: El Gestor de Proyecto (PM</w:t>
      </w:r>
      <w:r w:rsidR="001A2836">
        <w:rPr>
          <w:rFonts w:asciiTheme="minorHAnsi" w:eastAsia="SimSun" w:hAnsiTheme="minorHAnsi" w:cstheme="minorHAnsi"/>
          <w:bCs/>
          <w:iCs/>
          <w:noProof/>
          <w:sz w:val="20"/>
          <w:szCs w:val="20"/>
          <w:lang w:eastAsia="zh-CN"/>
        </w:rPr>
        <w:t xml:space="preserve"> por sigla en inglés</w:t>
      </w:r>
      <w:r w:rsidRPr="00A51E75">
        <w:rPr>
          <w:rFonts w:asciiTheme="minorHAnsi" w:eastAsia="SimSun" w:hAnsiTheme="minorHAnsi" w:cstheme="minorHAnsi"/>
          <w:bCs/>
          <w:iCs/>
          <w:noProof/>
          <w:sz w:val="20"/>
          <w:szCs w:val="20"/>
          <w:lang w:eastAsia="zh-CN"/>
        </w:rPr>
        <w:t>), también conocido como Coordinador de Proyecto, es el representante principal de la Unidad de Gestión de Proyectos (</w:t>
      </w:r>
      <w:r w:rsidR="00547037">
        <w:rPr>
          <w:rFonts w:asciiTheme="minorHAnsi" w:eastAsia="SimSun" w:hAnsiTheme="minorHAnsi" w:cstheme="minorHAnsi"/>
          <w:bCs/>
          <w:iCs/>
          <w:noProof/>
          <w:sz w:val="20"/>
          <w:szCs w:val="20"/>
          <w:lang w:eastAsia="zh-CN"/>
        </w:rPr>
        <w:t>UGP</w:t>
      </w:r>
      <w:r w:rsidRPr="00A51E75">
        <w:rPr>
          <w:rFonts w:asciiTheme="minorHAnsi" w:eastAsia="SimSun" w:hAnsiTheme="minorHAnsi" w:cstheme="minorHAnsi"/>
          <w:bCs/>
          <w:iCs/>
          <w:noProof/>
          <w:sz w:val="20"/>
          <w:szCs w:val="20"/>
          <w:lang w:eastAsia="zh-CN"/>
        </w:rPr>
        <w:t xml:space="preserve">) y es responsable de la gestión diaria global del proyecto en nombre del Socio Implementador, incluyendo la movilización de todas las aportaciones del proyecto, supervisión sobre el personal del proyecto, las partes responsables, los consultores y los subcontratistas. El gestor de proyecto suele presentar entregables y documentos clave al consejo </w:t>
      </w:r>
      <w:r w:rsidRPr="00A51E75">
        <w:rPr>
          <w:rFonts w:asciiTheme="minorHAnsi" w:eastAsia="SimSun" w:hAnsiTheme="minorHAnsi" w:cstheme="minorHAnsi"/>
          <w:bCs/>
          <w:iCs/>
          <w:noProof/>
          <w:sz w:val="20"/>
          <w:szCs w:val="20"/>
          <w:lang w:eastAsia="zh-CN"/>
        </w:rPr>
        <w:lastRenderedPageBreak/>
        <w:t>para su revisión y aprobación, incluyendo informes de progreso, planes de trabajo anuales, ajustes en los niveles de tolerancia y registros de riesgos.</w:t>
      </w:r>
    </w:p>
    <w:p w14:paraId="2037668B" w14:textId="75A544AE" w:rsidR="7CD45423" w:rsidRPr="00943C92" w:rsidRDefault="00A018F7"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bCs/>
          <w:iCs/>
          <w:noProof/>
          <w:sz w:val="20"/>
          <w:szCs w:val="20"/>
          <w:lang w:eastAsia="zh-CN"/>
        </w:rPr>
        <w:t xml:space="preserve">Se espera que un representante designado de la </w:t>
      </w:r>
      <w:r w:rsidR="00547037">
        <w:rPr>
          <w:rFonts w:asciiTheme="minorHAnsi" w:eastAsia="SimSun" w:hAnsiTheme="minorHAnsi" w:cstheme="minorHAnsi"/>
          <w:bCs/>
          <w:iCs/>
          <w:noProof/>
          <w:sz w:val="20"/>
          <w:szCs w:val="20"/>
          <w:lang w:eastAsia="zh-CN"/>
        </w:rPr>
        <w:t>UGP</w:t>
      </w:r>
      <w:r w:rsidRPr="00A51E75">
        <w:rPr>
          <w:rFonts w:asciiTheme="minorHAnsi" w:eastAsia="SimSun" w:hAnsiTheme="minorHAnsi" w:cstheme="minorHAnsi"/>
          <w:bCs/>
          <w:iCs/>
          <w:noProof/>
          <w:sz w:val="20"/>
          <w:szCs w:val="20"/>
          <w:lang w:eastAsia="zh-CN"/>
        </w:rPr>
        <w:t xml:space="preserve"> asista a todas las reuniones de la Junta de Proyecto y apoye los procesos de la junta como miembro sin derecho a voto. </w:t>
      </w:r>
    </w:p>
    <w:p w14:paraId="15F9275A" w14:textId="318455CC" w:rsidR="00A018F7" w:rsidRPr="00D830D9" w:rsidRDefault="00A018F7" w:rsidP="00EC2CBE">
      <w:pPr>
        <w:pStyle w:val="Prrafodelista"/>
        <w:numPr>
          <w:ilvl w:val="0"/>
          <w:numId w:val="3"/>
        </w:numPr>
        <w:tabs>
          <w:tab w:val="clear" w:pos="360"/>
          <w:tab w:val="num" w:pos="0"/>
        </w:tabs>
        <w:ind w:left="0" w:hanging="502"/>
        <w:jc w:val="both"/>
        <w:rPr>
          <w:rFonts w:asciiTheme="minorHAnsi" w:eastAsia="SimSun" w:hAnsiTheme="minorHAnsi" w:cstheme="minorHAnsi"/>
          <w:noProof/>
          <w:sz w:val="20"/>
          <w:szCs w:val="20"/>
          <w:lang w:val="es-EC" w:eastAsia="zh-CN"/>
        </w:rPr>
      </w:pPr>
      <w:r w:rsidRPr="00A51E75">
        <w:rPr>
          <w:rFonts w:asciiTheme="minorHAnsi" w:eastAsia="SimSun" w:hAnsiTheme="minorHAnsi" w:cstheme="minorHAnsi"/>
          <w:iCs/>
          <w:noProof/>
          <w:sz w:val="20"/>
          <w:szCs w:val="20"/>
          <w:lang w:eastAsia="zh-CN"/>
        </w:rPr>
        <w:t xml:space="preserve">El principal representante de la </w:t>
      </w:r>
      <w:r w:rsidR="00547037">
        <w:rPr>
          <w:rFonts w:asciiTheme="minorHAnsi" w:eastAsia="SimSun" w:hAnsiTheme="minorHAnsi" w:cstheme="minorHAnsi"/>
          <w:iCs/>
          <w:noProof/>
          <w:sz w:val="20"/>
          <w:szCs w:val="20"/>
          <w:lang w:eastAsia="zh-CN"/>
        </w:rPr>
        <w:t>UGP</w:t>
      </w:r>
      <w:r w:rsidRPr="00A51E75">
        <w:rPr>
          <w:rFonts w:asciiTheme="minorHAnsi" w:eastAsia="SimSun" w:hAnsiTheme="minorHAnsi" w:cstheme="minorHAnsi"/>
          <w:iCs/>
          <w:noProof/>
          <w:sz w:val="20"/>
          <w:szCs w:val="20"/>
          <w:lang w:eastAsia="zh-CN"/>
        </w:rPr>
        <w:t xml:space="preserve"> que asiste a las reuniones de la Junta de Proyecto es el Gestor de Proyecto.</w:t>
      </w:r>
    </w:p>
    <w:p w14:paraId="5869A956" w14:textId="77777777" w:rsidR="00ED497E" w:rsidRPr="00D830D9" w:rsidRDefault="00ED497E" w:rsidP="008B6F84">
      <w:pPr>
        <w:jc w:val="both"/>
        <w:rPr>
          <w:rFonts w:asciiTheme="minorHAnsi" w:eastAsia="SimSun" w:hAnsiTheme="minorHAnsi" w:cstheme="minorHAnsi"/>
          <w:noProof/>
          <w:sz w:val="20"/>
          <w:szCs w:val="20"/>
          <w:lang w:val="es-EC" w:eastAsia="zh-CN"/>
        </w:rPr>
      </w:pPr>
    </w:p>
    <w:p w14:paraId="14097D22" w14:textId="77777777" w:rsidR="008B6F84" w:rsidRPr="00A51E75" w:rsidRDefault="00211737" w:rsidP="008B6F84">
      <w:pPr>
        <w:keepNext/>
        <w:pBdr>
          <w:top w:val="single" w:sz="4" w:space="1" w:color="auto"/>
        </w:pBdr>
        <w:tabs>
          <w:tab w:val="num" w:pos="720"/>
        </w:tabs>
        <w:suppressAutoHyphens/>
        <w:ind w:left="720" w:hanging="720"/>
        <w:jc w:val="both"/>
        <w:outlineLvl w:val="0"/>
        <w:rPr>
          <w:rFonts w:asciiTheme="minorHAnsi" w:eastAsia="SimSun" w:hAnsiTheme="minorHAnsi" w:cstheme="minorHAnsi"/>
          <w:b/>
          <w:smallCaps/>
          <w:spacing w:val="-2"/>
          <w:sz w:val="28"/>
          <w:szCs w:val="20"/>
          <w:lang w:val="en-US"/>
        </w:rPr>
      </w:pPr>
      <w:bookmarkStart w:id="56" w:name="_Toc221696300"/>
      <w:r w:rsidRPr="00A51E75">
        <w:rPr>
          <w:rFonts w:asciiTheme="minorHAnsi" w:eastAsia="SimSun" w:hAnsiTheme="minorHAnsi" w:cstheme="minorHAnsi"/>
          <w:b/>
          <w:smallCaps/>
          <w:spacing w:val="-2"/>
          <w:sz w:val="28"/>
          <w:szCs w:val="20"/>
        </w:rPr>
        <w:t>Planificación y gestión financiera</w:t>
      </w:r>
      <w:bookmarkEnd w:id="56"/>
      <w:r w:rsidRPr="00A51E75">
        <w:rPr>
          <w:rFonts w:asciiTheme="minorHAnsi" w:eastAsia="SimSun" w:hAnsiTheme="minorHAnsi" w:cstheme="minorHAnsi"/>
          <w:b/>
          <w:smallCaps/>
          <w:spacing w:val="-2"/>
          <w:sz w:val="28"/>
          <w:szCs w:val="20"/>
        </w:rPr>
        <w:t xml:space="preserve"> </w:t>
      </w:r>
    </w:p>
    <w:p w14:paraId="3D7EF6B6" w14:textId="77777777" w:rsidR="00C56F0F" w:rsidRPr="00A51E75" w:rsidRDefault="00C56F0F" w:rsidP="008B6F84">
      <w:pPr>
        <w:keepNext/>
        <w:pBdr>
          <w:top w:val="single" w:sz="4" w:space="1" w:color="auto"/>
        </w:pBdr>
        <w:tabs>
          <w:tab w:val="num" w:pos="720"/>
        </w:tabs>
        <w:suppressAutoHyphens/>
        <w:ind w:left="720" w:hanging="720"/>
        <w:jc w:val="both"/>
        <w:outlineLvl w:val="0"/>
        <w:rPr>
          <w:rFonts w:asciiTheme="minorHAnsi" w:eastAsia="SimSun" w:hAnsiTheme="minorHAnsi" w:cstheme="minorHAnsi"/>
          <w:b/>
          <w:smallCaps/>
          <w:spacing w:val="-2"/>
          <w:sz w:val="28"/>
          <w:szCs w:val="20"/>
          <w:lang w:val="en-US"/>
        </w:rPr>
      </w:pPr>
    </w:p>
    <w:p w14:paraId="37092663" w14:textId="1AE94DEC" w:rsidR="001A2836" w:rsidRPr="001A2836" w:rsidRDefault="001A2836" w:rsidP="00EC2CBE">
      <w:pPr>
        <w:pStyle w:val="Prrafodelista"/>
        <w:numPr>
          <w:ilvl w:val="0"/>
          <w:numId w:val="3"/>
        </w:numPr>
        <w:tabs>
          <w:tab w:val="clear" w:pos="360"/>
          <w:tab w:val="num" w:pos="0"/>
        </w:tabs>
        <w:ind w:left="0" w:hanging="502"/>
        <w:jc w:val="both"/>
        <w:rPr>
          <w:rFonts w:asciiTheme="minorHAnsi" w:eastAsia="SimSun" w:hAnsiTheme="minorHAnsi" w:cstheme="minorHAnsi"/>
          <w:iCs/>
          <w:noProof/>
          <w:sz w:val="20"/>
          <w:szCs w:val="20"/>
          <w:lang w:val="es-EC" w:eastAsia="zh-CN"/>
        </w:rPr>
      </w:pPr>
      <w:r w:rsidRPr="001A2836">
        <w:rPr>
          <w:rFonts w:asciiTheme="minorHAnsi" w:eastAsia="SimSun" w:hAnsiTheme="minorHAnsi" w:cstheme="minorHAnsi"/>
          <w:iCs/>
          <w:noProof/>
          <w:sz w:val="20"/>
          <w:szCs w:val="20"/>
          <w:lang w:eastAsia="zh-CN"/>
        </w:rPr>
        <w:t>El costo total del proyecto asciende a </w:t>
      </w:r>
      <w:r w:rsidRPr="001A2836">
        <w:rPr>
          <w:rFonts w:asciiTheme="minorHAnsi" w:eastAsia="SimSun" w:hAnsiTheme="minorHAnsi" w:cstheme="minorHAnsi"/>
          <w:b/>
          <w:bCs/>
          <w:iCs/>
          <w:noProof/>
          <w:sz w:val="20"/>
          <w:szCs w:val="20"/>
          <w:lang w:eastAsia="zh-CN"/>
        </w:rPr>
        <w:t>USD 78.094.338</w:t>
      </w:r>
      <w:r w:rsidRPr="001A2836">
        <w:rPr>
          <w:rFonts w:asciiTheme="minorHAnsi" w:eastAsia="SimSun" w:hAnsiTheme="minorHAnsi" w:cstheme="minorHAnsi"/>
          <w:iCs/>
          <w:noProof/>
          <w:sz w:val="20"/>
          <w:szCs w:val="20"/>
          <w:lang w:eastAsia="zh-CN"/>
        </w:rPr>
        <w:t>. Este monto es financiado mediante una </w:t>
      </w:r>
      <w:r w:rsidRPr="001A2836">
        <w:rPr>
          <w:rFonts w:asciiTheme="minorHAnsi" w:eastAsia="SimSun" w:hAnsiTheme="minorHAnsi" w:cstheme="minorHAnsi"/>
          <w:b/>
          <w:bCs/>
          <w:iCs/>
          <w:noProof/>
          <w:sz w:val="20"/>
          <w:szCs w:val="20"/>
          <w:lang w:eastAsia="zh-CN"/>
        </w:rPr>
        <w:t>donación del FMAM</w:t>
      </w:r>
      <w:r w:rsidRPr="001A2836">
        <w:rPr>
          <w:rFonts w:asciiTheme="minorHAnsi" w:eastAsia="SimSun" w:hAnsiTheme="minorHAnsi" w:cstheme="minorHAnsi"/>
          <w:iCs/>
          <w:noProof/>
          <w:sz w:val="20"/>
          <w:szCs w:val="20"/>
          <w:lang w:eastAsia="zh-CN"/>
        </w:rPr>
        <w:t> de </w:t>
      </w:r>
      <w:r w:rsidRPr="001A2836">
        <w:rPr>
          <w:rFonts w:asciiTheme="minorHAnsi" w:eastAsia="SimSun" w:hAnsiTheme="minorHAnsi" w:cstheme="minorHAnsi"/>
          <w:b/>
          <w:bCs/>
          <w:iCs/>
          <w:noProof/>
          <w:sz w:val="20"/>
          <w:szCs w:val="20"/>
          <w:lang w:eastAsia="zh-CN"/>
        </w:rPr>
        <w:t>USD 8.982.420</w:t>
      </w:r>
      <w:r w:rsidRPr="001A2836">
        <w:rPr>
          <w:rFonts w:asciiTheme="minorHAnsi" w:eastAsia="SimSun" w:hAnsiTheme="minorHAnsi" w:cstheme="minorHAnsi"/>
          <w:iCs/>
          <w:noProof/>
          <w:sz w:val="20"/>
          <w:szCs w:val="20"/>
          <w:lang w:eastAsia="zh-CN"/>
        </w:rPr>
        <w:t xml:space="preserve">, administrada por el PNUD, en conjunto con el </w:t>
      </w:r>
      <w:r w:rsidRPr="001A2836">
        <w:rPr>
          <w:rFonts w:asciiTheme="minorHAnsi" w:eastAsia="SimSun" w:hAnsiTheme="minorHAnsi" w:cstheme="minorHAnsi"/>
          <w:b/>
          <w:bCs/>
          <w:iCs/>
          <w:noProof/>
          <w:sz w:val="20"/>
          <w:szCs w:val="20"/>
          <w:lang w:eastAsia="zh-CN"/>
        </w:rPr>
        <w:t>cofinanciamiento en efectivo</w:t>
      </w:r>
      <w:r w:rsidRPr="001A2836">
        <w:rPr>
          <w:rFonts w:asciiTheme="minorHAnsi" w:eastAsia="SimSun" w:hAnsiTheme="minorHAnsi" w:cstheme="minorHAnsi"/>
          <w:iCs/>
          <w:noProof/>
          <w:sz w:val="20"/>
          <w:szCs w:val="20"/>
          <w:lang w:eastAsia="zh-CN"/>
        </w:rPr>
        <w:t> que será igualmente administrado por el PNUD, y un </w:t>
      </w:r>
      <w:r w:rsidRPr="001A2836">
        <w:rPr>
          <w:rFonts w:asciiTheme="minorHAnsi" w:eastAsia="SimSun" w:hAnsiTheme="minorHAnsi" w:cstheme="minorHAnsi"/>
          <w:b/>
          <w:bCs/>
          <w:iCs/>
          <w:noProof/>
          <w:sz w:val="20"/>
          <w:szCs w:val="20"/>
          <w:lang w:eastAsia="zh-CN"/>
        </w:rPr>
        <w:t xml:space="preserve">apoyo adicional de USD 69.111.918 </w:t>
      </w:r>
      <w:r w:rsidRPr="001A2836">
        <w:rPr>
          <w:rFonts w:asciiTheme="minorHAnsi" w:eastAsia="SimSun" w:hAnsiTheme="minorHAnsi" w:cstheme="minorHAnsi"/>
          <w:iCs/>
          <w:noProof/>
          <w:sz w:val="20"/>
          <w:szCs w:val="20"/>
          <w:lang w:eastAsia="zh-CN"/>
        </w:rPr>
        <w:t>(de contribuciones en especie y en efectivo, así como recursos movilizados por entidades gubernamentales, el sector académico, ONG y otros organismos internacionales). El PNUD, como Agencia Ejecutora del FMAM, es responsable de la supervisión de los recursos del FMAM y de la cofinanciación en efectivo transferida únicamente a la cuenta bancaria del PNUD.</w:t>
      </w:r>
    </w:p>
    <w:p w14:paraId="5DE82F3E" w14:textId="5EAD768A" w:rsidR="00A018F7" w:rsidRPr="00D830D9" w:rsidRDefault="001A2836" w:rsidP="00EC2CBE">
      <w:pPr>
        <w:pStyle w:val="Prrafodelista"/>
        <w:numPr>
          <w:ilvl w:val="0"/>
          <w:numId w:val="3"/>
        </w:numPr>
        <w:tabs>
          <w:tab w:val="clear" w:pos="360"/>
          <w:tab w:val="num" w:pos="0"/>
        </w:tabs>
        <w:ind w:left="0" w:hanging="502"/>
        <w:jc w:val="both"/>
        <w:rPr>
          <w:rFonts w:asciiTheme="minorHAnsi" w:eastAsia="SimSun" w:hAnsiTheme="minorHAnsi" w:cstheme="minorHAnsi"/>
          <w:iCs/>
          <w:noProof/>
          <w:sz w:val="20"/>
          <w:szCs w:val="20"/>
          <w:lang w:val="es-EC" w:eastAsia="zh-CN"/>
        </w:rPr>
      </w:pPr>
      <w:r>
        <w:rPr>
          <w:rFonts w:asciiTheme="minorHAnsi" w:hAnsiTheme="minorHAnsi" w:cstheme="minorHAnsi"/>
          <w:b/>
          <w:bCs/>
          <w:sz w:val="20"/>
          <w:szCs w:val="20"/>
          <w:u w:val="single"/>
        </w:rPr>
        <w:t>Cofinanciamiento</w:t>
      </w:r>
      <w:r w:rsidR="00A018F7" w:rsidRPr="00A51E75">
        <w:rPr>
          <w:rFonts w:asciiTheme="minorHAnsi" w:hAnsiTheme="minorHAnsi" w:cstheme="minorHAnsi"/>
          <w:sz w:val="20"/>
          <w:szCs w:val="20"/>
        </w:rPr>
        <w:t xml:space="preserve">: La ejecución efectiva de los importes de </w:t>
      </w:r>
      <w:r>
        <w:rPr>
          <w:rFonts w:asciiTheme="minorHAnsi" w:hAnsiTheme="minorHAnsi" w:cstheme="minorHAnsi"/>
          <w:sz w:val="20"/>
          <w:szCs w:val="20"/>
        </w:rPr>
        <w:t>cofinanciamiento</w:t>
      </w:r>
      <w:r w:rsidR="00A018F7" w:rsidRPr="00A51E75">
        <w:rPr>
          <w:rFonts w:asciiTheme="minorHAnsi" w:hAnsiTheme="minorHAnsi" w:cstheme="minorHAnsi"/>
          <w:sz w:val="20"/>
          <w:szCs w:val="20"/>
        </w:rPr>
        <w:t xml:space="preserve"> del proyecto será supervisada anualmente por la Oficina de País del PNUD y la Unidad de Gestión de Proyectos (</w:t>
      </w:r>
      <w:r w:rsidR="00547037">
        <w:rPr>
          <w:rFonts w:asciiTheme="minorHAnsi" w:hAnsiTheme="minorHAnsi" w:cstheme="minorHAnsi"/>
          <w:sz w:val="20"/>
          <w:szCs w:val="20"/>
        </w:rPr>
        <w:t>UGP</w:t>
      </w:r>
      <w:r w:rsidR="00A018F7" w:rsidRPr="00A51E75">
        <w:rPr>
          <w:rFonts w:asciiTheme="minorHAnsi" w:hAnsiTheme="minorHAnsi" w:cstheme="minorHAnsi"/>
          <w:sz w:val="20"/>
          <w:szCs w:val="20"/>
        </w:rPr>
        <w:t xml:space="preserve">) </w:t>
      </w:r>
      <w:proofErr w:type="gramStart"/>
      <w:r w:rsidR="00A018F7" w:rsidRPr="00A51E75">
        <w:rPr>
          <w:rFonts w:asciiTheme="minorHAnsi" w:hAnsiTheme="minorHAnsi" w:cstheme="minorHAnsi"/>
          <w:sz w:val="20"/>
          <w:szCs w:val="20"/>
        </w:rPr>
        <w:t xml:space="preserve">en </w:t>
      </w:r>
      <w:r w:rsidR="00A018F7" w:rsidRPr="00A51E75">
        <w:rPr>
          <w:rFonts w:asciiTheme="minorHAnsi" w:eastAsia="SimSun" w:hAnsiTheme="minorHAnsi" w:cstheme="minorHAnsi"/>
          <w:bCs/>
          <w:iCs/>
          <w:noProof/>
          <w:sz w:val="20"/>
          <w:szCs w:val="20"/>
          <w:lang w:eastAsia="zh-CN"/>
        </w:rPr>
        <w:t xml:space="preserve"> el</w:t>
      </w:r>
      <w:proofErr w:type="gramEnd"/>
      <w:r w:rsidR="00A018F7" w:rsidRPr="00A51E75">
        <w:rPr>
          <w:rFonts w:asciiTheme="minorHAnsi" w:eastAsia="SimSun" w:hAnsiTheme="minorHAnsi" w:cstheme="minorHAnsi"/>
          <w:bCs/>
          <w:iCs/>
          <w:noProof/>
          <w:sz w:val="20"/>
          <w:szCs w:val="20"/>
          <w:lang w:eastAsia="zh-CN"/>
        </w:rPr>
        <w:t xml:space="preserve"> marco</w:t>
      </w:r>
      <w:r w:rsidR="00A018F7" w:rsidRPr="00A51E75">
        <w:rPr>
          <w:rFonts w:asciiTheme="minorHAnsi" w:hAnsiTheme="minorHAnsi" w:cstheme="minorHAnsi"/>
          <w:sz w:val="20"/>
          <w:szCs w:val="20"/>
        </w:rPr>
        <w:t xml:space="preserve"> del </w:t>
      </w:r>
      <w:r>
        <w:rPr>
          <w:rFonts w:asciiTheme="minorHAnsi" w:hAnsiTheme="minorHAnsi" w:cstheme="minorHAnsi"/>
          <w:sz w:val="20"/>
          <w:szCs w:val="20"/>
        </w:rPr>
        <w:t>PIF</w:t>
      </w:r>
      <w:r w:rsidR="00A018F7" w:rsidRPr="00A51E75">
        <w:rPr>
          <w:rFonts w:asciiTheme="minorHAnsi" w:hAnsiTheme="minorHAnsi" w:cstheme="minorHAnsi"/>
          <w:sz w:val="20"/>
          <w:szCs w:val="20"/>
        </w:rPr>
        <w:t xml:space="preserve"> del </w:t>
      </w:r>
      <w:r w:rsidR="0078696E">
        <w:rPr>
          <w:rFonts w:asciiTheme="minorHAnsi" w:hAnsiTheme="minorHAnsi" w:cstheme="minorHAnsi"/>
          <w:sz w:val="20"/>
          <w:szCs w:val="20"/>
        </w:rPr>
        <w:t>FMAM</w:t>
      </w:r>
      <w:r w:rsidR="00A018F7" w:rsidRPr="00A51E75">
        <w:rPr>
          <w:rFonts w:asciiTheme="minorHAnsi" w:hAnsiTheme="minorHAnsi" w:cstheme="minorHAnsi"/>
          <w:sz w:val="20"/>
          <w:szCs w:val="20"/>
        </w:rPr>
        <w:t xml:space="preserve">, y se informará al </w:t>
      </w:r>
      <w:r w:rsidR="0078696E">
        <w:rPr>
          <w:rFonts w:asciiTheme="minorHAnsi" w:hAnsiTheme="minorHAnsi" w:cstheme="minorHAnsi"/>
          <w:sz w:val="20"/>
          <w:szCs w:val="20"/>
        </w:rPr>
        <w:t>FMAM</w:t>
      </w:r>
      <w:r w:rsidR="00A018F7" w:rsidRPr="00A51E75">
        <w:rPr>
          <w:rFonts w:asciiTheme="minorHAnsi" w:hAnsiTheme="minorHAnsi" w:cstheme="minorHAnsi"/>
          <w:sz w:val="20"/>
          <w:szCs w:val="20"/>
        </w:rPr>
        <w:t xml:space="preserve"> durante la revisión a medio plazo y el proceso de evaluación final de la siguiente manera:</w:t>
      </w:r>
    </w:p>
    <w:p w14:paraId="30A1C0D8" w14:textId="77777777" w:rsidR="00A018F7" w:rsidRPr="00D830D9" w:rsidRDefault="00A018F7" w:rsidP="00ED497E">
      <w:pPr>
        <w:keepNext/>
        <w:tabs>
          <w:tab w:val="num" w:pos="720"/>
        </w:tabs>
        <w:suppressAutoHyphens/>
        <w:ind w:left="720" w:hanging="720"/>
        <w:jc w:val="both"/>
        <w:outlineLvl w:val="0"/>
        <w:rPr>
          <w:rFonts w:asciiTheme="minorHAnsi" w:hAnsiTheme="minorHAnsi" w:cstheme="minorHAnsi"/>
          <w:sz w:val="20"/>
          <w:szCs w:val="20"/>
          <w:lang w:val="es-EC"/>
        </w:rPr>
      </w:pPr>
    </w:p>
    <w:p w14:paraId="0E683B83" w14:textId="0556F6C3" w:rsidR="00A018F7" w:rsidRPr="00A51E75" w:rsidRDefault="00A018F7" w:rsidP="00A018F7">
      <w:pPr>
        <w:pStyle w:val="Descripcin"/>
        <w:keepNext/>
        <w:jc w:val="center"/>
      </w:pPr>
      <w:bookmarkStart w:id="57" w:name="_Toc201073155"/>
      <w:r w:rsidRPr="00A51E75">
        <w:t xml:space="preserve">Tabla </w:t>
      </w:r>
      <w:r w:rsidRPr="00A51E75">
        <w:fldChar w:fldCharType="begin"/>
      </w:r>
      <w:r w:rsidRPr="00A51E75">
        <w:instrText xml:space="preserve"> SEQ Tabla \* ARABIC </w:instrText>
      </w:r>
      <w:r w:rsidRPr="00A51E75">
        <w:fldChar w:fldCharType="separate"/>
      </w:r>
      <w:r w:rsidR="00554466" w:rsidRPr="00A51E75">
        <w:rPr>
          <w:noProof/>
        </w:rPr>
        <w:t>10</w:t>
      </w:r>
      <w:r w:rsidRPr="00A51E75">
        <w:fldChar w:fldCharType="end"/>
      </w:r>
      <w:r w:rsidRPr="00A51E75">
        <w:t xml:space="preserve">: Cofinanciación disponible </w:t>
      </w:r>
      <w:bookmarkEnd w:id="57"/>
    </w:p>
    <w:tbl>
      <w:tblPr>
        <w:tblW w:w="5000" w:type="pct"/>
        <w:tblCellMar>
          <w:left w:w="70" w:type="dxa"/>
          <w:right w:w="70" w:type="dxa"/>
        </w:tblCellMar>
        <w:tblLook w:val="04A0" w:firstRow="1" w:lastRow="0" w:firstColumn="1" w:lastColumn="0" w:noHBand="0" w:noVBand="1"/>
      </w:tblPr>
      <w:tblGrid>
        <w:gridCol w:w="2415"/>
        <w:gridCol w:w="1710"/>
        <w:gridCol w:w="1218"/>
        <w:gridCol w:w="2358"/>
        <w:gridCol w:w="1649"/>
      </w:tblGrid>
      <w:tr w:rsidR="00B53650" w:rsidRPr="00A51E75" w14:paraId="79D015B0" w14:textId="77777777" w:rsidTr="005073C5">
        <w:trPr>
          <w:trHeight w:val="600"/>
        </w:trPr>
        <w:tc>
          <w:tcPr>
            <w:tcW w:w="1291" w:type="pct"/>
            <w:tcBorders>
              <w:top w:val="single" w:sz="4" w:space="0" w:color="auto"/>
              <w:left w:val="single" w:sz="4" w:space="0" w:color="auto"/>
              <w:bottom w:val="single" w:sz="4" w:space="0" w:color="auto"/>
              <w:right w:val="single" w:sz="4" w:space="0" w:color="auto"/>
            </w:tcBorders>
            <w:vAlign w:val="center"/>
            <w:hideMark/>
          </w:tcPr>
          <w:p w14:paraId="653D7EDD" w14:textId="77777777" w:rsidR="00B53650" w:rsidRPr="00A51E75" w:rsidRDefault="00B53650" w:rsidP="00B53650">
            <w:pPr>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Fuente de cofinanciación</w:t>
            </w:r>
          </w:p>
        </w:tc>
        <w:tc>
          <w:tcPr>
            <w:tcW w:w="914" w:type="pct"/>
            <w:tcBorders>
              <w:top w:val="single" w:sz="4" w:space="0" w:color="auto"/>
              <w:left w:val="nil"/>
              <w:bottom w:val="single" w:sz="4" w:space="0" w:color="auto"/>
              <w:right w:val="single" w:sz="4" w:space="0" w:color="auto"/>
            </w:tcBorders>
            <w:vAlign w:val="center"/>
            <w:hideMark/>
          </w:tcPr>
          <w:p w14:paraId="0338DF8C" w14:textId="77777777" w:rsidR="00B53650" w:rsidRPr="00A51E75" w:rsidRDefault="00B53650" w:rsidP="00B53650">
            <w:pPr>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 xml:space="preserve">Nombre del </w:t>
            </w:r>
            <w:proofErr w:type="spellStart"/>
            <w:r w:rsidRPr="00A51E75">
              <w:rPr>
                <w:rFonts w:asciiTheme="minorHAnsi" w:hAnsiTheme="minorHAnsi" w:cstheme="minorHAnsi"/>
                <w:b/>
                <w:bCs/>
                <w:color w:val="000000"/>
                <w:sz w:val="18"/>
                <w:szCs w:val="18"/>
              </w:rPr>
              <w:t>cofinanciador</w:t>
            </w:r>
            <w:proofErr w:type="spellEnd"/>
          </w:p>
        </w:tc>
        <w:tc>
          <w:tcPr>
            <w:tcW w:w="651" w:type="pct"/>
            <w:tcBorders>
              <w:top w:val="single" w:sz="4" w:space="0" w:color="auto"/>
              <w:left w:val="nil"/>
              <w:bottom w:val="single" w:sz="4" w:space="0" w:color="auto"/>
              <w:right w:val="single" w:sz="4" w:space="0" w:color="auto"/>
            </w:tcBorders>
            <w:vAlign w:val="center"/>
            <w:hideMark/>
          </w:tcPr>
          <w:p w14:paraId="37E4A99E" w14:textId="77777777" w:rsidR="00B53650" w:rsidRPr="00A51E75" w:rsidRDefault="00B53650" w:rsidP="00B53650">
            <w:pPr>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Tipo de cofinanciación</w:t>
            </w:r>
          </w:p>
        </w:tc>
        <w:tc>
          <w:tcPr>
            <w:tcW w:w="1261" w:type="pct"/>
            <w:tcBorders>
              <w:top w:val="single" w:sz="4" w:space="0" w:color="auto"/>
              <w:left w:val="nil"/>
              <w:bottom w:val="single" w:sz="4" w:space="0" w:color="auto"/>
              <w:right w:val="single" w:sz="4" w:space="0" w:color="auto"/>
            </w:tcBorders>
            <w:vAlign w:val="center"/>
            <w:hideMark/>
          </w:tcPr>
          <w:p w14:paraId="5A4BEF3C" w14:textId="77777777" w:rsidR="00B53650" w:rsidRPr="00A51E75" w:rsidRDefault="00B53650" w:rsidP="00B53650">
            <w:pPr>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Inversión movilizada</w:t>
            </w:r>
          </w:p>
        </w:tc>
        <w:tc>
          <w:tcPr>
            <w:tcW w:w="882" w:type="pct"/>
            <w:tcBorders>
              <w:top w:val="single" w:sz="4" w:space="0" w:color="auto"/>
              <w:left w:val="nil"/>
              <w:bottom w:val="single" w:sz="4" w:space="0" w:color="auto"/>
              <w:right w:val="single" w:sz="4" w:space="0" w:color="auto"/>
            </w:tcBorders>
            <w:vAlign w:val="center"/>
            <w:hideMark/>
          </w:tcPr>
          <w:p w14:paraId="2E25C3AA" w14:textId="0BB20B0D" w:rsidR="00B53650" w:rsidRPr="00A51E75" w:rsidRDefault="00B53650" w:rsidP="00B53650">
            <w:pPr>
              <w:jc w:val="right"/>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 xml:space="preserve">Cuantía de </w:t>
            </w:r>
            <w:r w:rsidR="005073C5">
              <w:rPr>
                <w:rFonts w:asciiTheme="minorHAnsi" w:hAnsiTheme="minorHAnsi" w:cstheme="minorHAnsi"/>
                <w:b/>
                <w:bCs/>
                <w:color w:val="000000"/>
                <w:sz w:val="18"/>
                <w:szCs w:val="18"/>
              </w:rPr>
              <w:t>cofinanciamiento</w:t>
            </w:r>
          </w:p>
        </w:tc>
      </w:tr>
      <w:tr w:rsidR="005073C5" w:rsidRPr="00A51E75" w14:paraId="2443ED77" w14:textId="77777777" w:rsidTr="005073C5">
        <w:trPr>
          <w:trHeight w:val="320"/>
        </w:trPr>
        <w:tc>
          <w:tcPr>
            <w:tcW w:w="1291" w:type="pct"/>
            <w:tcBorders>
              <w:top w:val="single" w:sz="4" w:space="0" w:color="auto"/>
              <w:left w:val="single" w:sz="4" w:space="0" w:color="auto"/>
              <w:bottom w:val="single" w:sz="4" w:space="0" w:color="auto"/>
              <w:right w:val="single" w:sz="4" w:space="0" w:color="auto"/>
            </w:tcBorders>
            <w:noWrap/>
            <w:vAlign w:val="center"/>
            <w:hideMark/>
          </w:tcPr>
          <w:p w14:paraId="3EDD0556"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Gobierno</w:t>
            </w:r>
          </w:p>
        </w:tc>
        <w:tc>
          <w:tcPr>
            <w:tcW w:w="914" w:type="pct"/>
            <w:tcBorders>
              <w:top w:val="single" w:sz="4" w:space="0" w:color="auto"/>
              <w:left w:val="nil"/>
              <w:bottom w:val="single" w:sz="4" w:space="0" w:color="auto"/>
              <w:right w:val="single" w:sz="4" w:space="0" w:color="auto"/>
            </w:tcBorders>
            <w:noWrap/>
            <w:vAlign w:val="center"/>
            <w:hideMark/>
          </w:tcPr>
          <w:p w14:paraId="40228C95" w14:textId="16843EF1" w:rsidR="005073C5" w:rsidRPr="00A51E75" w:rsidRDefault="005073C5" w:rsidP="005073C5">
            <w:pPr>
              <w:rPr>
                <w:rFonts w:asciiTheme="minorHAnsi" w:hAnsiTheme="minorHAnsi" w:cstheme="minorHAnsi"/>
                <w:color w:val="000000"/>
                <w:sz w:val="18"/>
                <w:szCs w:val="18"/>
              </w:rPr>
            </w:pPr>
            <w:r>
              <w:rPr>
                <w:rFonts w:asciiTheme="minorHAnsi" w:hAnsiTheme="minorHAnsi" w:cstheme="minorHAnsi"/>
                <w:color w:val="000000"/>
                <w:sz w:val="18"/>
                <w:szCs w:val="18"/>
              </w:rPr>
              <w:t>MAE</w:t>
            </w:r>
          </w:p>
        </w:tc>
        <w:tc>
          <w:tcPr>
            <w:tcW w:w="651" w:type="pct"/>
            <w:tcBorders>
              <w:top w:val="single" w:sz="4" w:space="0" w:color="auto"/>
              <w:left w:val="nil"/>
              <w:bottom w:val="single" w:sz="4" w:space="0" w:color="auto"/>
              <w:right w:val="single" w:sz="4" w:space="0" w:color="auto"/>
            </w:tcBorders>
            <w:noWrap/>
            <w:vAlign w:val="center"/>
            <w:hideMark/>
          </w:tcPr>
          <w:p w14:paraId="08780FE4" w14:textId="314BEBA3" w:rsidR="005073C5" w:rsidRPr="00A51E75" w:rsidRDefault="005073C5" w:rsidP="005073C5">
            <w:pPr>
              <w:rPr>
                <w:rFonts w:asciiTheme="minorHAnsi" w:hAnsiTheme="minorHAnsi" w:cstheme="minorBidi"/>
                <w:color w:val="000000"/>
                <w:sz w:val="18"/>
                <w:szCs w:val="18"/>
              </w:rPr>
            </w:pPr>
            <w:r w:rsidRPr="00A51E75">
              <w:rPr>
                <w:rFonts w:asciiTheme="minorHAnsi" w:hAnsiTheme="minorHAnsi" w:cstheme="minorBidi"/>
                <w:color w:val="000000" w:themeColor="text1"/>
                <w:sz w:val="18"/>
                <w:szCs w:val="18"/>
              </w:rPr>
              <w:t xml:space="preserve">En especie. </w:t>
            </w:r>
          </w:p>
        </w:tc>
        <w:tc>
          <w:tcPr>
            <w:tcW w:w="1261" w:type="pct"/>
            <w:tcBorders>
              <w:top w:val="single" w:sz="4" w:space="0" w:color="auto"/>
              <w:left w:val="nil"/>
              <w:bottom w:val="single" w:sz="4" w:space="0" w:color="auto"/>
              <w:right w:val="single" w:sz="4" w:space="0" w:color="auto"/>
            </w:tcBorders>
            <w:noWrap/>
            <w:vAlign w:val="center"/>
            <w:hideMark/>
          </w:tcPr>
          <w:p w14:paraId="0106568E"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single" w:sz="4" w:space="0" w:color="auto"/>
              <w:left w:val="nil"/>
              <w:bottom w:val="single" w:sz="4" w:space="0" w:color="auto"/>
              <w:right w:val="single" w:sz="4" w:space="0" w:color="auto"/>
            </w:tcBorders>
            <w:noWrap/>
            <w:vAlign w:val="center"/>
            <w:hideMark/>
          </w:tcPr>
          <w:p w14:paraId="6B3325F4" w14:textId="421E622C"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$57,440,420</w:t>
            </w:r>
          </w:p>
        </w:tc>
      </w:tr>
      <w:tr w:rsidR="005073C5" w:rsidRPr="00A51E75" w14:paraId="0B5378DF"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5CF9BBEE"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Banco gubernamental</w:t>
            </w:r>
          </w:p>
        </w:tc>
        <w:tc>
          <w:tcPr>
            <w:tcW w:w="914" w:type="pct"/>
            <w:tcBorders>
              <w:top w:val="nil"/>
              <w:left w:val="nil"/>
              <w:bottom w:val="single" w:sz="4" w:space="0" w:color="auto"/>
              <w:right w:val="single" w:sz="4" w:space="0" w:color="auto"/>
            </w:tcBorders>
            <w:noWrap/>
            <w:vAlign w:val="center"/>
            <w:hideMark/>
          </w:tcPr>
          <w:p w14:paraId="73AB8129" w14:textId="77777777" w:rsidR="005073C5" w:rsidRPr="00A51E75" w:rsidRDefault="005073C5" w:rsidP="005073C5">
            <w:pPr>
              <w:rPr>
                <w:rFonts w:asciiTheme="minorHAnsi" w:hAnsiTheme="minorHAnsi" w:cstheme="minorHAnsi"/>
                <w:color w:val="000000"/>
                <w:sz w:val="18"/>
                <w:szCs w:val="18"/>
              </w:rPr>
            </w:pPr>
            <w:proofErr w:type="spellStart"/>
            <w:r w:rsidRPr="00A51E75">
              <w:rPr>
                <w:rFonts w:asciiTheme="minorHAnsi" w:hAnsiTheme="minorHAnsi" w:cstheme="minorHAnsi"/>
                <w:color w:val="000000"/>
                <w:sz w:val="18"/>
                <w:szCs w:val="18"/>
              </w:rPr>
              <w:t>Banecuador</w:t>
            </w:r>
            <w:proofErr w:type="spellEnd"/>
          </w:p>
        </w:tc>
        <w:tc>
          <w:tcPr>
            <w:tcW w:w="651" w:type="pct"/>
            <w:tcBorders>
              <w:top w:val="nil"/>
              <w:left w:val="nil"/>
              <w:bottom w:val="single" w:sz="4" w:space="0" w:color="auto"/>
              <w:right w:val="single" w:sz="4" w:space="0" w:color="auto"/>
            </w:tcBorders>
            <w:noWrap/>
            <w:vAlign w:val="center"/>
            <w:hideMark/>
          </w:tcPr>
          <w:p w14:paraId="1586EAB9"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efectivo</w:t>
            </w:r>
          </w:p>
        </w:tc>
        <w:tc>
          <w:tcPr>
            <w:tcW w:w="1261" w:type="pct"/>
            <w:tcBorders>
              <w:top w:val="nil"/>
              <w:left w:val="nil"/>
              <w:bottom w:val="single" w:sz="4" w:space="0" w:color="auto"/>
              <w:right w:val="single" w:sz="4" w:space="0" w:color="auto"/>
            </w:tcBorders>
            <w:noWrap/>
            <w:vAlign w:val="center"/>
            <w:hideMark/>
          </w:tcPr>
          <w:p w14:paraId="73E7732D" w14:textId="6C682FCD"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Inversión movilizada</w:t>
            </w:r>
          </w:p>
        </w:tc>
        <w:tc>
          <w:tcPr>
            <w:tcW w:w="882" w:type="pct"/>
            <w:tcBorders>
              <w:top w:val="nil"/>
              <w:left w:val="nil"/>
              <w:bottom w:val="single" w:sz="4" w:space="0" w:color="auto"/>
              <w:right w:val="single" w:sz="4" w:space="0" w:color="auto"/>
            </w:tcBorders>
            <w:noWrap/>
            <w:vAlign w:val="center"/>
            <w:hideMark/>
          </w:tcPr>
          <w:p w14:paraId="113A797D" w14:textId="48FE1D6C"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$5,000,000</w:t>
            </w:r>
          </w:p>
        </w:tc>
      </w:tr>
      <w:tr w:rsidR="005073C5" w:rsidRPr="00A51E75" w14:paraId="6FC164A9"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1C50A8EE"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ONG</w:t>
            </w:r>
          </w:p>
        </w:tc>
        <w:tc>
          <w:tcPr>
            <w:tcW w:w="914" w:type="pct"/>
            <w:tcBorders>
              <w:top w:val="nil"/>
              <w:left w:val="nil"/>
              <w:bottom w:val="single" w:sz="4" w:space="0" w:color="auto"/>
              <w:right w:val="single" w:sz="4" w:space="0" w:color="auto"/>
            </w:tcBorders>
            <w:noWrap/>
            <w:vAlign w:val="center"/>
            <w:hideMark/>
          </w:tcPr>
          <w:p w14:paraId="5D6D627D"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ECOCIENCIA</w:t>
            </w:r>
          </w:p>
        </w:tc>
        <w:tc>
          <w:tcPr>
            <w:tcW w:w="651" w:type="pct"/>
            <w:tcBorders>
              <w:top w:val="nil"/>
              <w:left w:val="nil"/>
              <w:bottom w:val="single" w:sz="4" w:space="0" w:color="auto"/>
              <w:right w:val="single" w:sz="4" w:space="0" w:color="auto"/>
            </w:tcBorders>
            <w:noWrap/>
            <w:vAlign w:val="center"/>
            <w:hideMark/>
          </w:tcPr>
          <w:p w14:paraId="48683FCF"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6264BF57"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4E0D4FF6" w14:textId="5022289E"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$1,250,773</w:t>
            </w:r>
          </w:p>
        </w:tc>
      </w:tr>
      <w:tr w:rsidR="005073C5" w:rsidRPr="00A51E75" w14:paraId="118AEBFF"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693F8E7E"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Nacionalidades indígenas</w:t>
            </w:r>
          </w:p>
        </w:tc>
        <w:tc>
          <w:tcPr>
            <w:tcW w:w="914" w:type="pct"/>
            <w:tcBorders>
              <w:top w:val="nil"/>
              <w:left w:val="nil"/>
              <w:bottom w:val="single" w:sz="4" w:space="0" w:color="auto"/>
              <w:right w:val="single" w:sz="4" w:space="0" w:color="auto"/>
            </w:tcBorders>
            <w:noWrap/>
            <w:vAlign w:val="center"/>
            <w:hideMark/>
          </w:tcPr>
          <w:p w14:paraId="464A7594"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CONFENIAE</w:t>
            </w:r>
          </w:p>
        </w:tc>
        <w:tc>
          <w:tcPr>
            <w:tcW w:w="651" w:type="pct"/>
            <w:tcBorders>
              <w:top w:val="nil"/>
              <w:left w:val="nil"/>
              <w:bottom w:val="single" w:sz="4" w:space="0" w:color="auto"/>
              <w:right w:val="single" w:sz="4" w:space="0" w:color="auto"/>
            </w:tcBorders>
            <w:noWrap/>
            <w:vAlign w:val="center"/>
            <w:hideMark/>
          </w:tcPr>
          <w:p w14:paraId="318D87A2"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1D9915AA"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14E0DCFF" w14:textId="616A5E8A"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$1,110,000</w:t>
            </w:r>
          </w:p>
        </w:tc>
      </w:tr>
      <w:tr w:rsidR="005073C5" w:rsidRPr="00A51E75" w14:paraId="6D15AE2D"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198C4272"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Agencia de la ONU</w:t>
            </w:r>
          </w:p>
        </w:tc>
        <w:tc>
          <w:tcPr>
            <w:tcW w:w="914" w:type="pct"/>
            <w:tcBorders>
              <w:top w:val="nil"/>
              <w:left w:val="nil"/>
              <w:bottom w:val="single" w:sz="4" w:space="0" w:color="auto"/>
              <w:right w:val="single" w:sz="4" w:space="0" w:color="auto"/>
            </w:tcBorders>
            <w:noWrap/>
            <w:vAlign w:val="center"/>
            <w:hideMark/>
          </w:tcPr>
          <w:p w14:paraId="34DDDAB8"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PNUD</w:t>
            </w:r>
          </w:p>
        </w:tc>
        <w:tc>
          <w:tcPr>
            <w:tcW w:w="651" w:type="pct"/>
            <w:tcBorders>
              <w:top w:val="nil"/>
              <w:left w:val="nil"/>
              <w:bottom w:val="single" w:sz="4" w:space="0" w:color="auto"/>
              <w:right w:val="single" w:sz="4" w:space="0" w:color="auto"/>
            </w:tcBorders>
            <w:noWrap/>
            <w:vAlign w:val="center"/>
            <w:hideMark/>
          </w:tcPr>
          <w:p w14:paraId="3E1C8D60"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68686F1E"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097BCA89" w14:textId="1B47A219"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$500,000</w:t>
            </w:r>
          </w:p>
        </w:tc>
      </w:tr>
      <w:tr w:rsidR="005073C5" w:rsidRPr="00A51E75" w14:paraId="740B8681"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73C7EE54"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Academia</w:t>
            </w:r>
          </w:p>
        </w:tc>
        <w:tc>
          <w:tcPr>
            <w:tcW w:w="914" w:type="pct"/>
            <w:tcBorders>
              <w:top w:val="nil"/>
              <w:left w:val="nil"/>
              <w:bottom w:val="single" w:sz="4" w:space="0" w:color="auto"/>
              <w:right w:val="single" w:sz="4" w:space="0" w:color="auto"/>
            </w:tcBorders>
            <w:noWrap/>
            <w:vAlign w:val="center"/>
            <w:hideMark/>
          </w:tcPr>
          <w:p w14:paraId="580F01A1"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IKIAM</w:t>
            </w:r>
          </w:p>
        </w:tc>
        <w:tc>
          <w:tcPr>
            <w:tcW w:w="651" w:type="pct"/>
            <w:tcBorders>
              <w:top w:val="nil"/>
              <w:left w:val="nil"/>
              <w:bottom w:val="single" w:sz="4" w:space="0" w:color="auto"/>
              <w:right w:val="single" w:sz="4" w:space="0" w:color="auto"/>
            </w:tcBorders>
            <w:noWrap/>
            <w:vAlign w:val="center"/>
            <w:hideMark/>
          </w:tcPr>
          <w:p w14:paraId="52BE53BB"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6A9F0965"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72384713" w14:textId="106952E3"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$400,000</w:t>
            </w:r>
          </w:p>
        </w:tc>
      </w:tr>
      <w:tr w:rsidR="005073C5" w:rsidRPr="00A51E75" w14:paraId="5D3BA971"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79340490"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ONG</w:t>
            </w:r>
          </w:p>
        </w:tc>
        <w:tc>
          <w:tcPr>
            <w:tcW w:w="914" w:type="pct"/>
            <w:tcBorders>
              <w:top w:val="nil"/>
              <w:left w:val="nil"/>
              <w:bottom w:val="single" w:sz="4" w:space="0" w:color="auto"/>
              <w:right w:val="single" w:sz="4" w:space="0" w:color="auto"/>
            </w:tcBorders>
            <w:noWrap/>
            <w:vAlign w:val="center"/>
            <w:hideMark/>
          </w:tcPr>
          <w:p w14:paraId="5B9FF256"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BYOS</w:t>
            </w:r>
          </w:p>
        </w:tc>
        <w:tc>
          <w:tcPr>
            <w:tcW w:w="651" w:type="pct"/>
            <w:tcBorders>
              <w:top w:val="nil"/>
              <w:left w:val="nil"/>
              <w:bottom w:val="single" w:sz="4" w:space="0" w:color="auto"/>
              <w:right w:val="single" w:sz="4" w:space="0" w:color="auto"/>
            </w:tcBorders>
            <w:noWrap/>
            <w:vAlign w:val="center"/>
            <w:hideMark/>
          </w:tcPr>
          <w:p w14:paraId="2220A7FC" w14:textId="64F942C5" w:rsidR="005073C5" w:rsidRPr="00A51E75" w:rsidRDefault="005073C5" w:rsidP="005073C5">
            <w:pPr>
              <w:rPr>
                <w:rFonts w:asciiTheme="minorHAnsi" w:hAnsiTheme="minorHAnsi" w:cstheme="minorBidi"/>
                <w:color w:val="000000"/>
                <w:sz w:val="18"/>
                <w:szCs w:val="18"/>
              </w:rPr>
            </w:pPr>
            <w:r w:rsidRPr="00A51E75">
              <w:rPr>
                <w:rFonts w:asciiTheme="minorHAnsi" w:hAnsiTheme="minorHAnsi" w:cstheme="minorBidi"/>
                <w:color w:val="000000" w:themeColor="text1"/>
                <w:sz w:val="18"/>
                <w:szCs w:val="18"/>
              </w:rPr>
              <w:t>en efectivo</w:t>
            </w:r>
          </w:p>
        </w:tc>
        <w:tc>
          <w:tcPr>
            <w:tcW w:w="1261" w:type="pct"/>
            <w:tcBorders>
              <w:top w:val="nil"/>
              <w:left w:val="nil"/>
              <w:bottom w:val="single" w:sz="4" w:space="0" w:color="auto"/>
              <w:right w:val="single" w:sz="4" w:space="0" w:color="auto"/>
            </w:tcBorders>
            <w:noWrap/>
            <w:vAlign w:val="center"/>
            <w:hideMark/>
          </w:tcPr>
          <w:p w14:paraId="59D920BF"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79CA340C" w14:textId="3D6C2244"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$360,725</w:t>
            </w:r>
          </w:p>
        </w:tc>
      </w:tr>
      <w:tr w:rsidR="005073C5" w:rsidRPr="00A51E75" w14:paraId="1438F7A3"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54E04245"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Academia</w:t>
            </w:r>
          </w:p>
        </w:tc>
        <w:tc>
          <w:tcPr>
            <w:tcW w:w="914" w:type="pct"/>
            <w:tcBorders>
              <w:top w:val="nil"/>
              <w:left w:val="nil"/>
              <w:bottom w:val="single" w:sz="4" w:space="0" w:color="auto"/>
              <w:right w:val="single" w:sz="4" w:space="0" w:color="auto"/>
            </w:tcBorders>
            <w:noWrap/>
            <w:vAlign w:val="center"/>
            <w:hideMark/>
          </w:tcPr>
          <w:p w14:paraId="3A5B3253"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CATIE</w:t>
            </w:r>
          </w:p>
        </w:tc>
        <w:tc>
          <w:tcPr>
            <w:tcW w:w="651" w:type="pct"/>
            <w:tcBorders>
              <w:top w:val="nil"/>
              <w:left w:val="nil"/>
              <w:bottom w:val="single" w:sz="4" w:space="0" w:color="auto"/>
              <w:right w:val="single" w:sz="4" w:space="0" w:color="auto"/>
            </w:tcBorders>
            <w:noWrap/>
            <w:vAlign w:val="center"/>
            <w:hideMark/>
          </w:tcPr>
          <w:p w14:paraId="57A66B26"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26697835"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37355635" w14:textId="495C2CEC"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$300,000</w:t>
            </w:r>
          </w:p>
        </w:tc>
      </w:tr>
      <w:tr w:rsidR="005073C5" w:rsidRPr="00A51E75" w14:paraId="505D87AD"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6880ED85"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ONG</w:t>
            </w:r>
          </w:p>
        </w:tc>
        <w:tc>
          <w:tcPr>
            <w:tcW w:w="914" w:type="pct"/>
            <w:tcBorders>
              <w:top w:val="nil"/>
              <w:left w:val="nil"/>
              <w:bottom w:val="single" w:sz="4" w:space="0" w:color="auto"/>
              <w:right w:val="single" w:sz="4" w:space="0" w:color="auto"/>
            </w:tcBorders>
            <w:noWrap/>
            <w:vAlign w:val="center"/>
            <w:hideMark/>
          </w:tcPr>
          <w:p w14:paraId="35250832"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ECOPAR</w:t>
            </w:r>
          </w:p>
        </w:tc>
        <w:tc>
          <w:tcPr>
            <w:tcW w:w="651" w:type="pct"/>
            <w:tcBorders>
              <w:top w:val="nil"/>
              <w:left w:val="nil"/>
              <w:bottom w:val="single" w:sz="4" w:space="0" w:color="auto"/>
              <w:right w:val="single" w:sz="4" w:space="0" w:color="auto"/>
            </w:tcBorders>
            <w:noWrap/>
            <w:vAlign w:val="center"/>
            <w:hideMark/>
          </w:tcPr>
          <w:p w14:paraId="68B829D2"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7C295E50"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5A141B05" w14:textId="1B2D3CC9"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$250,000</w:t>
            </w:r>
          </w:p>
        </w:tc>
      </w:tr>
      <w:tr w:rsidR="005073C5" w:rsidRPr="00A51E75" w14:paraId="34D18099"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2F2AD12A"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ONG</w:t>
            </w:r>
          </w:p>
        </w:tc>
        <w:tc>
          <w:tcPr>
            <w:tcW w:w="914" w:type="pct"/>
            <w:tcBorders>
              <w:top w:val="nil"/>
              <w:left w:val="nil"/>
              <w:bottom w:val="single" w:sz="4" w:space="0" w:color="auto"/>
              <w:right w:val="single" w:sz="4" w:space="0" w:color="auto"/>
            </w:tcBorders>
            <w:noWrap/>
            <w:vAlign w:val="center"/>
            <w:hideMark/>
          </w:tcPr>
          <w:p w14:paraId="18A6FF84"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HIVOS</w:t>
            </w:r>
          </w:p>
        </w:tc>
        <w:tc>
          <w:tcPr>
            <w:tcW w:w="651" w:type="pct"/>
            <w:tcBorders>
              <w:top w:val="nil"/>
              <w:left w:val="nil"/>
              <w:bottom w:val="single" w:sz="4" w:space="0" w:color="auto"/>
              <w:right w:val="single" w:sz="4" w:space="0" w:color="auto"/>
            </w:tcBorders>
            <w:noWrap/>
            <w:vAlign w:val="center"/>
            <w:hideMark/>
          </w:tcPr>
          <w:p w14:paraId="59A53AD3"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32CEA29F"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3C416BCE" w14:textId="59788875"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$200,000</w:t>
            </w:r>
          </w:p>
        </w:tc>
      </w:tr>
      <w:tr w:rsidR="005073C5" w:rsidRPr="00A51E75" w14:paraId="33713892"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643F415A"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ONG</w:t>
            </w:r>
          </w:p>
        </w:tc>
        <w:tc>
          <w:tcPr>
            <w:tcW w:w="914" w:type="pct"/>
            <w:tcBorders>
              <w:top w:val="nil"/>
              <w:left w:val="nil"/>
              <w:bottom w:val="single" w:sz="4" w:space="0" w:color="auto"/>
              <w:right w:val="single" w:sz="4" w:space="0" w:color="auto"/>
            </w:tcBorders>
            <w:noWrap/>
            <w:vAlign w:val="center"/>
            <w:hideMark/>
          </w:tcPr>
          <w:p w14:paraId="69BAF661"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WWF</w:t>
            </w:r>
          </w:p>
        </w:tc>
        <w:tc>
          <w:tcPr>
            <w:tcW w:w="651" w:type="pct"/>
            <w:tcBorders>
              <w:top w:val="nil"/>
              <w:left w:val="nil"/>
              <w:bottom w:val="single" w:sz="4" w:space="0" w:color="auto"/>
              <w:right w:val="single" w:sz="4" w:space="0" w:color="auto"/>
            </w:tcBorders>
            <w:noWrap/>
            <w:vAlign w:val="center"/>
            <w:hideMark/>
          </w:tcPr>
          <w:p w14:paraId="448ADB87"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1E14A04A"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1855ECFC" w14:textId="2BCBA2DE"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$100,000</w:t>
            </w:r>
          </w:p>
        </w:tc>
      </w:tr>
      <w:tr w:rsidR="005073C5" w:rsidRPr="00A51E75" w14:paraId="09736F44"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1993F549"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Gobierno local</w:t>
            </w:r>
          </w:p>
        </w:tc>
        <w:tc>
          <w:tcPr>
            <w:tcW w:w="914" w:type="pct"/>
            <w:tcBorders>
              <w:top w:val="nil"/>
              <w:left w:val="nil"/>
              <w:bottom w:val="single" w:sz="4" w:space="0" w:color="auto"/>
              <w:right w:val="single" w:sz="4" w:space="0" w:color="auto"/>
            </w:tcBorders>
            <w:noWrap/>
            <w:vAlign w:val="center"/>
            <w:hideMark/>
          </w:tcPr>
          <w:p w14:paraId="5C35A67E"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GAD Archidona</w:t>
            </w:r>
          </w:p>
        </w:tc>
        <w:tc>
          <w:tcPr>
            <w:tcW w:w="651" w:type="pct"/>
            <w:tcBorders>
              <w:top w:val="nil"/>
              <w:left w:val="nil"/>
              <w:bottom w:val="single" w:sz="4" w:space="0" w:color="auto"/>
              <w:right w:val="single" w:sz="4" w:space="0" w:color="auto"/>
            </w:tcBorders>
            <w:noWrap/>
            <w:vAlign w:val="center"/>
            <w:hideMark/>
          </w:tcPr>
          <w:p w14:paraId="114119BA"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0984A1E8"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4043F0A3" w14:textId="670ADE2C"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$50,000</w:t>
            </w:r>
          </w:p>
        </w:tc>
      </w:tr>
      <w:tr w:rsidR="005073C5" w:rsidRPr="00A51E75" w14:paraId="6AACF88C" w14:textId="77777777" w:rsidTr="005073C5">
        <w:trPr>
          <w:trHeight w:val="320"/>
        </w:trPr>
        <w:tc>
          <w:tcPr>
            <w:tcW w:w="1291" w:type="pct"/>
            <w:tcBorders>
              <w:top w:val="nil"/>
              <w:left w:val="single" w:sz="4" w:space="0" w:color="auto"/>
              <w:bottom w:val="single" w:sz="4" w:space="0" w:color="auto"/>
              <w:right w:val="single" w:sz="4" w:space="0" w:color="auto"/>
            </w:tcBorders>
            <w:noWrap/>
            <w:vAlign w:val="center"/>
            <w:hideMark/>
          </w:tcPr>
          <w:p w14:paraId="2C803336"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ONG</w:t>
            </w:r>
          </w:p>
        </w:tc>
        <w:tc>
          <w:tcPr>
            <w:tcW w:w="914" w:type="pct"/>
            <w:tcBorders>
              <w:top w:val="nil"/>
              <w:left w:val="nil"/>
              <w:bottom w:val="single" w:sz="4" w:space="0" w:color="auto"/>
              <w:right w:val="single" w:sz="4" w:space="0" w:color="auto"/>
            </w:tcBorders>
            <w:noWrap/>
            <w:vAlign w:val="center"/>
            <w:hideMark/>
          </w:tcPr>
          <w:p w14:paraId="4D39583D"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PASOS</w:t>
            </w:r>
          </w:p>
        </w:tc>
        <w:tc>
          <w:tcPr>
            <w:tcW w:w="651" w:type="pct"/>
            <w:tcBorders>
              <w:top w:val="nil"/>
              <w:left w:val="nil"/>
              <w:bottom w:val="single" w:sz="4" w:space="0" w:color="auto"/>
              <w:right w:val="single" w:sz="4" w:space="0" w:color="auto"/>
            </w:tcBorders>
            <w:noWrap/>
            <w:vAlign w:val="center"/>
            <w:hideMark/>
          </w:tcPr>
          <w:p w14:paraId="2BFAE9CA"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nil"/>
              <w:left w:val="nil"/>
              <w:bottom w:val="single" w:sz="4" w:space="0" w:color="auto"/>
              <w:right w:val="single" w:sz="4" w:space="0" w:color="auto"/>
            </w:tcBorders>
            <w:noWrap/>
            <w:vAlign w:val="center"/>
            <w:hideMark/>
          </w:tcPr>
          <w:p w14:paraId="53E7A4C0"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nil"/>
              <w:left w:val="nil"/>
              <w:bottom w:val="single" w:sz="4" w:space="0" w:color="auto"/>
              <w:right w:val="single" w:sz="4" w:space="0" w:color="auto"/>
            </w:tcBorders>
            <w:noWrap/>
            <w:vAlign w:val="center"/>
            <w:hideMark/>
          </w:tcPr>
          <w:p w14:paraId="78A846B1" w14:textId="643FC203"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$30,000</w:t>
            </w:r>
          </w:p>
        </w:tc>
      </w:tr>
      <w:tr w:rsidR="005073C5" w:rsidRPr="00A51E75" w14:paraId="1D71EDFC" w14:textId="77777777" w:rsidTr="005073C5">
        <w:trPr>
          <w:trHeight w:val="320"/>
        </w:trPr>
        <w:tc>
          <w:tcPr>
            <w:tcW w:w="1291" w:type="pct"/>
            <w:tcBorders>
              <w:top w:val="single" w:sz="4" w:space="0" w:color="auto"/>
              <w:left w:val="single" w:sz="4" w:space="0" w:color="auto"/>
              <w:bottom w:val="single" w:sz="4" w:space="0" w:color="auto"/>
              <w:right w:val="single" w:sz="4" w:space="0" w:color="auto"/>
            </w:tcBorders>
            <w:noWrap/>
            <w:vAlign w:val="center"/>
            <w:hideMark/>
          </w:tcPr>
          <w:p w14:paraId="08C803A1"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Banco gubernamental</w:t>
            </w:r>
          </w:p>
        </w:tc>
        <w:tc>
          <w:tcPr>
            <w:tcW w:w="914" w:type="pct"/>
            <w:tcBorders>
              <w:top w:val="single" w:sz="4" w:space="0" w:color="auto"/>
              <w:left w:val="nil"/>
              <w:bottom w:val="single" w:sz="4" w:space="0" w:color="auto"/>
              <w:right w:val="single" w:sz="4" w:space="0" w:color="auto"/>
            </w:tcBorders>
            <w:noWrap/>
            <w:vAlign w:val="center"/>
            <w:hideMark/>
          </w:tcPr>
          <w:p w14:paraId="7C3FF91F"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BDE</w:t>
            </w:r>
          </w:p>
        </w:tc>
        <w:tc>
          <w:tcPr>
            <w:tcW w:w="651" w:type="pct"/>
            <w:tcBorders>
              <w:top w:val="single" w:sz="4" w:space="0" w:color="auto"/>
              <w:left w:val="nil"/>
              <w:bottom w:val="single" w:sz="4" w:space="0" w:color="auto"/>
              <w:right w:val="single" w:sz="4" w:space="0" w:color="auto"/>
            </w:tcBorders>
            <w:noWrap/>
            <w:vAlign w:val="center"/>
            <w:hideMark/>
          </w:tcPr>
          <w:p w14:paraId="3D451EF6"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efectivo</w:t>
            </w:r>
          </w:p>
        </w:tc>
        <w:tc>
          <w:tcPr>
            <w:tcW w:w="1261" w:type="pct"/>
            <w:tcBorders>
              <w:top w:val="single" w:sz="4" w:space="0" w:color="auto"/>
              <w:left w:val="nil"/>
              <w:bottom w:val="single" w:sz="4" w:space="0" w:color="auto"/>
              <w:right w:val="single" w:sz="4" w:space="0" w:color="auto"/>
            </w:tcBorders>
            <w:noWrap/>
            <w:vAlign w:val="center"/>
            <w:hideMark/>
          </w:tcPr>
          <w:p w14:paraId="1FC19138" w14:textId="1355DF2C"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Inversión movilizada</w:t>
            </w:r>
          </w:p>
        </w:tc>
        <w:tc>
          <w:tcPr>
            <w:tcW w:w="882" w:type="pct"/>
            <w:tcBorders>
              <w:top w:val="single" w:sz="4" w:space="0" w:color="auto"/>
              <w:left w:val="nil"/>
              <w:bottom w:val="single" w:sz="4" w:space="0" w:color="auto"/>
              <w:right w:val="single" w:sz="4" w:space="0" w:color="auto"/>
            </w:tcBorders>
            <w:noWrap/>
            <w:vAlign w:val="center"/>
            <w:hideMark/>
          </w:tcPr>
          <w:p w14:paraId="5FECE09E" w14:textId="700C1951"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$2,000,000</w:t>
            </w:r>
          </w:p>
        </w:tc>
      </w:tr>
      <w:tr w:rsidR="005073C5" w:rsidRPr="00A51E75" w14:paraId="1BD0D21C" w14:textId="77777777" w:rsidTr="005073C5">
        <w:trPr>
          <w:trHeight w:val="320"/>
        </w:trPr>
        <w:tc>
          <w:tcPr>
            <w:tcW w:w="1291" w:type="pct"/>
            <w:tcBorders>
              <w:top w:val="single" w:sz="4" w:space="0" w:color="auto"/>
              <w:left w:val="single" w:sz="4" w:space="0" w:color="auto"/>
              <w:bottom w:val="single" w:sz="4" w:space="0" w:color="auto"/>
              <w:right w:val="single" w:sz="4" w:space="0" w:color="auto"/>
            </w:tcBorders>
            <w:noWrap/>
            <w:vAlign w:val="center"/>
            <w:hideMark/>
          </w:tcPr>
          <w:p w14:paraId="36C39532"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Agencia de la ONU</w:t>
            </w:r>
          </w:p>
        </w:tc>
        <w:tc>
          <w:tcPr>
            <w:tcW w:w="914" w:type="pct"/>
            <w:tcBorders>
              <w:top w:val="single" w:sz="4" w:space="0" w:color="auto"/>
              <w:left w:val="nil"/>
              <w:bottom w:val="single" w:sz="4" w:space="0" w:color="auto"/>
              <w:right w:val="single" w:sz="4" w:space="0" w:color="auto"/>
            </w:tcBorders>
            <w:noWrap/>
            <w:vAlign w:val="center"/>
            <w:hideMark/>
          </w:tcPr>
          <w:p w14:paraId="083F5EEF"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UNESCO</w:t>
            </w:r>
          </w:p>
        </w:tc>
        <w:tc>
          <w:tcPr>
            <w:tcW w:w="651" w:type="pct"/>
            <w:tcBorders>
              <w:top w:val="single" w:sz="4" w:space="0" w:color="auto"/>
              <w:left w:val="nil"/>
              <w:bottom w:val="single" w:sz="4" w:space="0" w:color="auto"/>
              <w:right w:val="single" w:sz="4" w:space="0" w:color="auto"/>
            </w:tcBorders>
            <w:noWrap/>
            <w:vAlign w:val="center"/>
            <w:hideMark/>
          </w:tcPr>
          <w:p w14:paraId="02299A0B"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En especie.</w:t>
            </w:r>
          </w:p>
        </w:tc>
        <w:tc>
          <w:tcPr>
            <w:tcW w:w="1261" w:type="pct"/>
            <w:tcBorders>
              <w:top w:val="single" w:sz="4" w:space="0" w:color="auto"/>
              <w:left w:val="nil"/>
              <w:bottom w:val="single" w:sz="4" w:space="0" w:color="auto"/>
              <w:right w:val="single" w:sz="4" w:space="0" w:color="auto"/>
            </w:tcBorders>
            <w:noWrap/>
            <w:vAlign w:val="center"/>
            <w:hideMark/>
          </w:tcPr>
          <w:p w14:paraId="110759B6"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Gastos recurrentes</w:t>
            </w:r>
          </w:p>
        </w:tc>
        <w:tc>
          <w:tcPr>
            <w:tcW w:w="882" w:type="pct"/>
            <w:tcBorders>
              <w:top w:val="single" w:sz="4" w:space="0" w:color="auto"/>
              <w:left w:val="nil"/>
              <w:bottom w:val="single" w:sz="4" w:space="0" w:color="auto"/>
              <w:right w:val="single" w:sz="4" w:space="0" w:color="auto"/>
            </w:tcBorders>
            <w:noWrap/>
            <w:vAlign w:val="center"/>
            <w:hideMark/>
          </w:tcPr>
          <w:p w14:paraId="62095A0F" w14:textId="3D8FC8AF" w:rsidR="005073C5" w:rsidRPr="00A51E75" w:rsidRDefault="005073C5" w:rsidP="005073C5">
            <w:pPr>
              <w:jc w:val="right"/>
              <w:rPr>
                <w:rFonts w:asciiTheme="minorHAnsi" w:hAnsiTheme="minorHAnsi" w:cstheme="minorHAnsi"/>
                <w:color w:val="000000"/>
                <w:sz w:val="18"/>
                <w:szCs w:val="18"/>
              </w:rPr>
            </w:pPr>
            <w:r w:rsidRPr="00A51E75">
              <w:rPr>
                <w:rFonts w:asciiTheme="minorHAnsi" w:hAnsiTheme="minorHAnsi" w:cstheme="minorHAnsi"/>
                <w:color w:val="000000"/>
                <w:sz w:val="18"/>
                <w:szCs w:val="18"/>
              </w:rPr>
              <w:t>$120,000</w:t>
            </w:r>
          </w:p>
        </w:tc>
      </w:tr>
      <w:tr w:rsidR="005073C5" w:rsidRPr="00A51E75" w14:paraId="5E355087" w14:textId="77777777" w:rsidTr="005073C5">
        <w:trPr>
          <w:trHeight w:val="320"/>
        </w:trPr>
        <w:tc>
          <w:tcPr>
            <w:tcW w:w="1291" w:type="pct"/>
            <w:tcBorders>
              <w:top w:val="single" w:sz="4" w:space="0" w:color="auto"/>
              <w:left w:val="single" w:sz="4" w:space="0" w:color="auto"/>
              <w:bottom w:val="single" w:sz="4" w:space="0" w:color="auto"/>
              <w:right w:val="single" w:sz="4" w:space="0" w:color="auto"/>
            </w:tcBorders>
            <w:noWrap/>
            <w:vAlign w:val="center"/>
            <w:hideMark/>
          </w:tcPr>
          <w:p w14:paraId="35193BC9"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914" w:type="pct"/>
            <w:tcBorders>
              <w:top w:val="single" w:sz="4" w:space="0" w:color="auto"/>
              <w:left w:val="nil"/>
              <w:bottom w:val="single" w:sz="4" w:space="0" w:color="auto"/>
              <w:right w:val="single" w:sz="4" w:space="0" w:color="auto"/>
            </w:tcBorders>
            <w:noWrap/>
            <w:vAlign w:val="center"/>
            <w:hideMark/>
          </w:tcPr>
          <w:p w14:paraId="24177007" w14:textId="77777777" w:rsidR="005073C5" w:rsidRPr="00A51E75" w:rsidRDefault="005073C5" w:rsidP="005073C5">
            <w:pPr>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Total</w:t>
            </w:r>
          </w:p>
        </w:tc>
        <w:tc>
          <w:tcPr>
            <w:tcW w:w="651" w:type="pct"/>
            <w:tcBorders>
              <w:top w:val="single" w:sz="4" w:space="0" w:color="auto"/>
              <w:left w:val="nil"/>
              <w:bottom w:val="single" w:sz="4" w:space="0" w:color="auto"/>
              <w:right w:val="single" w:sz="4" w:space="0" w:color="auto"/>
            </w:tcBorders>
            <w:noWrap/>
            <w:vAlign w:val="center"/>
            <w:hideMark/>
          </w:tcPr>
          <w:p w14:paraId="32318680"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261" w:type="pct"/>
            <w:tcBorders>
              <w:top w:val="single" w:sz="4" w:space="0" w:color="auto"/>
              <w:left w:val="nil"/>
              <w:bottom w:val="single" w:sz="4" w:space="0" w:color="auto"/>
              <w:right w:val="single" w:sz="4" w:space="0" w:color="auto"/>
            </w:tcBorders>
            <w:noWrap/>
            <w:vAlign w:val="center"/>
            <w:hideMark/>
          </w:tcPr>
          <w:p w14:paraId="31019AB1" w14:textId="77777777" w:rsidR="005073C5" w:rsidRPr="00A51E75" w:rsidRDefault="005073C5" w:rsidP="005073C5">
            <w:pP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882" w:type="pct"/>
            <w:tcBorders>
              <w:top w:val="single" w:sz="4" w:space="0" w:color="auto"/>
              <w:left w:val="nil"/>
              <w:bottom w:val="single" w:sz="4" w:space="0" w:color="auto"/>
              <w:right w:val="single" w:sz="4" w:space="0" w:color="auto"/>
            </w:tcBorders>
            <w:noWrap/>
            <w:vAlign w:val="center"/>
            <w:hideMark/>
          </w:tcPr>
          <w:p w14:paraId="25984900" w14:textId="78FD4B11" w:rsidR="005073C5" w:rsidRPr="00A51E75" w:rsidRDefault="005073C5" w:rsidP="005073C5">
            <w:pPr>
              <w:jc w:val="right"/>
              <w:rPr>
                <w:rFonts w:asciiTheme="minorHAnsi" w:hAnsiTheme="minorHAnsi" w:cstheme="minorHAnsi"/>
                <w:b/>
                <w:bCs/>
                <w:color w:val="000000"/>
                <w:sz w:val="18"/>
                <w:szCs w:val="18"/>
              </w:rPr>
            </w:pPr>
            <w:r w:rsidRPr="00A51E75">
              <w:rPr>
                <w:rFonts w:asciiTheme="minorHAnsi" w:hAnsiTheme="minorHAnsi" w:cstheme="minorHAnsi"/>
                <w:b/>
                <w:bCs/>
                <w:color w:val="000000"/>
                <w:sz w:val="18"/>
                <w:szCs w:val="18"/>
              </w:rPr>
              <w:t>$69,111,918</w:t>
            </w:r>
          </w:p>
        </w:tc>
      </w:tr>
    </w:tbl>
    <w:p w14:paraId="0C993A67" w14:textId="77777777" w:rsidR="00B53650" w:rsidRPr="00A51E75" w:rsidRDefault="00B53650" w:rsidP="00ED497E">
      <w:pPr>
        <w:keepNext/>
        <w:tabs>
          <w:tab w:val="num" w:pos="720"/>
        </w:tabs>
        <w:suppressAutoHyphens/>
        <w:ind w:left="720" w:hanging="720"/>
        <w:jc w:val="both"/>
        <w:outlineLvl w:val="0"/>
        <w:rPr>
          <w:rFonts w:asciiTheme="minorHAnsi" w:eastAsia="SimSun" w:hAnsiTheme="minorHAnsi" w:cstheme="minorHAnsi"/>
          <w:b/>
          <w:smallCaps/>
          <w:spacing w:val="-2"/>
          <w:sz w:val="28"/>
          <w:szCs w:val="20"/>
        </w:rPr>
      </w:pPr>
    </w:p>
    <w:p w14:paraId="041074DB" w14:textId="77777777" w:rsidR="000E5169" w:rsidRPr="00A51E75" w:rsidRDefault="000E5169" w:rsidP="008B6F84">
      <w:pPr>
        <w:autoSpaceDE w:val="0"/>
        <w:autoSpaceDN w:val="0"/>
        <w:adjustRightInd w:val="0"/>
        <w:jc w:val="both"/>
        <w:rPr>
          <w:rFonts w:asciiTheme="minorHAnsi" w:eastAsia="SimSun" w:hAnsiTheme="minorHAnsi" w:cstheme="minorHAnsi"/>
          <w:b/>
          <w:i/>
          <w:color w:val="000000"/>
          <w:sz w:val="20"/>
          <w:szCs w:val="20"/>
          <w:lang w:val="en-US"/>
        </w:rPr>
      </w:pPr>
    </w:p>
    <w:p w14:paraId="7A501BE9" w14:textId="77777777" w:rsidR="005708E0" w:rsidRPr="00A51E75" w:rsidRDefault="005708E0" w:rsidP="005708E0">
      <w:pPr>
        <w:jc w:val="both"/>
        <w:rPr>
          <w:rFonts w:asciiTheme="minorHAnsi" w:eastAsia="SimSun" w:hAnsiTheme="minorHAnsi" w:cstheme="minorHAnsi"/>
          <w:b/>
          <w:bCs/>
          <w:lang w:val="en-US"/>
        </w:rPr>
      </w:pPr>
      <w:r w:rsidRPr="00A51E75">
        <w:rPr>
          <w:rFonts w:asciiTheme="minorHAnsi" w:eastAsia="SimSun" w:hAnsiTheme="minorHAnsi" w:cstheme="minorHAnsi"/>
          <w:b/>
          <w:bCs/>
        </w:rPr>
        <w:t>Cartas de Cofinanciación Disponible</w:t>
      </w:r>
    </w:p>
    <w:p w14:paraId="1D03A343" w14:textId="77777777" w:rsidR="00EF2373" w:rsidRPr="00A51E75" w:rsidRDefault="00EF2373" w:rsidP="005708E0">
      <w:pPr>
        <w:jc w:val="both"/>
        <w:rPr>
          <w:rFonts w:asciiTheme="minorHAnsi" w:eastAsia="SimSun" w:hAnsiTheme="minorHAnsi" w:cstheme="minorHAnsi"/>
          <w:sz w:val="20"/>
          <w:szCs w:val="20"/>
          <w:lang w:val="en-US"/>
        </w:rPr>
      </w:pPr>
    </w:p>
    <w:p w14:paraId="1EA2B7E2" w14:textId="27586651" w:rsidR="00AD0EF5" w:rsidRPr="00D830D9" w:rsidRDefault="009E221F" w:rsidP="00EC2CBE">
      <w:pPr>
        <w:pStyle w:val="Prrafodelista"/>
        <w:numPr>
          <w:ilvl w:val="0"/>
          <w:numId w:val="3"/>
        </w:numPr>
        <w:tabs>
          <w:tab w:val="clear" w:pos="360"/>
        </w:tabs>
        <w:ind w:left="0" w:hanging="502"/>
        <w:jc w:val="both"/>
        <w:rPr>
          <w:rFonts w:asciiTheme="minorHAnsi" w:eastAsia="SimSun" w:hAnsiTheme="minorHAnsi" w:cstheme="minorBidi"/>
          <w:sz w:val="20"/>
          <w:szCs w:val="20"/>
          <w:lang w:val="es-EC"/>
        </w:rPr>
      </w:pPr>
      <w:r>
        <w:rPr>
          <w:rFonts w:asciiTheme="minorHAnsi" w:eastAsia="SimSun" w:hAnsiTheme="minorHAnsi" w:cstheme="minorBidi"/>
          <w:b/>
          <w:sz w:val="20"/>
          <w:szCs w:val="20"/>
          <w:lang w:eastAsia="zh-CN"/>
        </w:rPr>
        <w:t>MAE</w:t>
      </w:r>
      <w:r w:rsidR="00933281" w:rsidRPr="00A51E75">
        <w:rPr>
          <w:rFonts w:asciiTheme="minorHAnsi" w:eastAsia="SimSun" w:hAnsiTheme="minorHAnsi" w:cstheme="minorBidi"/>
          <w:b/>
          <w:sz w:val="20"/>
          <w:szCs w:val="20"/>
          <w:lang w:eastAsia="zh-CN"/>
        </w:rPr>
        <w:t xml:space="preserve"> (En especie</w:t>
      </w:r>
      <w:r w:rsidR="00933281" w:rsidRPr="00A51E75">
        <w:rPr>
          <w:rFonts w:asciiTheme="minorHAnsi" w:eastAsia="SimSun" w:hAnsiTheme="minorHAnsi" w:cstheme="minorBidi"/>
          <w:sz w:val="20"/>
          <w:szCs w:val="20"/>
          <w:lang w:eastAsia="zh-CN"/>
        </w:rPr>
        <w:t xml:space="preserve">: El </w:t>
      </w:r>
      <w:r w:rsidR="001F48AE">
        <w:rPr>
          <w:rFonts w:asciiTheme="minorHAnsi" w:eastAsia="SimSun" w:hAnsiTheme="minorHAnsi" w:cstheme="minorBidi"/>
          <w:sz w:val="20"/>
          <w:szCs w:val="20"/>
          <w:lang w:eastAsia="zh-CN"/>
        </w:rPr>
        <w:t>Ministerio de Medio Ambiente y Energía</w:t>
      </w:r>
      <w:r w:rsidR="00933281" w:rsidRPr="00A51E75">
        <w:rPr>
          <w:rFonts w:asciiTheme="minorHAnsi" w:eastAsia="SimSun" w:hAnsiTheme="minorHAnsi" w:cstheme="minorBidi"/>
          <w:sz w:val="20"/>
          <w:szCs w:val="20"/>
          <w:lang w:eastAsia="zh-CN"/>
        </w:rPr>
        <w:t xml:space="preserve"> (</w:t>
      </w:r>
      <w:r>
        <w:rPr>
          <w:rFonts w:asciiTheme="minorHAnsi" w:eastAsia="SimSun" w:hAnsiTheme="minorHAnsi" w:cstheme="minorBidi"/>
          <w:sz w:val="20"/>
          <w:szCs w:val="20"/>
          <w:lang w:eastAsia="zh-CN"/>
        </w:rPr>
        <w:t>MAE</w:t>
      </w:r>
      <w:r w:rsidR="00933281" w:rsidRPr="00A51E75">
        <w:rPr>
          <w:rFonts w:asciiTheme="minorHAnsi" w:eastAsia="SimSun" w:hAnsiTheme="minorHAnsi" w:cstheme="minorBidi"/>
          <w:sz w:val="20"/>
          <w:szCs w:val="20"/>
          <w:lang w:eastAsia="zh-CN"/>
        </w:rPr>
        <w:t xml:space="preserve">) compromete una contribución total de cofinanciación de 57.440.420 USD, combinando apoyo en especie y recursos financieros movilizados a través de </w:t>
      </w:r>
      <w:r w:rsidR="00933281" w:rsidRPr="00A51E75">
        <w:rPr>
          <w:rFonts w:asciiTheme="minorHAnsi" w:eastAsia="SimSun" w:hAnsiTheme="minorHAnsi" w:cstheme="minorBidi"/>
          <w:sz w:val="20"/>
          <w:szCs w:val="20"/>
          <w:lang w:eastAsia="zh-CN"/>
        </w:rPr>
        <w:lastRenderedPageBreak/>
        <w:t xml:space="preserve">iniciativas nacionales e internacionales alineadas con los objetivos del proyecto. Esto incluye 853.466 USD en contribuciones en especie de sus tres subsecretarías — Cambio Climático (SCC), Patrimonio Natural (SPN) y Recursos Hídricos (SRH) — durante cinco años, cubriendo tiempo de personal, apoyo operativo y gastos relacionados con proyectos tanto a nivel central como zonal (Zonas 2, 3, 8 y 9), facilitando así la coordinación, el apoyo técnico y la articulación territorial. También incluye 817.448 USD en gastos operativos de las direcciones zonales que permiten la implementación local y la logística. Además, </w:t>
      </w:r>
      <w:r>
        <w:rPr>
          <w:rFonts w:asciiTheme="minorHAnsi" w:eastAsia="SimSun" w:hAnsiTheme="minorHAnsi" w:cstheme="minorBidi"/>
          <w:sz w:val="20"/>
          <w:szCs w:val="20"/>
          <w:lang w:eastAsia="zh-CN"/>
        </w:rPr>
        <w:t>MAE</w:t>
      </w:r>
      <w:r w:rsidR="00933281" w:rsidRPr="00A51E75">
        <w:rPr>
          <w:rFonts w:asciiTheme="minorHAnsi" w:eastAsia="SimSun" w:hAnsiTheme="minorHAnsi" w:cstheme="minorBidi"/>
          <w:sz w:val="20"/>
          <w:szCs w:val="20"/>
          <w:lang w:eastAsia="zh-CN"/>
        </w:rPr>
        <w:t xml:space="preserve"> moviliza más de 55 millones de USD a través de programas complementarios e iniciativas estratégicas como REDD </w:t>
      </w:r>
      <w:proofErr w:type="spellStart"/>
      <w:r w:rsidR="00933281" w:rsidRPr="00A51E75">
        <w:rPr>
          <w:rFonts w:asciiTheme="minorHAnsi" w:eastAsia="SimSun" w:hAnsiTheme="minorHAnsi" w:cstheme="minorBidi"/>
          <w:sz w:val="20"/>
          <w:szCs w:val="20"/>
          <w:lang w:eastAsia="zh-CN"/>
        </w:rPr>
        <w:t>Early</w:t>
      </w:r>
      <w:proofErr w:type="spellEnd"/>
      <w:r w:rsidR="00933281" w:rsidRPr="00A51E75">
        <w:rPr>
          <w:rFonts w:asciiTheme="minorHAnsi" w:eastAsia="SimSun" w:hAnsiTheme="minorHAnsi" w:cstheme="minorBidi"/>
          <w:sz w:val="20"/>
          <w:szCs w:val="20"/>
          <w:lang w:eastAsia="zh-CN"/>
        </w:rPr>
        <w:t xml:space="preserve"> </w:t>
      </w:r>
      <w:proofErr w:type="spellStart"/>
      <w:r w:rsidR="00933281" w:rsidRPr="00A51E75">
        <w:rPr>
          <w:rFonts w:asciiTheme="minorHAnsi" w:eastAsia="SimSun" w:hAnsiTheme="minorHAnsi" w:cstheme="minorBidi"/>
          <w:sz w:val="20"/>
          <w:szCs w:val="20"/>
          <w:lang w:eastAsia="zh-CN"/>
        </w:rPr>
        <w:t>Movers</w:t>
      </w:r>
      <w:proofErr w:type="spellEnd"/>
      <w:r w:rsidR="00933281" w:rsidRPr="00A51E75">
        <w:rPr>
          <w:rFonts w:asciiTheme="minorHAnsi" w:eastAsia="SimSun" w:hAnsiTheme="minorHAnsi" w:cstheme="minorBidi"/>
          <w:sz w:val="20"/>
          <w:szCs w:val="20"/>
          <w:lang w:eastAsia="zh-CN"/>
        </w:rPr>
        <w:t xml:space="preserve"> (REM II y REM III), el Fondo Biocorredor del Amazonas, </w:t>
      </w:r>
      <w:proofErr w:type="spellStart"/>
      <w:r w:rsidR="00933281" w:rsidRPr="00A51E75">
        <w:rPr>
          <w:rFonts w:asciiTheme="minorHAnsi" w:eastAsia="SimSun" w:hAnsiTheme="minorHAnsi" w:cstheme="minorBidi"/>
          <w:sz w:val="20"/>
          <w:szCs w:val="20"/>
          <w:lang w:eastAsia="zh-CN"/>
        </w:rPr>
        <w:t>Biovalor</w:t>
      </w:r>
      <w:proofErr w:type="spellEnd"/>
      <w:r w:rsidR="00933281" w:rsidRPr="00A51E75">
        <w:rPr>
          <w:rFonts w:asciiTheme="minorHAnsi" w:eastAsia="SimSun" w:hAnsiTheme="minorHAnsi" w:cstheme="minorBidi"/>
          <w:sz w:val="20"/>
          <w:szCs w:val="20"/>
          <w:lang w:eastAsia="zh-CN"/>
        </w:rPr>
        <w:t xml:space="preserve"> II, </w:t>
      </w:r>
      <w:proofErr w:type="spellStart"/>
      <w:r w:rsidR="00933281" w:rsidRPr="00A51E75">
        <w:rPr>
          <w:rFonts w:asciiTheme="minorHAnsi" w:eastAsia="SimSun" w:hAnsiTheme="minorHAnsi" w:cstheme="minorBidi"/>
          <w:sz w:val="20"/>
          <w:szCs w:val="20"/>
          <w:lang w:eastAsia="zh-CN"/>
        </w:rPr>
        <w:t>Biotrade</w:t>
      </w:r>
      <w:proofErr w:type="spellEnd"/>
      <w:r w:rsidR="00933281" w:rsidRPr="00A51E75">
        <w:rPr>
          <w:rFonts w:asciiTheme="minorHAnsi" w:eastAsia="SimSun" w:hAnsiTheme="minorHAnsi" w:cstheme="minorBidi"/>
          <w:sz w:val="20"/>
          <w:szCs w:val="20"/>
          <w:lang w:eastAsia="zh-CN"/>
        </w:rPr>
        <w:t>, el Programa Nacional de Restauración del Paisaje, los Programas FIAS-KFW y los esfuerzos de adaptación y desarrollo de capacidades UICN-</w:t>
      </w:r>
      <w:proofErr w:type="spellStart"/>
      <w:r w:rsidR="00933281" w:rsidRPr="00A51E75">
        <w:rPr>
          <w:rFonts w:asciiTheme="minorHAnsi" w:eastAsia="SimSun" w:hAnsiTheme="minorHAnsi" w:cstheme="minorBidi"/>
          <w:sz w:val="20"/>
          <w:szCs w:val="20"/>
          <w:lang w:eastAsia="zh-CN"/>
        </w:rPr>
        <w:t>Euroclima</w:t>
      </w:r>
      <w:proofErr w:type="spellEnd"/>
      <w:r w:rsidR="00933281" w:rsidRPr="00A51E75">
        <w:rPr>
          <w:rFonts w:asciiTheme="minorHAnsi" w:eastAsia="SimSun" w:hAnsiTheme="minorHAnsi" w:cstheme="minorBidi"/>
          <w:sz w:val="20"/>
          <w:szCs w:val="20"/>
          <w:lang w:eastAsia="zh-CN"/>
        </w:rPr>
        <w:t>, junto con otras estrategias nacionales de biodiversidad y clima. Esta contribución significativa garantiza la propiedad institucional, la sostenibilidad de los resultados y la plena alineación con los marcos nacionales de políticas medioambientales y climáticas.</w:t>
      </w:r>
    </w:p>
    <w:p w14:paraId="3B4F930F" w14:textId="77777777" w:rsidR="00AD0EF5" w:rsidRPr="00D830D9" w:rsidRDefault="005708E0"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BanEcuador (Inversión Movilizada):</w:t>
      </w:r>
      <w:r w:rsidRPr="00A51E75">
        <w:rPr>
          <w:rFonts w:asciiTheme="minorHAnsi" w:eastAsia="SimSun" w:hAnsiTheme="minorHAnsi" w:cstheme="minorHAnsi"/>
          <w:sz w:val="20"/>
          <w:szCs w:val="20"/>
        </w:rPr>
        <w:t xml:space="preserve"> BanEcuador se compromete a movilizar hasta 5.000.000 USD a través de una línea de financiación específica dedicada a bioempresas sostenibles en la cuenca del río Napo. Esta línea apoyará iniciativas como productos forestales no maderables, producción agroecológica y agroforestal, acuicultura con especies autóctonas y empresas lideradas por mujeres y jóvenes rurales, así como soluciones para mejorar la calidad del agua. La inversión se canalizará directamente a beneficiarios en el territorio, como pequeños productores, pueblos indígenas y mujeres rurales, en coordinación con los mecanismos del proyecto.</w:t>
      </w:r>
    </w:p>
    <w:p w14:paraId="38760C3F" w14:textId="77777777" w:rsidR="00AD0EF5" w:rsidRPr="00D830D9" w:rsidRDefault="005708E0"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proofErr w:type="spellStart"/>
      <w:r w:rsidRPr="00A51E75">
        <w:rPr>
          <w:rFonts w:asciiTheme="minorHAnsi" w:eastAsia="SimSun" w:hAnsiTheme="minorHAnsi" w:cstheme="minorHAnsi"/>
          <w:b/>
          <w:bCs/>
          <w:sz w:val="20"/>
          <w:szCs w:val="20"/>
        </w:rPr>
        <w:t>EcoCiencia</w:t>
      </w:r>
      <w:proofErr w:type="spellEnd"/>
      <w:r w:rsidRPr="00A51E75">
        <w:rPr>
          <w:rFonts w:asciiTheme="minorHAnsi" w:eastAsia="SimSun" w:hAnsiTheme="minorHAnsi" w:cstheme="minorHAnsi"/>
          <w:b/>
          <w:bCs/>
          <w:sz w:val="20"/>
          <w:szCs w:val="20"/>
        </w:rPr>
        <w:t xml:space="preserve"> (en especie):</w:t>
      </w:r>
      <w:r w:rsidRPr="00A51E75">
        <w:rPr>
          <w:rFonts w:asciiTheme="minorHAnsi" w:eastAsia="SimSun" w:hAnsiTheme="minorHAnsi" w:cstheme="minorHAnsi"/>
          <w:sz w:val="20"/>
          <w:szCs w:val="20"/>
        </w:rPr>
        <w:t xml:space="preserve"> </w:t>
      </w:r>
      <w:proofErr w:type="spellStart"/>
      <w:r w:rsidRPr="00A51E75">
        <w:rPr>
          <w:rFonts w:asciiTheme="minorHAnsi" w:eastAsia="SimSun" w:hAnsiTheme="minorHAnsi" w:cstheme="minorHAnsi"/>
          <w:sz w:val="20"/>
          <w:szCs w:val="20"/>
        </w:rPr>
        <w:t>EcoCiencia</w:t>
      </w:r>
      <w:proofErr w:type="spellEnd"/>
      <w:r w:rsidRPr="00A51E75">
        <w:rPr>
          <w:rFonts w:asciiTheme="minorHAnsi" w:eastAsia="SimSun" w:hAnsiTheme="minorHAnsi" w:cstheme="minorHAnsi"/>
          <w:sz w:val="20"/>
          <w:szCs w:val="20"/>
        </w:rPr>
        <w:t xml:space="preserve"> aportará 1.250.773 USD en especie durante el periodo 2025–2030. Esta cofinanciación se materializará mediante actividades técnicas paralelas al proyecto, incluyendo monitorización hidrometeorológica y de calidad del agua, modelización climática, actualización de mapas de uso del suelo y la creación de una plataforma para instituciones financieras basada en métricas de riesgo ambiental. También se incluye apoyo a las cadenas de valor del cacao sin deforestación en las comunidades Waorani con un enfoque de género.</w:t>
      </w:r>
    </w:p>
    <w:p w14:paraId="081DE2AD" w14:textId="7EC2C564" w:rsidR="00AD0EF5" w:rsidRPr="00D830D9" w:rsidRDefault="005708E0"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CONFENIAE (en especie):</w:t>
      </w:r>
      <w:r w:rsidRPr="00A51E75">
        <w:rPr>
          <w:rFonts w:asciiTheme="minorHAnsi" w:eastAsia="SimSun" w:hAnsiTheme="minorHAnsi" w:cstheme="minorHAnsi"/>
          <w:sz w:val="20"/>
          <w:szCs w:val="20"/>
        </w:rPr>
        <w:t xml:space="preserve"> La Confederación de Nacionalidades Indígenas del Amazonas Ecuatoriano (CONFENIAE) proporciona una cofinanciación institucional en especie estimada en 1.110.000 USD para el periodo 2026–2030. Este apoyo se materializará a través de acciones destinadas a fortalecer la gobernanza indígena y la gestión sostenible del territorio ancestral. Las principales líneas de contribución incluyen el apoyo a la planificación territorial a través de Planes de Vida, la participación en actividades formativas, el monitoreo participativo y la restauración ecológica con un enfoque intercultural, así como la implementación de bioempresas sostenibles lideradas por la comunidad por parte de mujeres, jóvenes y asociaciones indígenas. También incluye el fortalecimiento de las estructuras organizativas de los territorios en coordinación con </w:t>
      </w:r>
      <w:r w:rsidR="009E221F">
        <w:rPr>
          <w:rFonts w:asciiTheme="minorHAnsi" w:eastAsia="SimSun" w:hAnsiTheme="minorHAnsi" w:cstheme="minorHAnsi"/>
          <w:sz w:val="20"/>
          <w:szCs w:val="20"/>
        </w:rPr>
        <w:t>MAE</w:t>
      </w:r>
      <w:r w:rsidRPr="00A51E75">
        <w:rPr>
          <w:rFonts w:asciiTheme="minorHAnsi" w:eastAsia="SimSun" w:hAnsiTheme="minorHAnsi" w:cstheme="minorHAnsi"/>
          <w:sz w:val="20"/>
          <w:szCs w:val="20"/>
        </w:rPr>
        <w:t xml:space="preserve"> y los gobiernos locales, así como la sistematización y difusión del conocimiento ancestral y prácticas sostenibles. Esta contribución está plenamente alineada con los principios de autonomía, territorio e identidad de los pueblos amazónicos y apoya directamente los objetivos del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-8, especialmente en relación con la participación indígena y la conservación de ecosistemas de importancia global.</w:t>
      </w:r>
    </w:p>
    <w:p w14:paraId="0BBBE19B" w14:textId="6A47DE2F" w:rsidR="00AD0EF5" w:rsidRPr="00D830D9" w:rsidRDefault="00933281"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 xml:space="preserve">PNUD (en especie): </w:t>
      </w:r>
      <w:r w:rsidRPr="00A51E75">
        <w:rPr>
          <w:rFonts w:asciiTheme="minorHAnsi" w:eastAsia="SimSun" w:hAnsiTheme="minorHAnsi" w:cstheme="minorHAnsi"/>
          <w:sz w:val="20"/>
          <w:szCs w:val="20"/>
        </w:rPr>
        <w:t xml:space="preserve">El PNUD se compromete a una contribución total de cofinanciación de </w:t>
      </w:r>
      <w:r w:rsidRPr="00A51E75">
        <w:rPr>
          <w:rFonts w:asciiTheme="minorHAnsi" w:eastAsia="SimSun" w:hAnsiTheme="minorHAnsi" w:cstheme="minorHAnsi"/>
          <w:b/>
          <w:bCs/>
          <w:sz w:val="20"/>
          <w:szCs w:val="20"/>
        </w:rPr>
        <w:t>500.000 USD</w:t>
      </w:r>
      <w:r w:rsidRPr="00A51E75">
        <w:rPr>
          <w:rFonts w:asciiTheme="minorHAnsi" w:eastAsia="SimSun" w:hAnsiTheme="minorHAnsi" w:cstheme="minorHAnsi"/>
          <w:sz w:val="20"/>
          <w:szCs w:val="20"/>
        </w:rPr>
        <w:t xml:space="preserve">, que se ejecutará directamente durante el periodo 2026–2030 en consonancia con la estrategia de implementación del proyecto. Esta contribución incluye apoyo técnico y operativo orientado a fortalecer áreas clave del proyecto, especialmente en la gestión sostenible del paisaje, la conservación de la biodiversidad y la resiliencia climática. Los fondos se utilizarán para facilitar la coordinación con los actores nacionales, promover la gestión del conocimiento y reforzar la ejecución de proyectos mediante acciones específicas diseñadas para complementar los componentes financiados por 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 xml:space="preserve">. Este apoyo </w:t>
      </w:r>
      <w:proofErr w:type="gramStart"/>
      <w:r w:rsidRPr="00A51E75">
        <w:rPr>
          <w:rFonts w:asciiTheme="minorHAnsi" w:eastAsia="SimSun" w:hAnsiTheme="minorHAnsi" w:cstheme="minorHAnsi"/>
          <w:sz w:val="20"/>
          <w:szCs w:val="20"/>
        </w:rPr>
        <w:t>se enmarca dentro del</w:t>
      </w:r>
      <w:proofErr w:type="gramEnd"/>
      <w:r w:rsidRPr="00A51E75">
        <w:rPr>
          <w:rFonts w:asciiTheme="minorHAnsi" w:eastAsia="SimSun" w:hAnsiTheme="minorHAnsi" w:cstheme="minorHAnsi"/>
          <w:sz w:val="20"/>
          <w:szCs w:val="20"/>
        </w:rPr>
        <w:t xml:space="preserve"> Programa Nacional del PNUD y garantiza la alineación institucional, la relevancia estratégica y el impacto catalizador mediante el aprovechamiento de conocimientos técnicos y recursos adicionales.</w:t>
      </w:r>
    </w:p>
    <w:p w14:paraId="13E92DA2" w14:textId="77777777" w:rsidR="00AD0EF5" w:rsidRPr="00D830D9" w:rsidRDefault="00AD0EF5"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IKIAM (en especie):</w:t>
      </w:r>
      <w:r w:rsidR="000D6BB3" w:rsidRPr="00A51E75">
        <w:rPr>
          <w:rFonts w:asciiTheme="minorHAnsi" w:eastAsia="SimSun" w:hAnsiTheme="minorHAnsi" w:cstheme="minorHAnsi"/>
          <w:sz w:val="20"/>
          <w:szCs w:val="20"/>
        </w:rPr>
        <w:t xml:space="preserve"> La Universidad Regional del Amazonas, IKIAM, proporcionará una contribución técnica en especie equivalente a 400.000 USD. Este compromiso se realizará mediante estudios medioambientales, monitoreo participativo, formación científica para jóvenes amazónicos y pueblos indígenas, el uso de infraestructuras académicas y laboratorios para el análisis de datos, y la participación con redes científicas nacionales e internacionales. Su contribución estará disponible de 2026 a 2030, integrando directamente el conocimiento local en las acciones del proyecto.</w:t>
      </w:r>
    </w:p>
    <w:p w14:paraId="647D08F5" w14:textId="6825F9B3" w:rsidR="00286B7A" w:rsidRPr="00D830D9" w:rsidRDefault="000D6BB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BYOS (Inversión Movilizada):</w:t>
      </w:r>
      <w:r w:rsidRPr="00A51E75">
        <w:rPr>
          <w:rFonts w:asciiTheme="minorHAnsi" w:eastAsia="SimSun" w:hAnsiTheme="minorHAnsi" w:cstheme="minorHAnsi"/>
          <w:sz w:val="20"/>
          <w:szCs w:val="20"/>
        </w:rPr>
        <w:t xml:space="preserve"> La Corporación BYOS compromete 360.725 USD en efectivo de un acuerdo con el Andes Amazon Fund (AAF). Esta financiación apoyará la creación y gestión de Áreas de Conservación y Uso Sostenible </w:t>
      </w:r>
      <w:r w:rsidRPr="00A51E75">
        <w:rPr>
          <w:rFonts w:asciiTheme="minorHAnsi" w:eastAsia="SimSun" w:hAnsiTheme="minorHAnsi" w:cstheme="minorHAnsi"/>
          <w:sz w:val="20"/>
          <w:szCs w:val="20"/>
        </w:rPr>
        <w:lastRenderedPageBreak/>
        <w:t>(ACUS) en los cantones de Archidona, Tena y Loreto. La implementación tendrá lugar entre 2026 y 2028 en estrecha coordinación con el proyecto, fortaleciendo la conservación territorial y la sostenibilidad medioambiental.</w:t>
      </w:r>
    </w:p>
    <w:p w14:paraId="56A800D4" w14:textId="0BD97F0D" w:rsidR="00286B7A" w:rsidRPr="00D830D9" w:rsidRDefault="00E60EED"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CATIE (en especie):</w:t>
      </w:r>
      <w:r w:rsidRPr="00A51E75">
        <w:rPr>
          <w:rFonts w:asciiTheme="minorHAnsi" w:eastAsia="SimSun" w:hAnsiTheme="minorHAnsi" w:cstheme="minorHAnsi"/>
          <w:sz w:val="20"/>
          <w:szCs w:val="20"/>
        </w:rPr>
        <w:t xml:space="preserve"> CATIE proporcionará una cofinanciación en especie y técnica de </w:t>
      </w:r>
      <w:r w:rsidRPr="00A51E75">
        <w:rPr>
          <w:rFonts w:asciiTheme="minorHAnsi" w:eastAsia="SimSun" w:hAnsiTheme="minorHAnsi" w:cstheme="minorHAnsi"/>
          <w:b/>
          <w:bCs/>
          <w:sz w:val="20"/>
          <w:szCs w:val="20"/>
        </w:rPr>
        <w:t>300.000 USD</w:t>
      </w:r>
      <w:r w:rsidRPr="00A51E75">
        <w:rPr>
          <w:rFonts w:asciiTheme="minorHAnsi" w:eastAsia="SimSun" w:hAnsiTheme="minorHAnsi" w:cstheme="minorHAnsi"/>
          <w:sz w:val="20"/>
          <w:szCs w:val="20"/>
        </w:rPr>
        <w:t xml:space="preserve"> entre 2026 y 2030 para apoyar la implementación del proyecto en la cuenca del río Napo. Esta contribución incluye tiempo de personal experto, acceso a instalaciones institucionales y recursos técnicos alineados con el trabajo de CATIE en restauración, bioeconomía, seguridad hídrica e inclusión de género. Las actividades se centrarán en la planificación territorial, la restauración basada en agroforestería, la formación participativa para pueblos indígenas, mujeres y jóvenes, y la difusión del conocimiento. Este apoyo fortalece el impacto del proyecto y contribuye a los objetivos del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-8 en sostenibilidad y conservación de la biodiversidad.</w:t>
      </w:r>
    </w:p>
    <w:p w14:paraId="629B7E1E" w14:textId="3C02ED2D" w:rsidR="00286B7A" w:rsidRPr="00D830D9" w:rsidRDefault="000D6BB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proofErr w:type="spellStart"/>
      <w:r w:rsidRPr="00A51E75">
        <w:rPr>
          <w:rFonts w:asciiTheme="minorHAnsi" w:eastAsia="SimSun" w:hAnsiTheme="minorHAnsi" w:cstheme="minorHAnsi"/>
          <w:b/>
          <w:bCs/>
          <w:sz w:val="20"/>
          <w:szCs w:val="20"/>
        </w:rPr>
        <w:t>Ecopar</w:t>
      </w:r>
      <w:proofErr w:type="spellEnd"/>
      <w:r w:rsidRPr="00A51E75">
        <w:rPr>
          <w:rFonts w:asciiTheme="minorHAnsi" w:eastAsia="SimSun" w:hAnsiTheme="minorHAnsi" w:cstheme="minorHAnsi"/>
          <w:b/>
          <w:bCs/>
          <w:sz w:val="20"/>
          <w:szCs w:val="20"/>
        </w:rPr>
        <w:t xml:space="preserve"> (en especie)</w:t>
      </w:r>
      <w:r w:rsidRPr="00A51E75">
        <w:rPr>
          <w:rFonts w:asciiTheme="minorHAnsi" w:eastAsia="SimSun" w:hAnsiTheme="minorHAnsi" w:cstheme="minorHAnsi"/>
          <w:sz w:val="20"/>
          <w:szCs w:val="20"/>
        </w:rPr>
        <w:t xml:space="preserve"> Fundación </w:t>
      </w:r>
      <w:proofErr w:type="spellStart"/>
      <w:r w:rsidRPr="00A51E75">
        <w:rPr>
          <w:rFonts w:asciiTheme="minorHAnsi" w:eastAsia="SimSun" w:hAnsiTheme="minorHAnsi" w:cstheme="minorHAnsi"/>
          <w:sz w:val="20"/>
          <w:szCs w:val="20"/>
        </w:rPr>
        <w:t>Ecopar</w:t>
      </w:r>
      <w:proofErr w:type="spellEnd"/>
      <w:r w:rsidRPr="00A51E75">
        <w:rPr>
          <w:rFonts w:asciiTheme="minorHAnsi" w:eastAsia="SimSun" w:hAnsiTheme="minorHAnsi" w:cstheme="minorHAnsi"/>
          <w:sz w:val="20"/>
          <w:szCs w:val="20"/>
        </w:rPr>
        <w:t xml:space="preserve"> está contribuyendo con una cofinanciación en especie y técnica estimada en 250.000 USD para el periodo 2026–2030. Este compromiso está alineado con la experiencia institucional de </w:t>
      </w:r>
      <w:proofErr w:type="spellStart"/>
      <w:r w:rsidRPr="00A51E75">
        <w:rPr>
          <w:rFonts w:asciiTheme="minorHAnsi" w:eastAsia="SimSun" w:hAnsiTheme="minorHAnsi" w:cstheme="minorHAnsi"/>
          <w:sz w:val="20"/>
          <w:szCs w:val="20"/>
        </w:rPr>
        <w:t>Ecopar</w:t>
      </w:r>
      <w:proofErr w:type="spellEnd"/>
      <w:r w:rsidRPr="00A51E75">
        <w:rPr>
          <w:rFonts w:asciiTheme="minorHAnsi" w:eastAsia="SimSun" w:hAnsiTheme="minorHAnsi" w:cstheme="minorHAnsi"/>
          <w:sz w:val="20"/>
          <w:szCs w:val="20"/>
        </w:rPr>
        <w:t xml:space="preserve"> en la Amazonía ecuatoriana, especialmente mediante la implementación de un modelo de </w:t>
      </w:r>
      <w:r w:rsidR="000A54C4">
        <w:rPr>
          <w:rFonts w:asciiTheme="minorHAnsi" w:eastAsia="SimSun" w:hAnsiTheme="minorHAnsi" w:cstheme="minorHAnsi"/>
          <w:sz w:val="20"/>
          <w:szCs w:val="20"/>
        </w:rPr>
        <w:t xml:space="preserve">Manejo Forestal Sostenible </w:t>
      </w:r>
      <w:r w:rsidRPr="00A51E75">
        <w:rPr>
          <w:rFonts w:asciiTheme="minorHAnsi" w:eastAsia="SimSun" w:hAnsiTheme="minorHAnsi" w:cstheme="minorHAnsi"/>
          <w:sz w:val="20"/>
          <w:szCs w:val="20"/>
        </w:rPr>
        <w:t>(</w:t>
      </w:r>
      <w:r w:rsidR="00E26F5E">
        <w:rPr>
          <w:rFonts w:asciiTheme="minorHAnsi" w:eastAsia="SimSun" w:hAnsiTheme="minorHAnsi" w:cstheme="minorHAnsi"/>
          <w:sz w:val="20"/>
          <w:szCs w:val="20"/>
        </w:rPr>
        <w:t>MFS</w:t>
      </w:r>
      <w:r w:rsidRPr="00A51E75">
        <w:rPr>
          <w:rFonts w:asciiTheme="minorHAnsi" w:eastAsia="SimSun" w:hAnsiTheme="minorHAnsi" w:cstheme="minorHAnsi"/>
          <w:sz w:val="20"/>
          <w:szCs w:val="20"/>
        </w:rPr>
        <w:t xml:space="preserve">) basado en la comunidad desarrollada en la comuna de Actuar de </w:t>
      </w:r>
      <w:proofErr w:type="spellStart"/>
      <w:r w:rsidRPr="00A51E75">
        <w:rPr>
          <w:rFonts w:asciiTheme="minorHAnsi" w:eastAsia="SimSun" w:hAnsiTheme="minorHAnsi" w:cstheme="minorHAnsi"/>
          <w:sz w:val="20"/>
          <w:szCs w:val="20"/>
        </w:rPr>
        <w:t>Kupatas</w:t>
      </w:r>
      <w:proofErr w:type="spellEnd"/>
      <w:r w:rsidRPr="00A51E75">
        <w:rPr>
          <w:rFonts w:asciiTheme="minorHAnsi" w:eastAsia="SimSun" w:hAnsiTheme="minorHAnsi" w:cstheme="minorHAnsi"/>
          <w:sz w:val="20"/>
          <w:szCs w:val="20"/>
        </w:rPr>
        <w:t xml:space="preserve">. La contribución se centrará en replicar el modelo </w:t>
      </w:r>
      <w:r w:rsidR="00E26F5E">
        <w:rPr>
          <w:rFonts w:asciiTheme="minorHAnsi" w:eastAsia="SimSun" w:hAnsiTheme="minorHAnsi" w:cstheme="minorHAnsi"/>
          <w:sz w:val="20"/>
          <w:szCs w:val="20"/>
        </w:rPr>
        <w:t>MFS</w:t>
      </w:r>
      <w:r w:rsidRPr="00A51E75">
        <w:rPr>
          <w:rFonts w:asciiTheme="minorHAnsi" w:eastAsia="SimSun" w:hAnsiTheme="minorHAnsi" w:cstheme="minorHAnsi"/>
          <w:sz w:val="20"/>
          <w:szCs w:val="20"/>
        </w:rPr>
        <w:t xml:space="preserve"> en otras comunidades indígenas amazónicas, adaptándolo a las condiciones ecológicas y socioculturales locales. Las actividades incluirán asistencia técnica y fortalecimiento organizativo para las comunidades, formación comunitaria en monitoreo forestal, trazabilidad y regulaciones medioambientales con énfasis en derechos colectivos, diseño de planes de gestión y sistemas de planificación participativa, así como la sistematización y difusión de las lecciones aprendidas del caso </w:t>
      </w:r>
      <w:proofErr w:type="spellStart"/>
      <w:r w:rsidRPr="00A51E75">
        <w:rPr>
          <w:rFonts w:asciiTheme="minorHAnsi" w:eastAsia="SimSun" w:hAnsiTheme="minorHAnsi" w:cstheme="minorHAnsi"/>
          <w:sz w:val="20"/>
          <w:szCs w:val="20"/>
        </w:rPr>
        <w:t>Kupatás</w:t>
      </w:r>
      <w:proofErr w:type="spellEnd"/>
      <w:r w:rsidRPr="00A51E75">
        <w:rPr>
          <w:rFonts w:asciiTheme="minorHAnsi" w:eastAsia="SimSun" w:hAnsiTheme="minorHAnsi" w:cstheme="minorHAnsi"/>
          <w:sz w:val="20"/>
          <w:szCs w:val="20"/>
        </w:rPr>
        <w:t xml:space="preserve">. Este apoyo fortalecerá el componente de bioeconomía forestal del proyecto y contribuirá directamente al logro de los objetivos del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-8 en conservación, gobernanza comunitaria y producción sostenible.</w:t>
      </w:r>
    </w:p>
    <w:p w14:paraId="0B6BD39F" w14:textId="73917569" w:rsidR="00286B7A" w:rsidRPr="00D830D9" w:rsidRDefault="000D6BB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HIVOS (en especie):</w:t>
      </w:r>
      <w:r w:rsidRPr="00A51E75">
        <w:rPr>
          <w:rFonts w:asciiTheme="minorHAnsi" w:eastAsia="SimSun" w:hAnsiTheme="minorHAnsi" w:cstheme="minorHAnsi"/>
          <w:sz w:val="20"/>
          <w:szCs w:val="20"/>
        </w:rPr>
        <w:t xml:space="preserve"> HIVOS Ecuador proporciona una cofinanciación técnica en especie estimada de 200.000 USD para el periodo 2026–2030. Este compromiso está alineado con su misión de promover transiciones justas, inclusivas y sostenibles, y se coordina con acciones en el territorio amazónico relacionadas con: apoyo técnico para los procesos de Consentimiento Libre, Previo e Informado (FPIC); la adopción de mejores prácticas de sostenibilidad, gobernanza inclusiva y responsabilidad socioambiental; desarrollo de capacidades con un enfoque de género e intercultural; la implementación de mecanismos de monitoreo participativo y evaluación social y ambiental; sistematización de experiencias y difusión de conocimientos a través de plataformas y redes; y la promoción de asociaciones público-privadas basadas en modelos como Sacha </w:t>
      </w:r>
      <w:proofErr w:type="spellStart"/>
      <w:r w:rsidRPr="00A51E75">
        <w:rPr>
          <w:rFonts w:asciiTheme="minorHAnsi" w:eastAsia="SimSun" w:hAnsiTheme="minorHAnsi" w:cstheme="minorHAnsi"/>
          <w:sz w:val="20"/>
          <w:szCs w:val="20"/>
        </w:rPr>
        <w:t>Lodge</w:t>
      </w:r>
      <w:proofErr w:type="spellEnd"/>
      <w:r w:rsidRPr="00A51E75">
        <w:rPr>
          <w:rFonts w:asciiTheme="minorHAnsi" w:eastAsia="SimSun" w:hAnsiTheme="minorHAnsi" w:cstheme="minorHAnsi"/>
          <w:sz w:val="20"/>
          <w:szCs w:val="20"/>
        </w:rPr>
        <w:t xml:space="preserve">. Este apoyo mejora el enfoque social y medioambiental del proyecto y contribuye directamente a alcanzar los objetivos del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-8 en la región amazónica ecuatoriana.</w:t>
      </w:r>
    </w:p>
    <w:p w14:paraId="2D77DB0D" w14:textId="208A593A" w:rsidR="00286B7A" w:rsidRPr="00D830D9" w:rsidRDefault="000D6BB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WWF-Ecuador (en especie):</w:t>
      </w:r>
      <w:r w:rsidRPr="00A51E75">
        <w:rPr>
          <w:rFonts w:asciiTheme="minorHAnsi" w:eastAsia="SimSun" w:hAnsiTheme="minorHAnsi" w:cstheme="minorHAnsi"/>
          <w:sz w:val="20"/>
          <w:szCs w:val="20"/>
        </w:rPr>
        <w:t xml:space="preserve"> WWF-Ecuador compromete una cofinanciación técnica en especie estimada de 100.000 USD durante el periodo 2026–2030. Este apoyo se canalizará a través de acciones estratégicas en la Amazonía ecuatoriana alineadas con los objetivos del proyecto. Las áreas clave de acción incluyen la asistencia técnica en la planificación del uso del suelo y la gestión sostenible de paisajes prioritarios con un enfoque participativo e intercultural; apoyo a la restauración ecológica y a iniciativas de conservación comunitarias basadas en la naturaleza y el conocimiento ancestral; la promoción de modelos de bioeconomía local y medios de vida sostenibles; fortalecer la gobernanza territorial indígena y las capacidades organizativas; y el desarrollo de sistemas de monitorización ambiental, climática y social utilizando tecnología adaptada al contexto amazónico. Este compromiso refuerza la alineación con los objetivos de acción climática, conservación de la biodiversidad y sostenibilidad social promovidos por 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 xml:space="preserve"> en su octava reposición.</w:t>
      </w:r>
    </w:p>
    <w:p w14:paraId="0764E855" w14:textId="746C5672" w:rsidR="00075505" w:rsidRPr="00D830D9" w:rsidRDefault="000D6BB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GAD municipal de Archidona (en especie):</w:t>
      </w:r>
      <w:r w:rsidRPr="00A51E75">
        <w:rPr>
          <w:rFonts w:asciiTheme="minorHAnsi" w:eastAsia="SimSun" w:hAnsiTheme="minorHAnsi" w:cstheme="minorHAnsi"/>
          <w:sz w:val="20"/>
          <w:szCs w:val="20"/>
        </w:rPr>
        <w:t xml:space="preserve"> El GAD de Archidona compromete una contribución en especie de 50.000 USD procedente de fondos públicos municipales para el periodo 2026–2028. Esto incluye talento humano y logística institucional para la gobernanza territorial, coordinación intersectorial, formación en restauración y gestión ambiental, y apoyo a mecanismos locales de financiación relacionados con la neutralidad de la degradación de la tierra (</w:t>
      </w:r>
      <w:r w:rsidR="00F64558">
        <w:rPr>
          <w:rFonts w:asciiTheme="minorHAnsi" w:eastAsia="SimSun" w:hAnsiTheme="minorHAnsi" w:cstheme="minorHAnsi"/>
          <w:sz w:val="20"/>
          <w:szCs w:val="20"/>
        </w:rPr>
        <w:t>NDT</w:t>
      </w:r>
      <w:r w:rsidRPr="00A51E75">
        <w:rPr>
          <w:rFonts w:asciiTheme="minorHAnsi" w:eastAsia="SimSun" w:hAnsiTheme="minorHAnsi" w:cstheme="minorHAnsi"/>
          <w:sz w:val="20"/>
          <w:szCs w:val="20"/>
        </w:rPr>
        <w:t xml:space="preserve">) y el cambio climático. La </w:t>
      </w:r>
      <w:proofErr w:type="gramStart"/>
      <w:r w:rsidRPr="00A51E75">
        <w:rPr>
          <w:rFonts w:asciiTheme="minorHAnsi" w:eastAsia="SimSun" w:hAnsiTheme="minorHAnsi" w:cstheme="minorHAnsi"/>
          <w:sz w:val="20"/>
          <w:szCs w:val="20"/>
        </w:rPr>
        <w:t>participación activa</w:t>
      </w:r>
      <w:proofErr w:type="gramEnd"/>
      <w:r w:rsidRPr="00A51E75">
        <w:rPr>
          <w:rFonts w:asciiTheme="minorHAnsi" w:eastAsia="SimSun" w:hAnsiTheme="minorHAnsi" w:cstheme="minorHAnsi"/>
          <w:sz w:val="20"/>
          <w:szCs w:val="20"/>
        </w:rPr>
        <w:t xml:space="preserve"> del GAD reforzará la gestión del paisaje a nivel local.</w:t>
      </w:r>
    </w:p>
    <w:p w14:paraId="386DF6E3" w14:textId="77777777" w:rsidR="0064700F" w:rsidRPr="00D830D9" w:rsidRDefault="000D6BB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PASOS (en especie):</w:t>
      </w:r>
      <w:r w:rsidRPr="00A51E75">
        <w:rPr>
          <w:rFonts w:asciiTheme="minorHAnsi" w:eastAsia="SimSun" w:hAnsiTheme="minorHAnsi" w:cstheme="minorHAnsi"/>
          <w:sz w:val="20"/>
          <w:szCs w:val="20"/>
        </w:rPr>
        <w:t xml:space="preserve"> La Fundación para Paisajes Sostenibles (PASOS) aportará 30.000 USD en especie entre 2026 y 2030. Su contribución incluye formación y asistencia técnica a organizaciones locales, apoyo a proyectos de restauración ecológica en el área de intervención y facilitación de alianzas estratégicas entre gobiernos locales, comunidades y partes interesadas clave. Estas acciones tienen como objetivo fortalecer las capacidades locales para la conservación del paisaje y la gestión sostenible.</w:t>
      </w:r>
    </w:p>
    <w:p w14:paraId="72D404B8" w14:textId="385B8747" w:rsidR="0064700F" w:rsidRPr="00D830D9" w:rsidRDefault="00E60EED"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 xml:space="preserve">Banco de Desarrollo del Ecuador B.P. (Inversión Movilizada): </w:t>
      </w:r>
      <w:r w:rsidRPr="00A51E75">
        <w:rPr>
          <w:rFonts w:asciiTheme="minorHAnsi" w:eastAsia="SimSun" w:hAnsiTheme="minorHAnsi" w:cstheme="minorHAnsi"/>
          <w:sz w:val="20"/>
          <w:szCs w:val="20"/>
        </w:rPr>
        <w:t xml:space="preserve">El Banco de Desarrollo del Ecuador B.P. (BDE) compromete una cofinanciación estimada de 2.000.000 USD para el periodo 2026–2030 para apoyar la implementación del proyecto "Gestión Integrada del Paisaje en la Cuenca del Río Napo." Esta contribución se </w:t>
      </w:r>
      <w:r w:rsidRPr="00A51E75">
        <w:rPr>
          <w:rFonts w:asciiTheme="minorHAnsi" w:eastAsia="SimSun" w:hAnsiTheme="minorHAnsi" w:cstheme="minorHAnsi"/>
          <w:sz w:val="20"/>
          <w:szCs w:val="20"/>
        </w:rPr>
        <w:lastRenderedPageBreak/>
        <w:t xml:space="preserve">realizará mediante líneas de crédito, asistencia técnica y esquemas de financiación mixta —tanto reembolsables como no reembolsables— orientados a la infraestructura verde, la resiliencia climática y el desarrollo sostenible. Incluye la financiación de obras públicas sostenibles (por ejemplo, saneamiento ambiental, gestión de residuos sólidos, restauración de ecosistemas), apoyo técnico y financiero a gobiernos subnacionales (GAD) en planificación y gestión de riesgos climáticos, promoción de instrumentos financieros con criterios medioambientales y sociales, y programas conjuntos de financiación para empresas sostenibles liderados por mujeres, jóvenes y pueblos indígenas. Este compromiso está alineado con la estrategia institucional de BDE para convertirse en un Banco Verde y contribuir a los objetivos del </w:t>
      </w:r>
      <w:r w:rsidR="0078696E">
        <w:rPr>
          <w:rFonts w:asciiTheme="minorHAnsi" w:eastAsia="SimSun" w:hAnsiTheme="minorHAnsi" w:cstheme="minorHAnsi"/>
          <w:sz w:val="20"/>
          <w:szCs w:val="20"/>
        </w:rPr>
        <w:t>FMAM</w:t>
      </w:r>
      <w:r w:rsidRPr="00A51E75">
        <w:rPr>
          <w:rFonts w:asciiTheme="minorHAnsi" w:eastAsia="SimSun" w:hAnsiTheme="minorHAnsi" w:cstheme="minorHAnsi"/>
          <w:sz w:val="20"/>
          <w:szCs w:val="20"/>
        </w:rPr>
        <w:t>-8 sobre clima, biodiversidad y desarrollo inclusivo.</w:t>
      </w:r>
    </w:p>
    <w:p w14:paraId="3D63F78D" w14:textId="4DED9566" w:rsidR="0064700F" w:rsidRPr="00D830D9" w:rsidRDefault="00712067"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b/>
          <w:bCs/>
          <w:sz w:val="20"/>
          <w:szCs w:val="20"/>
        </w:rPr>
        <w:t>UNESCO (en especie):</w:t>
      </w:r>
      <w:r w:rsidRPr="00A51E75">
        <w:rPr>
          <w:rFonts w:asciiTheme="minorHAnsi" w:eastAsia="SimSun" w:hAnsiTheme="minorHAnsi" w:cstheme="minorHAnsi"/>
          <w:sz w:val="20"/>
          <w:szCs w:val="20"/>
        </w:rPr>
        <w:t xml:space="preserve"> La Organización de las Naciones Unidas para la Educación, la Ciencia y la Cultura (UNESCO) confirma su compromiso de apoyar el proyecto "Gestión Integrada del Paisaje en la Cuenca del Río Napo para la </w:t>
      </w:r>
      <w:r w:rsidR="000A54C4">
        <w:rPr>
          <w:rFonts w:asciiTheme="minorHAnsi" w:eastAsia="SimSun" w:hAnsiTheme="minorHAnsi" w:cstheme="minorHAnsi"/>
          <w:sz w:val="20"/>
          <w:szCs w:val="20"/>
        </w:rPr>
        <w:t>Manejo Sostenible de la Tierra</w:t>
      </w:r>
      <w:r w:rsidRPr="00A51E75">
        <w:rPr>
          <w:rFonts w:asciiTheme="minorHAnsi" w:eastAsia="SimSun" w:hAnsiTheme="minorHAnsi" w:cstheme="minorHAnsi"/>
          <w:sz w:val="20"/>
          <w:szCs w:val="20"/>
        </w:rPr>
        <w:t xml:space="preserve"> y la Conservación de la Biodiversidad" mediante una cofinanciación estimada en especie de 50.000 USD. Esta contribución se centrará en la promoción de los paisajes bioculturales y la revitalización del conocimiento ancestral en el territorio amazónico, en coordinación con actores nacionales y locales. El apoyo de la UNESCO incluirá asistencia técnica para la integración del conocimiento intercultural y científico en la planificación del paisaje, actividades de fortalecimiento de capacidades para jóvenes indígenas y mujeres, y la difusión de mejores prácticas en gestión sostenible desde una perspectiva biocultural. Esta contribución está alineada con el mandato de la UNESCO de fomentar la educación, la ciencia y la cultura para el desarrollo sostenible y reforzará los esfuerzos del proyecto en conservación de la biodiversidad, patrimonio cultural y gobernanza comunitaria.</w:t>
      </w:r>
    </w:p>
    <w:p w14:paraId="4B61B6E8" w14:textId="77777777" w:rsidR="0064700F" w:rsidRPr="00D830D9" w:rsidRDefault="0064700F" w:rsidP="0064700F">
      <w:pPr>
        <w:pStyle w:val="Prrafodelista"/>
        <w:ind w:left="0"/>
        <w:jc w:val="both"/>
        <w:rPr>
          <w:rFonts w:asciiTheme="minorHAnsi" w:eastAsia="SimSun" w:hAnsiTheme="minorHAnsi" w:cstheme="minorHAnsi"/>
          <w:sz w:val="20"/>
          <w:szCs w:val="20"/>
          <w:lang w:val="es-EC"/>
        </w:rPr>
      </w:pPr>
    </w:p>
    <w:p w14:paraId="1055D354" w14:textId="77777777" w:rsidR="00236560" w:rsidRPr="00A51E75"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n-US"/>
        </w:rPr>
      </w:pPr>
      <w:r w:rsidRPr="00A51E75">
        <w:rPr>
          <w:rFonts w:asciiTheme="minorHAnsi" w:eastAsia="SimSun" w:hAnsiTheme="minorHAnsi" w:cstheme="minorBidi"/>
          <w:b/>
          <w:bCs/>
          <w:sz w:val="20"/>
          <w:szCs w:val="20"/>
          <w:u w:val="single"/>
        </w:rPr>
        <w:t xml:space="preserve">Revisiones presupuestarias y tolerancia: </w:t>
      </w:r>
      <w:r w:rsidR="6DE77C38" w:rsidRPr="00A51E75">
        <w:rPr>
          <w:rFonts w:asciiTheme="minorHAnsi" w:eastAsia="SimSun" w:hAnsiTheme="minorHAnsi" w:cstheme="minorBidi"/>
          <w:sz w:val="20"/>
          <w:szCs w:val="20"/>
        </w:rPr>
        <w:t xml:space="preserve"> Según el POPP del PNUD, la junta de proyecto puede acordar con el gestor de proyecto un nivel de tolerancia para cada plan detallado dentro del plan de trabajo plurianual global. La tolerancia acordada debe estar escrita en el documento del proyecto o en las actas aprobadas de la junta de proyecto. Normalmente no debería superar el 10 por ciento del presupuesto anual acordado a nivel de actividad, sino dentro del plan de trabajo plurianual aprobado a nivel de actividad. Dentro de las tolerancias acordadas, el gestor de proyecto puede operar sin intervención de la junta directiva. Las restricciones se aplican de las siguientes maneras:</w:t>
      </w:r>
    </w:p>
    <w:p w14:paraId="4798E6F3" w14:textId="77777777" w:rsidR="00236560" w:rsidRPr="00A51E75" w:rsidRDefault="00236560" w:rsidP="00236560">
      <w:pPr>
        <w:pStyle w:val="Prrafodelista"/>
        <w:rPr>
          <w:rFonts w:asciiTheme="minorHAnsi" w:eastAsia="SimSun" w:hAnsiTheme="minorHAnsi" w:cstheme="minorBidi"/>
          <w:sz w:val="20"/>
          <w:szCs w:val="20"/>
          <w:lang w:val="en-US"/>
        </w:rPr>
      </w:pPr>
    </w:p>
    <w:p w14:paraId="39CEB82D" w14:textId="7BD1B45D" w:rsidR="005708E0" w:rsidRPr="00D830D9" w:rsidRDefault="63D76A20"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Bidi"/>
          <w:sz w:val="20"/>
          <w:szCs w:val="20"/>
        </w:rPr>
        <w:t xml:space="preserve">Si se producen las siguientes desviaciones, el Director de Proyecto/Socio Implementador (IP), a través de la Oficina de País (CO) del PNUD, solicitará la aprobación del equipo BPPS/NCE-VF para garantizar la información precisa al </w:t>
      </w:r>
      <w:r w:rsidR="0078696E">
        <w:rPr>
          <w:rFonts w:asciiTheme="minorHAnsi" w:eastAsia="SimSun" w:hAnsiTheme="minorHAnsi" w:cstheme="minorBidi"/>
          <w:sz w:val="20"/>
          <w:szCs w:val="20"/>
        </w:rPr>
        <w:t>FMAM</w:t>
      </w:r>
      <w:r w:rsidRPr="00A51E75">
        <w:rPr>
          <w:rFonts w:asciiTheme="minorHAnsi" w:eastAsia="SimSun" w:hAnsiTheme="minorHAnsi" w:cstheme="minorBidi"/>
          <w:sz w:val="20"/>
          <w:szCs w:val="20"/>
        </w:rPr>
        <w:t xml:space="preserve">. </w:t>
      </w:r>
      <w:r w:rsidR="1B75B607" w:rsidRPr="00A51E75">
        <w:rPr>
          <w:rFonts w:ascii="Calibri" w:eastAsia="SimSun" w:hAnsi="Calibri"/>
          <w:sz w:val="20"/>
          <w:szCs w:val="20"/>
        </w:rPr>
        <w:t xml:space="preserve">Se </w:t>
      </w:r>
      <w:r w:rsidR="1B75B607" w:rsidRPr="00A51E75">
        <w:rPr>
          <w:rFonts w:ascii="Calibri" w:eastAsia="SimSun" w:hAnsi="Calibri"/>
          <w:b/>
          <w:bCs/>
          <w:sz w:val="20"/>
          <w:szCs w:val="20"/>
        </w:rPr>
        <w:t>recomienda encarecidamente</w:t>
      </w:r>
      <w:r w:rsidR="1B75B607" w:rsidRPr="00A51E75">
        <w:rPr>
          <w:rFonts w:ascii="Calibri" w:eastAsia="SimSun" w:hAnsi="Calibri"/>
          <w:sz w:val="20"/>
          <w:szCs w:val="20"/>
        </w:rPr>
        <w:t xml:space="preserve"> mantener los gastos dentro del presupuesto aprobado en la cuenta presupuestaria y a nivel de componente: </w:t>
      </w:r>
    </w:p>
    <w:p w14:paraId="35E69FB0" w14:textId="4559658F" w:rsidR="005708E0" w:rsidRPr="00D830D9" w:rsidRDefault="005708E0" w:rsidP="4D0299E8">
      <w:pPr>
        <w:jc w:val="both"/>
        <w:rPr>
          <w:rFonts w:asciiTheme="minorHAnsi" w:eastAsia="SimSun" w:hAnsiTheme="minorHAnsi" w:cstheme="minorBidi"/>
          <w:sz w:val="20"/>
          <w:szCs w:val="20"/>
          <w:lang w:val="es-EC"/>
        </w:rPr>
      </w:pPr>
    </w:p>
    <w:p w14:paraId="026DA13D" w14:textId="15F87F22" w:rsidR="005708E0" w:rsidRPr="00D830D9" w:rsidRDefault="11F9A370" w:rsidP="00EC2CBE">
      <w:pPr>
        <w:numPr>
          <w:ilvl w:val="0"/>
          <w:numId w:val="32"/>
        </w:numPr>
        <w:jc w:val="both"/>
        <w:rPr>
          <w:rFonts w:asciiTheme="minorHAnsi" w:eastAsia="SimSun" w:hAnsiTheme="minorHAnsi" w:cstheme="minorBidi"/>
          <w:sz w:val="20"/>
          <w:szCs w:val="20"/>
          <w:lang w:val="es-EC"/>
        </w:rPr>
      </w:pPr>
      <w:r w:rsidRPr="00A51E75">
        <w:rPr>
          <w:rFonts w:asciiTheme="minorHAnsi" w:eastAsia="SimSun" w:hAnsiTheme="minorHAnsi" w:cstheme="minorBidi"/>
          <w:sz w:val="20"/>
          <w:szCs w:val="20"/>
        </w:rPr>
        <w:t>Las reasignaciones presupuestarias deben demostrar que los cambios sugeridos en el presupuesto no conducirán a cambios significativos en los resultados que se lograrán con el proyecto. Se requiere una justificación sólida que será aprobada de forma excepcional. Reasignaciones presupuestarias entre los componentes (incluida la PMC) del Presupuesto Total y los Planes de Trabajo (TBWP</w:t>
      </w:r>
      <w:r w:rsidR="005073C5">
        <w:rPr>
          <w:rFonts w:asciiTheme="minorHAnsi" w:eastAsia="SimSun" w:hAnsiTheme="minorHAnsi" w:cstheme="minorBidi"/>
          <w:sz w:val="20"/>
          <w:szCs w:val="20"/>
        </w:rPr>
        <w:t xml:space="preserve"> por sigla en inglés</w:t>
      </w:r>
      <w:r w:rsidRPr="00A51E75">
        <w:rPr>
          <w:rFonts w:asciiTheme="minorHAnsi" w:eastAsia="SimSun" w:hAnsiTheme="minorHAnsi" w:cstheme="minorBidi"/>
          <w:sz w:val="20"/>
          <w:szCs w:val="20"/>
        </w:rPr>
        <w:t xml:space="preserve">) aprobados que representan un valor superior al 10% de la subvención total del </w:t>
      </w:r>
      <w:r w:rsidR="0078696E">
        <w:rPr>
          <w:rFonts w:asciiTheme="minorHAnsi" w:eastAsia="SimSun" w:hAnsiTheme="minorHAnsi" w:cstheme="minorBidi"/>
          <w:sz w:val="20"/>
          <w:szCs w:val="20"/>
        </w:rPr>
        <w:t>FMAM</w:t>
      </w:r>
      <w:r w:rsidRPr="00A51E75">
        <w:rPr>
          <w:rFonts w:asciiTheme="minorHAnsi" w:eastAsia="SimSun" w:hAnsiTheme="minorHAnsi" w:cstheme="minorBidi"/>
          <w:sz w:val="20"/>
          <w:szCs w:val="20"/>
        </w:rPr>
        <w:t xml:space="preserve">. </w:t>
      </w:r>
    </w:p>
    <w:p w14:paraId="41C4CDF2" w14:textId="2B513547" w:rsidR="005708E0" w:rsidRPr="00D830D9" w:rsidRDefault="158F425A" w:rsidP="00EC2CBE">
      <w:pPr>
        <w:pStyle w:val="Prrafodelista"/>
        <w:numPr>
          <w:ilvl w:val="0"/>
          <w:numId w:val="32"/>
        </w:numPr>
        <w:jc w:val="both"/>
        <w:rPr>
          <w:rFonts w:asciiTheme="minorHAnsi" w:eastAsia="SimSun" w:hAnsiTheme="minorHAnsi" w:cstheme="minorBidi"/>
          <w:sz w:val="20"/>
          <w:szCs w:val="20"/>
          <w:lang w:val="es-EC"/>
        </w:rPr>
      </w:pPr>
      <w:r w:rsidRPr="00A51E75">
        <w:rPr>
          <w:rFonts w:asciiTheme="minorHAnsi" w:eastAsia="SimSun" w:hAnsiTheme="minorHAnsi" w:cstheme="minorBidi"/>
          <w:sz w:val="20"/>
          <w:szCs w:val="20"/>
        </w:rPr>
        <w:t xml:space="preserve">Introducción de nuevos productos/actividades (es decir, líneas presupuestarias) no incluidos en el documento de proyecto acordado y en el TBWP que representen más del 5% de la subvención total del </w:t>
      </w:r>
      <w:r w:rsidR="0078696E">
        <w:rPr>
          <w:rFonts w:asciiTheme="minorHAnsi" w:eastAsia="SimSun" w:hAnsiTheme="minorHAnsi" w:cstheme="minorBidi"/>
          <w:sz w:val="20"/>
          <w:szCs w:val="20"/>
        </w:rPr>
        <w:t>FMAM</w:t>
      </w:r>
      <w:r w:rsidRPr="00A51E75">
        <w:rPr>
          <w:rFonts w:asciiTheme="minorHAnsi" w:eastAsia="SimSun" w:hAnsiTheme="minorHAnsi" w:cstheme="minorBidi"/>
          <w:sz w:val="20"/>
          <w:szCs w:val="20"/>
        </w:rPr>
        <w:t>. Las nuevas líneas presupuestarias deben ser elegibles</w:t>
      </w:r>
      <w:r w:rsidR="005073C5">
        <w:rPr>
          <w:rFonts w:asciiTheme="minorHAnsi" w:eastAsia="SimSun" w:hAnsiTheme="minorHAnsi" w:cstheme="minorBidi"/>
          <w:sz w:val="20"/>
          <w:szCs w:val="20"/>
        </w:rPr>
        <w:t xml:space="preserve"> según las</w:t>
      </w:r>
      <w:r w:rsidRPr="00A51E75">
        <w:rPr>
          <w:rFonts w:asciiTheme="minorHAnsi" w:eastAsia="SimSun" w:hAnsiTheme="minorHAnsi" w:cstheme="minorBidi"/>
          <w:sz w:val="20"/>
          <w:szCs w:val="20"/>
        </w:rPr>
        <w:t xml:space="preserve"> </w:t>
      </w:r>
      <w:hyperlink r:id="rId23" w:history="1">
        <w:r w:rsidR="005073C5">
          <w:rPr>
            <w:rStyle w:val="Hipervnculo"/>
            <w:rFonts w:asciiTheme="minorHAnsi" w:eastAsia="SimSun" w:hAnsiTheme="minorHAnsi" w:cstheme="minorBidi"/>
            <w:sz w:val="20"/>
            <w:szCs w:val="20"/>
          </w:rPr>
          <w:t>DIRECTRICES SOBRE LA POLÍTICA DEL CICLO DE PROYECTOS Y PROGRAMAS (ACTUALIZACIÓN 2020)</w:t>
        </w:r>
      </w:hyperlink>
      <w:r w:rsidR="004F13E7" w:rsidRPr="00A51E75">
        <w:rPr>
          <w:rFonts w:asciiTheme="minorHAnsi" w:eastAsia="SimSun" w:hAnsiTheme="minorHAnsi" w:cstheme="minorBidi"/>
          <w:sz w:val="20"/>
          <w:szCs w:val="20"/>
        </w:rPr>
        <w:t xml:space="preserve"> </w:t>
      </w:r>
    </w:p>
    <w:p w14:paraId="361D9495" w14:textId="6DB265F7" w:rsidR="005708E0" w:rsidRPr="00D830D9" w:rsidRDefault="2015B785" w:rsidP="00EC2CBE">
      <w:pPr>
        <w:numPr>
          <w:ilvl w:val="0"/>
          <w:numId w:val="32"/>
        </w:numPr>
        <w:jc w:val="both"/>
        <w:rPr>
          <w:rFonts w:asciiTheme="minorHAnsi" w:eastAsia="SimSun" w:hAnsiTheme="minorHAnsi" w:cstheme="minorBidi"/>
          <w:sz w:val="20"/>
          <w:szCs w:val="20"/>
          <w:lang w:val="es-EC"/>
        </w:rPr>
      </w:pPr>
      <w:r w:rsidRPr="00A51E75">
        <w:rPr>
          <w:rFonts w:asciiTheme="minorHAnsi" w:eastAsia="SimSun" w:hAnsiTheme="minorHAnsi" w:cstheme="minorBidi"/>
          <w:sz w:val="20"/>
          <w:szCs w:val="20"/>
        </w:rPr>
        <w:t>Cost</w:t>
      </w:r>
      <w:r w:rsidR="005073C5">
        <w:rPr>
          <w:rFonts w:asciiTheme="minorHAnsi" w:eastAsia="SimSun" w:hAnsiTheme="minorHAnsi" w:cstheme="minorBidi"/>
          <w:sz w:val="20"/>
          <w:szCs w:val="20"/>
        </w:rPr>
        <w:t>o</w:t>
      </w:r>
      <w:r w:rsidRPr="00A51E75">
        <w:rPr>
          <w:rFonts w:asciiTheme="minorHAnsi" w:eastAsia="SimSun" w:hAnsiTheme="minorHAnsi" w:cstheme="minorBidi"/>
          <w:sz w:val="20"/>
          <w:szCs w:val="20"/>
        </w:rPr>
        <w:t xml:space="preserve"> de gestión de proyectos (PMC): el presupuesto bajo el componente PMC está limitado y no puede aumentarse.</w:t>
      </w:r>
    </w:p>
    <w:p w14:paraId="08E43A0B" w14:textId="77777777" w:rsidR="00EE3301" w:rsidRPr="00D830D9" w:rsidRDefault="00EE3301" w:rsidP="00B53650">
      <w:pPr>
        <w:ind w:left="720"/>
        <w:jc w:val="both"/>
        <w:rPr>
          <w:rFonts w:asciiTheme="minorHAnsi" w:eastAsia="SimSun" w:hAnsiTheme="minorHAnsi" w:cstheme="minorHAnsi"/>
          <w:sz w:val="20"/>
          <w:szCs w:val="20"/>
          <w:lang w:val="es-EC"/>
        </w:rPr>
      </w:pPr>
    </w:p>
    <w:p w14:paraId="27D9DF8A" w14:textId="5C6A60D2" w:rsidR="00CF2079" w:rsidRPr="0076672B"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lang w:val="es-EC"/>
        </w:rPr>
      </w:pPr>
      <w:r w:rsidRPr="00A51E75">
        <w:rPr>
          <w:rFonts w:asciiTheme="minorHAnsi" w:eastAsia="SimSun" w:hAnsiTheme="minorHAnsi" w:cstheme="minorBidi"/>
          <w:sz w:val="20"/>
          <w:szCs w:val="20"/>
        </w:rPr>
        <w:t xml:space="preserve">El PNUD no está en condiciones de aumentar el presupuesto total más allá de la cantidad aprobada por el donante. Por lo tanto, cualquier gasto excesivo tendría que ser absorbido por el Socio Ejecutor de recursos no pertenecientes al </w:t>
      </w:r>
      <w:r w:rsidR="0078696E">
        <w:rPr>
          <w:rFonts w:asciiTheme="minorHAnsi" w:eastAsia="SimSun" w:hAnsiTheme="minorHAnsi" w:cstheme="minorBidi"/>
          <w:sz w:val="20"/>
          <w:szCs w:val="20"/>
        </w:rPr>
        <w:t>FMAM</w:t>
      </w:r>
      <w:r w:rsidRPr="00A51E75">
        <w:rPr>
          <w:rFonts w:asciiTheme="minorHAnsi" w:eastAsia="SimSun" w:hAnsiTheme="minorHAnsi" w:cstheme="minorBidi"/>
          <w:sz w:val="20"/>
          <w:szCs w:val="20"/>
        </w:rPr>
        <w:t xml:space="preserve"> (Entidad Ejecutora del </w:t>
      </w:r>
      <w:r w:rsidR="0078696E">
        <w:rPr>
          <w:rFonts w:asciiTheme="minorHAnsi" w:eastAsia="SimSun" w:hAnsiTheme="minorHAnsi" w:cstheme="minorBidi"/>
          <w:sz w:val="20"/>
          <w:szCs w:val="20"/>
        </w:rPr>
        <w:t>FMAM</w:t>
      </w:r>
      <w:r w:rsidRPr="00A51E75">
        <w:rPr>
          <w:rFonts w:asciiTheme="minorHAnsi" w:eastAsia="SimSun" w:hAnsiTheme="minorHAnsi" w:cstheme="minorBidi"/>
          <w:sz w:val="20"/>
          <w:szCs w:val="20"/>
        </w:rPr>
        <w:t>).</w:t>
      </w:r>
    </w:p>
    <w:p w14:paraId="1EC14596" w14:textId="610CE746" w:rsidR="00515498" w:rsidRPr="00D830D9"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Bidi"/>
          <w:b/>
          <w:bCs/>
          <w:sz w:val="20"/>
          <w:szCs w:val="20"/>
          <w:u w:val="single"/>
        </w:rPr>
        <w:t xml:space="preserve">Prórrogas de proyectos: </w:t>
      </w:r>
      <w:r w:rsidR="3EFA0CF6" w:rsidRPr="00A51E75">
        <w:rPr>
          <w:rFonts w:asciiTheme="minorHAnsi" w:eastAsia="SimSun" w:hAnsiTheme="minorHAnsi" w:cstheme="minorBidi"/>
          <w:sz w:val="20"/>
          <w:szCs w:val="20"/>
        </w:rPr>
        <w:t>El coordinador ejecutivo del equipo UNDP-BPPS-NCE debe aprobar todas las solicitudes de prórroga de la fecha de finalización del proyecto y otras prórrogas de hitos con plazos estrictos. Todas las prórrogas imponen cargas adicionales de tiempo y cost</w:t>
      </w:r>
      <w:r w:rsidR="00AF6ED3">
        <w:rPr>
          <w:rFonts w:asciiTheme="minorHAnsi" w:eastAsia="SimSun" w:hAnsiTheme="minorHAnsi" w:cstheme="minorBidi"/>
          <w:sz w:val="20"/>
          <w:szCs w:val="20"/>
        </w:rPr>
        <w:t>o</w:t>
      </w:r>
      <w:r w:rsidR="3EFA0CF6" w:rsidRPr="00A51E75">
        <w:rPr>
          <w:rFonts w:asciiTheme="minorHAnsi" w:eastAsia="SimSun" w:hAnsiTheme="minorHAnsi" w:cstheme="minorBidi"/>
          <w:sz w:val="20"/>
          <w:szCs w:val="20"/>
        </w:rPr>
        <w:t xml:space="preserve">s en todos los niveles y el presupuesto del proyecto del </w:t>
      </w:r>
      <w:r w:rsidR="0078696E">
        <w:rPr>
          <w:rFonts w:asciiTheme="minorHAnsi" w:eastAsia="SimSun" w:hAnsiTheme="minorHAnsi" w:cstheme="minorBidi"/>
          <w:sz w:val="20"/>
          <w:szCs w:val="20"/>
        </w:rPr>
        <w:t>FMAM</w:t>
      </w:r>
      <w:r w:rsidR="3EFA0CF6" w:rsidRPr="00A51E75">
        <w:rPr>
          <w:rFonts w:asciiTheme="minorHAnsi" w:eastAsia="SimSun" w:hAnsiTheme="minorHAnsi" w:cstheme="minorBidi"/>
          <w:sz w:val="20"/>
          <w:szCs w:val="20"/>
        </w:rPr>
        <w:t xml:space="preserve"> no puede incrementarse más allá de su importe originalmente aprobado. Se puede conceder una única prórroga de forma excepcional y sujeta a las condiciones y duraciones máximas establecidas en el POPP del PNUD. Los cost</w:t>
      </w:r>
      <w:r w:rsidR="00AF6ED3">
        <w:rPr>
          <w:rFonts w:asciiTheme="minorHAnsi" w:eastAsia="SimSun" w:hAnsiTheme="minorHAnsi" w:cstheme="minorBidi"/>
          <w:sz w:val="20"/>
          <w:szCs w:val="20"/>
        </w:rPr>
        <w:t>o</w:t>
      </w:r>
      <w:r w:rsidR="3EFA0CF6" w:rsidRPr="00A51E75">
        <w:rPr>
          <w:rFonts w:asciiTheme="minorHAnsi" w:eastAsia="SimSun" w:hAnsiTheme="minorHAnsi" w:cstheme="minorBidi"/>
          <w:sz w:val="20"/>
          <w:szCs w:val="20"/>
        </w:rPr>
        <w:t xml:space="preserve">s de gestión del proyecto durante el periodo de prórroga deben permanecer dentro de la cantidad originalmente aprobada, y cualquier aumento en los </w:t>
      </w:r>
      <w:r w:rsidR="00AF6ED3">
        <w:rPr>
          <w:rFonts w:asciiTheme="minorHAnsi" w:eastAsia="SimSun" w:hAnsiTheme="minorHAnsi" w:cstheme="minorBidi"/>
          <w:sz w:val="20"/>
          <w:szCs w:val="20"/>
        </w:rPr>
        <w:t>costos</w:t>
      </w:r>
      <w:r w:rsidR="3EFA0CF6" w:rsidRPr="00A51E75">
        <w:rPr>
          <w:rFonts w:asciiTheme="minorHAnsi" w:eastAsia="SimSun" w:hAnsiTheme="minorHAnsi" w:cstheme="minorBidi"/>
          <w:sz w:val="20"/>
          <w:szCs w:val="20"/>
        </w:rPr>
        <w:t xml:space="preserve"> de PMC será cubierto por recursos no pertenecientes al </w:t>
      </w:r>
      <w:r w:rsidR="0078696E">
        <w:rPr>
          <w:rFonts w:asciiTheme="minorHAnsi" w:eastAsia="SimSun" w:hAnsiTheme="minorHAnsi" w:cstheme="minorBidi"/>
          <w:sz w:val="20"/>
          <w:szCs w:val="20"/>
        </w:rPr>
        <w:t>FMAM</w:t>
      </w:r>
      <w:r w:rsidR="3EFA0CF6" w:rsidRPr="00A51E75">
        <w:rPr>
          <w:rFonts w:asciiTheme="minorHAnsi" w:eastAsia="SimSun" w:hAnsiTheme="minorHAnsi" w:cstheme="minorBidi"/>
          <w:sz w:val="20"/>
          <w:szCs w:val="20"/>
        </w:rPr>
        <w:t xml:space="preserve">; los </w:t>
      </w:r>
      <w:r w:rsidR="00AF6ED3">
        <w:rPr>
          <w:rFonts w:asciiTheme="minorHAnsi" w:eastAsia="SimSun" w:hAnsiTheme="minorHAnsi" w:cstheme="minorBidi"/>
          <w:sz w:val="20"/>
          <w:szCs w:val="20"/>
        </w:rPr>
        <w:lastRenderedPageBreak/>
        <w:t>costos</w:t>
      </w:r>
      <w:r w:rsidR="3EFA0CF6" w:rsidRPr="00A51E75">
        <w:rPr>
          <w:rFonts w:asciiTheme="minorHAnsi" w:eastAsia="SimSun" w:hAnsiTheme="minorHAnsi" w:cstheme="minorBidi"/>
          <w:sz w:val="20"/>
          <w:szCs w:val="20"/>
        </w:rPr>
        <w:t xml:space="preserve"> adicionales de supervisión del PNUD durante el periodo de prórroga deben ser cubiertos por recursos no pertenecientes al </w:t>
      </w:r>
      <w:r w:rsidR="0078696E">
        <w:rPr>
          <w:rFonts w:asciiTheme="minorHAnsi" w:eastAsia="SimSun" w:hAnsiTheme="minorHAnsi" w:cstheme="minorBidi"/>
          <w:sz w:val="20"/>
          <w:szCs w:val="20"/>
        </w:rPr>
        <w:t>FMAM</w:t>
      </w:r>
      <w:r w:rsidR="3EFA0CF6" w:rsidRPr="00A51E75">
        <w:rPr>
          <w:rFonts w:asciiTheme="minorHAnsi" w:eastAsia="SimSun" w:hAnsiTheme="minorHAnsi" w:cstheme="minorBidi"/>
          <w:sz w:val="20"/>
          <w:szCs w:val="20"/>
        </w:rPr>
        <w:t>, de acuerdo con la política del PNUD establecida en el POPP del PNUD.</w:t>
      </w:r>
      <w:r w:rsidR="00AF6ED3">
        <w:rPr>
          <w:rFonts w:asciiTheme="minorHAnsi" w:eastAsia="SimSun" w:hAnsiTheme="minorHAnsi" w:cstheme="minorBidi"/>
          <w:sz w:val="20"/>
          <w:szCs w:val="20"/>
        </w:rPr>
        <w:t xml:space="preserve"> </w:t>
      </w:r>
    </w:p>
    <w:p w14:paraId="7A8354C7" w14:textId="5D3CF7D9" w:rsidR="00B22C8E" w:rsidRPr="00D830D9"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Bidi"/>
          <w:sz w:val="20"/>
          <w:szCs w:val="20"/>
        </w:rPr>
        <w:t xml:space="preserve">Para cualquier solicitud de prórroga, </w:t>
      </w:r>
      <w:r w:rsidR="00AF6ED3">
        <w:rPr>
          <w:rFonts w:asciiTheme="minorHAnsi" w:eastAsia="SimSun" w:hAnsiTheme="minorHAnsi" w:cstheme="minorBidi"/>
          <w:sz w:val="20"/>
          <w:szCs w:val="20"/>
        </w:rPr>
        <w:t>la Oficina País</w:t>
      </w:r>
      <w:r w:rsidRPr="00A51E75">
        <w:rPr>
          <w:rFonts w:asciiTheme="minorHAnsi" w:eastAsia="SimSun" w:hAnsiTheme="minorHAnsi" w:cstheme="minorBidi"/>
          <w:sz w:val="20"/>
          <w:szCs w:val="20"/>
        </w:rPr>
        <w:t xml:space="preserve"> </w:t>
      </w:r>
      <w:r w:rsidR="00AF6ED3">
        <w:rPr>
          <w:rFonts w:asciiTheme="minorHAnsi" w:eastAsia="SimSun" w:hAnsiTheme="minorHAnsi" w:cstheme="minorBidi"/>
          <w:sz w:val="20"/>
          <w:szCs w:val="20"/>
        </w:rPr>
        <w:t>(</w:t>
      </w:r>
      <w:r w:rsidRPr="00A51E75">
        <w:rPr>
          <w:rFonts w:asciiTheme="minorHAnsi" w:eastAsia="SimSun" w:hAnsiTheme="minorHAnsi" w:cstheme="minorBidi"/>
          <w:sz w:val="20"/>
          <w:szCs w:val="20"/>
        </w:rPr>
        <w:t>CO</w:t>
      </w:r>
      <w:r w:rsidR="00AF6ED3">
        <w:rPr>
          <w:rFonts w:asciiTheme="minorHAnsi" w:eastAsia="SimSun" w:hAnsiTheme="minorHAnsi" w:cstheme="minorBidi"/>
          <w:sz w:val="20"/>
          <w:szCs w:val="20"/>
        </w:rPr>
        <w:t xml:space="preserve"> por sigla en inglés)</w:t>
      </w:r>
      <w:r w:rsidRPr="00A51E75">
        <w:rPr>
          <w:rFonts w:asciiTheme="minorHAnsi" w:eastAsia="SimSun" w:hAnsiTheme="minorHAnsi" w:cstheme="minorBidi"/>
          <w:sz w:val="20"/>
          <w:szCs w:val="20"/>
        </w:rPr>
        <w:t xml:space="preserve"> y el</w:t>
      </w:r>
      <w:r w:rsidR="00AF6ED3">
        <w:rPr>
          <w:rFonts w:asciiTheme="minorHAnsi" w:eastAsia="SimSun" w:hAnsiTheme="minorHAnsi" w:cstheme="minorBidi"/>
          <w:sz w:val="20"/>
          <w:szCs w:val="20"/>
        </w:rPr>
        <w:t xml:space="preserve"> Socio Implementador</w:t>
      </w:r>
      <w:r w:rsidRPr="00A51E75">
        <w:rPr>
          <w:rFonts w:asciiTheme="minorHAnsi" w:eastAsia="SimSun" w:hAnsiTheme="minorHAnsi" w:cstheme="minorBidi"/>
          <w:sz w:val="20"/>
          <w:szCs w:val="20"/>
        </w:rPr>
        <w:t xml:space="preserve"> </w:t>
      </w:r>
      <w:r w:rsidR="00AF6ED3">
        <w:rPr>
          <w:rFonts w:asciiTheme="minorHAnsi" w:eastAsia="SimSun" w:hAnsiTheme="minorHAnsi" w:cstheme="minorBidi"/>
          <w:sz w:val="20"/>
          <w:szCs w:val="20"/>
        </w:rPr>
        <w:t>(</w:t>
      </w:r>
      <w:r w:rsidRPr="00A51E75">
        <w:rPr>
          <w:rFonts w:asciiTheme="minorHAnsi" w:eastAsia="SimSun" w:hAnsiTheme="minorHAnsi" w:cstheme="minorBidi"/>
          <w:sz w:val="20"/>
          <w:szCs w:val="20"/>
        </w:rPr>
        <w:t>IP</w:t>
      </w:r>
      <w:r w:rsidR="00AF6ED3">
        <w:rPr>
          <w:rFonts w:asciiTheme="minorHAnsi" w:eastAsia="SimSun" w:hAnsiTheme="minorHAnsi" w:cstheme="minorBidi"/>
          <w:sz w:val="20"/>
          <w:szCs w:val="20"/>
        </w:rPr>
        <w:t xml:space="preserve"> por sigla en inglés)</w:t>
      </w:r>
      <w:r w:rsidRPr="00A51E75">
        <w:rPr>
          <w:rFonts w:asciiTheme="minorHAnsi" w:eastAsia="SimSun" w:hAnsiTheme="minorHAnsi" w:cstheme="minorBidi"/>
          <w:sz w:val="20"/>
          <w:szCs w:val="20"/>
        </w:rPr>
        <w:t xml:space="preserve"> del PNUD consultarán y presentarán conjuntamente un plan claro que indique cómo y desde qué fuentes específicas se cubrirán los </w:t>
      </w:r>
      <w:r w:rsidR="00AF6ED3">
        <w:rPr>
          <w:rFonts w:asciiTheme="minorHAnsi" w:eastAsia="SimSun" w:hAnsiTheme="minorHAnsi" w:cstheme="minorBidi"/>
          <w:sz w:val="20"/>
          <w:szCs w:val="20"/>
        </w:rPr>
        <w:t>costos</w:t>
      </w:r>
      <w:r w:rsidRPr="00A51E75">
        <w:rPr>
          <w:rFonts w:asciiTheme="minorHAnsi" w:eastAsia="SimSun" w:hAnsiTheme="minorHAnsi" w:cstheme="minorBidi"/>
          <w:sz w:val="20"/>
          <w:szCs w:val="20"/>
        </w:rPr>
        <w:t xml:space="preserve"> adicionales de supervisión que incurrirá el PNUD durante el periodo ampliado. El Coordinador Ejecutivo de BPPS-NCE consultará con las Oficinas Regionales (RBX) y podrá rechazar la solicitud de prórroga si no se identifica cofinanciación externa por parte del IP ni de recursos internos de CO del PNUD. Todas las solicitudes de prórroga, junto con toda la documentación de apoyo, serán presentadas por el IP al CO del PNUD de acuerdo con los requisitos y plazos establecidos en </w:t>
      </w:r>
      <w:r w:rsidRPr="00863ED5">
        <w:rPr>
          <w:rFonts w:asciiTheme="minorHAnsi" w:eastAsia="SimSun" w:hAnsiTheme="minorHAnsi" w:cstheme="minorBidi"/>
          <w:sz w:val="20"/>
          <w:szCs w:val="20"/>
        </w:rPr>
        <w:t xml:space="preserve">los </w:t>
      </w:r>
      <w:r w:rsidR="00863ED5" w:rsidRPr="00863ED5">
        <w:rPr>
          <w:rFonts w:asciiTheme="minorHAnsi" w:eastAsia="SimSun" w:hAnsiTheme="minorHAnsi" w:cstheme="minorBidi"/>
          <w:sz w:val="20"/>
          <w:szCs w:val="20"/>
        </w:rPr>
        <w:t>Procedimientos Operativos Estándar</w:t>
      </w:r>
      <w:r w:rsidR="00863ED5" w:rsidRPr="00863ED5">
        <w:rPr>
          <w:rFonts w:asciiTheme="minorHAnsi" w:eastAsia="SimSun" w:hAnsiTheme="minorHAnsi" w:cstheme="minorBidi"/>
          <w:b/>
          <w:bCs/>
          <w:sz w:val="20"/>
          <w:szCs w:val="20"/>
        </w:rPr>
        <w:t xml:space="preserve"> </w:t>
      </w:r>
      <w:r w:rsidR="00863ED5">
        <w:rPr>
          <w:rFonts w:asciiTheme="minorHAnsi" w:eastAsia="SimSun" w:hAnsiTheme="minorHAnsi" w:cstheme="minorBidi"/>
          <w:sz w:val="20"/>
          <w:szCs w:val="20"/>
        </w:rPr>
        <w:t>(</w:t>
      </w:r>
      <w:r w:rsidRPr="00A51E75">
        <w:rPr>
          <w:rFonts w:asciiTheme="minorHAnsi" w:eastAsia="SimSun" w:hAnsiTheme="minorHAnsi" w:cstheme="minorBidi"/>
          <w:sz w:val="20"/>
          <w:szCs w:val="20"/>
        </w:rPr>
        <w:t>SOP</w:t>
      </w:r>
      <w:r w:rsidR="00863ED5">
        <w:rPr>
          <w:rFonts w:asciiTheme="minorHAnsi" w:eastAsia="SimSun" w:hAnsiTheme="minorHAnsi" w:cstheme="minorBidi"/>
          <w:sz w:val="20"/>
          <w:szCs w:val="20"/>
        </w:rPr>
        <w:t xml:space="preserve"> por sigla en inglés)</w:t>
      </w:r>
      <w:r w:rsidRPr="00A51E75">
        <w:rPr>
          <w:rFonts w:asciiTheme="minorHAnsi" w:eastAsia="SimSun" w:hAnsiTheme="minorHAnsi" w:cstheme="minorBidi"/>
          <w:sz w:val="20"/>
          <w:szCs w:val="20"/>
        </w:rPr>
        <w:t xml:space="preserve"> y políticas del PNUD del PNUD.</w:t>
      </w:r>
    </w:p>
    <w:p w14:paraId="7870A2FA" w14:textId="46215C71" w:rsidR="00FA2D81" w:rsidRPr="00D830D9"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Bidi"/>
          <w:b/>
          <w:bCs/>
          <w:sz w:val="20"/>
          <w:szCs w:val="20"/>
        </w:rPr>
        <w:t xml:space="preserve">Auditoría: </w:t>
      </w:r>
      <w:r w:rsidR="679BF548" w:rsidRPr="00A51E75">
        <w:rPr>
          <w:rFonts w:asciiTheme="minorHAnsi" w:eastAsia="SimSun" w:hAnsiTheme="minorHAnsi" w:cstheme="minorBidi"/>
          <w:sz w:val="20"/>
          <w:szCs w:val="20"/>
        </w:rPr>
        <w:t xml:space="preserve"> El proyecto será auditado conforme a las Regulaciones y Normas Financieras del PNUD y las políticas de auditoría aplicables. El ciclo y proceso de auditoría deben tratarse durante el </w:t>
      </w:r>
      <w:r w:rsidR="00863ED5">
        <w:rPr>
          <w:rFonts w:asciiTheme="minorHAnsi" w:eastAsia="SimSun" w:hAnsiTheme="minorHAnsi" w:cstheme="minorBidi"/>
          <w:sz w:val="20"/>
          <w:szCs w:val="20"/>
        </w:rPr>
        <w:t>“T</w:t>
      </w:r>
      <w:r w:rsidR="679BF548" w:rsidRPr="00A51E75">
        <w:rPr>
          <w:rFonts w:asciiTheme="minorHAnsi" w:eastAsia="SimSun" w:hAnsiTheme="minorHAnsi" w:cstheme="minorBidi"/>
          <w:sz w:val="20"/>
          <w:szCs w:val="20"/>
        </w:rPr>
        <w:t xml:space="preserve">aller </w:t>
      </w:r>
      <w:r w:rsidR="00863ED5">
        <w:rPr>
          <w:rFonts w:asciiTheme="minorHAnsi" w:eastAsia="SimSun" w:hAnsiTheme="minorHAnsi" w:cstheme="minorBidi"/>
          <w:sz w:val="20"/>
          <w:szCs w:val="20"/>
        </w:rPr>
        <w:t>inicio”</w:t>
      </w:r>
      <w:r w:rsidR="679BF548" w:rsidRPr="00A51E75">
        <w:rPr>
          <w:rFonts w:asciiTheme="minorHAnsi" w:eastAsia="SimSun" w:hAnsiTheme="minorHAnsi" w:cstheme="minorBidi"/>
          <w:sz w:val="20"/>
          <w:szCs w:val="20"/>
        </w:rPr>
        <w:t>. Si el Socio Implementador es una Agencia de la ONU, el proyecto será auditado según las políticas de auditoría aplicables de esa Agencia.</w:t>
      </w:r>
    </w:p>
    <w:p w14:paraId="158E96D4" w14:textId="0672F5D3" w:rsidR="00FA2D81" w:rsidRPr="00D830D9"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Bidi"/>
          <w:b/>
          <w:bCs/>
          <w:sz w:val="20"/>
          <w:szCs w:val="20"/>
        </w:rPr>
        <w:t xml:space="preserve">Transferencia o disposición de activos: </w:t>
      </w:r>
      <w:r w:rsidR="7859E48A" w:rsidRPr="00A51E75">
        <w:rPr>
          <w:rFonts w:ascii="Calibri" w:eastAsia="SimSun" w:hAnsi="Calibri"/>
          <w:sz w:val="20"/>
          <w:szCs w:val="20"/>
        </w:rPr>
        <w:t xml:space="preserve">En consulta con el socio ejecutor y otras partes del proyecto, el PNUD es responsable de decidir sobre la transferencia u otra disposición de los activos. Se recomienda revisar y respaldar la transferencia o disposición de activos por parte de la junta del proyecto siguiendo las normas y reglamentos del PNUD. Los activos pueden transferirse al gobierno para </w:t>
      </w:r>
      <w:r w:rsidR="7859E48A" w:rsidRPr="00863ED5">
        <w:rPr>
          <w:rFonts w:ascii="Calibri" w:eastAsia="SimSun" w:hAnsi="Calibri"/>
          <w:sz w:val="20"/>
          <w:szCs w:val="20"/>
        </w:rPr>
        <w:t>actividades gestionadas por una institución nacional en cualquier momento durante la vigencia de un proyecto, aunque deben hacerse antes de la fecha de cierre operativo. En todos lo</w:t>
      </w:r>
      <w:r w:rsidR="7859E48A" w:rsidRPr="00A51E75">
        <w:rPr>
          <w:rFonts w:ascii="Calibri" w:eastAsia="SimSun" w:hAnsi="Calibri"/>
          <w:sz w:val="20"/>
          <w:szCs w:val="20"/>
        </w:rPr>
        <w:t>s casos de transferencia, debe prepararse y conservarse un documento de transferencia</w:t>
      </w:r>
      <w:r w:rsidR="0041532C" w:rsidRPr="00863ED5">
        <w:rPr>
          <w:rFonts w:eastAsia="SimSun"/>
          <w:sz w:val="20"/>
          <w:szCs w:val="20"/>
          <w:vertAlign w:val="superscript"/>
        </w:rPr>
        <w:footnoteReference w:id="17"/>
      </w:r>
      <w:r w:rsidR="7859E48A" w:rsidRPr="00A51E75">
        <w:rPr>
          <w:rFonts w:ascii="Calibri" w:eastAsia="SimSun" w:hAnsi="Calibri"/>
          <w:sz w:val="20"/>
          <w:szCs w:val="20"/>
        </w:rPr>
        <w:t xml:space="preserve">. El traslado debe realizarse antes de que la </w:t>
      </w:r>
      <w:r w:rsidR="00863ED5">
        <w:rPr>
          <w:rFonts w:ascii="Calibri" w:eastAsia="SimSun" w:hAnsi="Calibri"/>
          <w:sz w:val="20"/>
          <w:szCs w:val="20"/>
        </w:rPr>
        <w:t>UGP</w:t>
      </w:r>
      <w:r w:rsidR="7859E48A" w:rsidRPr="00A51E75">
        <w:rPr>
          <w:rFonts w:ascii="Calibri" w:eastAsia="SimSun" w:hAnsi="Calibri"/>
          <w:sz w:val="20"/>
          <w:szCs w:val="20"/>
        </w:rPr>
        <w:t xml:space="preserve"> complete sus asignaciones.</w:t>
      </w:r>
    </w:p>
    <w:p w14:paraId="389CBB11" w14:textId="602DBAD2" w:rsidR="00821823" w:rsidRPr="00D830D9" w:rsidRDefault="00AB7E33"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Calibri" w:eastAsia="SimSun" w:hAnsi="Calibri"/>
          <w:b/>
          <w:bCs/>
          <w:sz w:val="20"/>
        </w:rPr>
        <w:t xml:space="preserve">Fecha de </w:t>
      </w:r>
      <w:r w:rsidRPr="00A51E75">
        <w:rPr>
          <w:rFonts w:ascii="Calibri" w:eastAsia="SimSun" w:hAnsi="Calibri"/>
          <w:b/>
          <w:sz w:val="20"/>
        </w:rPr>
        <w:t xml:space="preserve">finalización: </w:t>
      </w:r>
      <w:r w:rsidRPr="00A51E75">
        <w:rPr>
          <w:rFonts w:ascii="Calibri" w:eastAsia="SimSun" w:hAnsi="Calibri"/>
          <w:sz w:val="20"/>
        </w:rPr>
        <w:t xml:space="preserve">La fecha de finalización del proyecto es la fecha de firma del documento del proyecto más la duración del proyecto. Esta fecha solo puede prorrogarse mediante una solicitud formal de prórroga. Antes de la fecha de finalización, deben proporcionarse </w:t>
      </w:r>
      <w:r w:rsidR="00863ED5" w:rsidRPr="00A51E75">
        <w:rPr>
          <w:rFonts w:ascii="Calibri" w:eastAsia="SimSun" w:hAnsi="Calibri"/>
          <w:sz w:val="20"/>
        </w:rPr>
        <w:t>todos los insumos financiados</w:t>
      </w:r>
      <w:r w:rsidRPr="00A51E75">
        <w:rPr>
          <w:rFonts w:ascii="Calibri" w:eastAsia="SimSun" w:hAnsi="Calibri"/>
          <w:sz w:val="20"/>
        </w:rPr>
        <w:t xml:space="preserve"> por el PNUD y completar las actividades relacionadas con el Proyecto. No deben celebrarse actividades, salvo la aprobación final del Informe de </w:t>
      </w:r>
      <w:r w:rsidR="00863ED5">
        <w:rPr>
          <w:rFonts w:ascii="Calibri" w:eastAsia="SimSun" w:hAnsi="Calibri"/>
          <w:sz w:val="20"/>
        </w:rPr>
        <w:t>EFI</w:t>
      </w:r>
      <w:r w:rsidRPr="00A51E75">
        <w:rPr>
          <w:rFonts w:ascii="Calibri" w:eastAsia="SimSun" w:hAnsi="Calibri"/>
          <w:sz w:val="20"/>
        </w:rPr>
        <w:t xml:space="preserve"> y la correspondiente respuesta de la dirección y la reunión de la Junta de Proyecto de revisión final del proyecto, después de la fecha de finalización. </w:t>
      </w:r>
    </w:p>
    <w:p w14:paraId="7D5F4AFA" w14:textId="3EDBEBE5" w:rsidR="005708E0" w:rsidRPr="00D830D9"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Bidi"/>
          <w:sz w:val="20"/>
          <w:szCs w:val="20"/>
          <w:lang w:val="es-EC"/>
        </w:rPr>
      </w:pPr>
      <w:r w:rsidRPr="00A51E75">
        <w:rPr>
          <w:rFonts w:asciiTheme="minorHAnsi" w:eastAsia="SimSun" w:hAnsiTheme="minorHAnsi" w:cstheme="minorBidi"/>
          <w:b/>
          <w:bCs/>
          <w:sz w:val="20"/>
          <w:szCs w:val="20"/>
        </w:rPr>
        <w:t xml:space="preserve">Cierre del proyecto:  El </w:t>
      </w:r>
      <w:r w:rsidR="6236B723" w:rsidRPr="00A51E75">
        <w:rPr>
          <w:rFonts w:ascii="Calibri" w:eastAsia="Calibri" w:hAnsi="Calibri" w:cs="Calibri"/>
          <w:sz w:val="20"/>
          <w:szCs w:val="20"/>
        </w:rPr>
        <w:t xml:space="preserve">cierre del proyecto se llevará a cabo según los requisitos del PNUD establecidos en el POPP del PNUD. Todos los </w:t>
      </w:r>
      <w:r w:rsidR="00AF6ED3">
        <w:rPr>
          <w:rFonts w:ascii="Calibri" w:eastAsia="Calibri" w:hAnsi="Calibri" w:cs="Calibri"/>
          <w:sz w:val="20"/>
          <w:szCs w:val="20"/>
        </w:rPr>
        <w:t>costos</w:t>
      </w:r>
      <w:r w:rsidR="6236B723" w:rsidRPr="00A51E75">
        <w:rPr>
          <w:rFonts w:ascii="Calibri" w:eastAsia="Calibri" w:hAnsi="Calibri" w:cs="Calibri"/>
          <w:sz w:val="20"/>
          <w:szCs w:val="20"/>
        </w:rPr>
        <w:t xml:space="preserve"> incurridos para cerrar el proyecto deben incluirse en el presupuesto de cierre y reportarse como compromisos finales presentados a la Junta de Proyecto durante la revisión final. Los únicos </w:t>
      </w:r>
      <w:r w:rsidR="00AF6ED3">
        <w:rPr>
          <w:rFonts w:ascii="Calibri" w:eastAsia="Calibri" w:hAnsi="Calibri" w:cs="Calibri"/>
          <w:sz w:val="20"/>
          <w:szCs w:val="20"/>
        </w:rPr>
        <w:t>costos</w:t>
      </w:r>
      <w:r w:rsidR="6236B723" w:rsidRPr="00A51E75">
        <w:rPr>
          <w:rFonts w:ascii="Calibri" w:eastAsia="Calibri" w:hAnsi="Calibri" w:cs="Calibri"/>
          <w:sz w:val="20"/>
          <w:szCs w:val="20"/>
        </w:rPr>
        <w:t xml:space="preserve"> que puede incurrir un proyecto tras la revisión final son los incluidos en el presupuesto de cierre del proyecto.</w:t>
      </w:r>
    </w:p>
    <w:p w14:paraId="22713FEE" w14:textId="77777777" w:rsidR="00AB7E33" w:rsidRPr="00D830D9" w:rsidRDefault="00AB7E33" w:rsidP="005708E0">
      <w:pPr>
        <w:jc w:val="both"/>
        <w:rPr>
          <w:rFonts w:asciiTheme="minorHAnsi" w:eastAsia="SimSun" w:hAnsiTheme="minorHAnsi" w:cstheme="minorHAnsi"/>
          <w:sz w:val="20"/>
          <w:szCs w:val="20"/>
          <w:lang w:val="es-EC"/>
        </w:rPr>
      </w:pPr>
    </w:p>
    <w:p w14:paraId="7B3264B3" w14:textId="19198305" w:rsidR="00BA5B32" w:rsidRPr="00BA5B32" w:rsidRDefault="00BA5B32" w:rsidP="00EC2CBE">
      <w:pPr>
        <w:pStyle w:val="Prrafodelista"/>
        <w:numPr>
          <w:ilvl w:val="0"/>
          <w:numId w:val="1"/>
        </w:numPr>
        <w:jc w:val="both"/>
        <w:rPr>
          <w:rFonts w:asciiTheme="minorHAnsi" w:eastAsia="SimSun" w:hAnsiTheme="minorHAnsi" w:cstheme="minorBidi"/>
          <w:sz w:val="20"/>
          <w:szCs w:val="20"/>
        </w:rPr>
      </w:pPr>
      <w:r w:rsidRPr="00BA5B32">
        <w:rPr>
          <w:rFonts w:asciiTheme="minorHAnsi" w:eastAsia="SimSun" w:hAnsiTheme="minorHAnsi" w:cstheme="minorBidi"/>
          <w:b/>
          <w:bCs/>
          <w:sz w:val="20"/>
          <w:szCs w:val="20"/>
        </w:rPr>
        <w:t>Cierre Operativo:</w:t>
      </w:r>
      <w:r w:rsidRPr="00BA5B32">
        <w:rPr>
          <w:rFonts w:asciiTheme="minorHAnsi" w:eastAsia="SimSun" w:hAnsiTheme="minorHAnsi" w:cstheme="minorBidi"/>
          <w:sz w:val="20"/>
          <w:szCs w:val="20"/>
        </w:rPr>
        <w:t> El cierre operativo debe realizarse dentro de los 9 meses posteriores a la fecha de finalización del proyecto. Antes del cierre operativo, se debe haber presentado la </w:t>
      </w:r>
      <w:r>
        <w:rPr>
          <w:rFonts w:asciiTheme="minorHAnsi" w:eastAsia="SimSun" w:hAnsiTheme="minorHAnsi" w:cstheme="minorBidi"/>
          <w:sz w:val="20"/>
          <w:szCs w:val="20"/>
        </w:rPr>
        <w:t>EFI,</w:t>
      </w:r>
      <w:r w:rsidRPr="00BA5B32">
        <w:rPr>
          <w:rFonts w:asciiTheme="minorHAnsi" w:eastAsia="SimSun" w:hAnsiTheme="minorHAnsi" w:cstheme="minorBidi"/>
          <w:sz w:val="20"/>
          <w:szCs w:val="20"/>
        </w:rPr>
        <w:t xml:space="preserve"> junto con la correspondiente respuesta de gestión a la </w:t>
      </w:r>
      <w:r>
        <w:rPr>
          <w:rFonts w:asciiTheme="minorHAnsi" w:eastAsia="SimSun" w:hAnsiTheme="minorHAnsi" w:cstheme="minorBidi"/>
          <w:sz w:val="20"/>
          <w:szCs w:val="20"/>
        </w:rPr>
        <w:t>EFI</w:t>
      </w:r>
      <w:r w:rsidRPr="00BA5B32">
        <w:rPr>
          <w:rFonts w:asciiTheme="minorHAnsi" w:eastAsia="SimSun" w:hAnsiTheme="minorHAnsi" w:cstheme="minorBidi"/>
          <w:sz w:val="20"/>
          <w:szCs w:val="20"/>
        </w:rPr>
        <w:t xml:space="preserve"> y la realización de la reunión de revisión de fin de proyecto del Comité Directivo. El </w:t>
      </w:r>
      <w:r>
        <w:rPr>
          <w:rFonts w:asciiTheme="minorHAnsi" w:eastAsia="SimSun" w:hAnsiTheme="minorHAnsi" w:cstheme="minorBidi"/>
          <w:sz w:val="20"/>
          <w:szCs w:val="20"/>
        </w:rPr>
        <w:t>IP</w:t>
      </w:r>
      <w:r w:rsidRPr="00BA5B32">
        <w:rPr>
          <w:rFonts w:asciiTheme="minorHAnsi" w:eastAsia="SimSun" w:hAnsiTheme="minorHAnsi" w:cstheme="minorBidi"/>
          <w:sz w:val="20"/>
          <w:szCs w:val="20"/>
        </w:rPr>
        <w:t>, mediante una decisión del Comité Directivo, notificará a la Oficina de País del PNUD una vez que se haya completado el cierre operativo. Antes del cierre operativo, el proyecto debe haber finalizado la transferencia o disposición de cualquier equipo que aún sea propiedad del PNUD.</w:t>
      </w:r>
    </w:p>
    <w:p w14:paraId="77B9E15B" w14:textId="15795A91" w:rsidR="005708E0" w:rsidRPr="00D830D9" w:rsidRDefault="158F425A" w:rsidP="00EC2CBE">
      <w:pPr>
        <w:pStyle w:val="Prrafodelista"/>
        <w:numPr>
          <w:ilvl w:val="0"/>
          <w:numId w:val="1"/>
        </w:numPr>
        <w:jc w:val="both"/>
        <w:rPr>
          <w:lang w:val="es-EC"/>
        </w:rPr>
      </w:pPr>
      <w:r w:rsidRPr="00A51E75">
        <w:rPr>
          <w:rFonts w:asciiTheme="minorHAnsi" w:eastAsia="SimSun" w:hAnsiTheme="minorHAnsi" w:cstheme="minorBidi"/>
          <w:b/>
          <w:bCs/>
          <w:sz w:val="20"/>
          <w:szCs w:val="20"/>
        </w:rPr>
        <w:t xml:space="preserve">Cierre financiero:  El </w:t>
      </w:r>
      <w:r w:rsidR="3CAD9C1B" w:rsidRPr="00A51E75">
        <w:rPr>
          <w:rFonts w:ascii="Calibri" w:eastAsia="Calibri" w:hAnsi="Calibri" w:cs="Calibri"/>
          <w:sz w:val="20"/>
          <w:szCs w:val="20"/>
        </w:rPr>
        <w:t xml:space="preserve">cierre financiero debe producirse dentro de los 6 meses siguientes al cierre operativo o después de la fecha de cancelación. El proyecto se cerrará financieramente cuando se cumplan las siguientes condiciones: a) el proyecto esté finalizado operativamente o haya sido cancelado; b) el </w:t>
      </w:r>
      <w:r w:rsidR="00BA5B32">
        <w:rPr>
          <w:rFonts w:ascii="Calibri" w:eastAsia="Calibri" w:hAnsi="Calibri" w:cs="Calibri"/>
          <w:sz w:val="20"/>
          <w:szCs w:val="20"/>
        </w:rPr>
        <w:t>IP</w:t>
      </w:r>
      <w:r w:rsidR="3CAD9C1B" w:rsidRPr="00A51E75">
        <w:rPr>
          <w:rFonts w:ascii="Calibri" w:eastAsia="Calibri" w:hAnsi="Calibri" w:cs="Calibri"/>
          <w:sz w:val="20"/>
          <w:szCs w:val="20"/>
        </w:rPr>
        <w:t xml:space="preserve"> ha informado de todas las transacciones financieras al PNUD; c) El PNUD ha cerrado las cuentas del proyecto; d) El PNUD y el </w:t>
      </w:r>
      <w:r w:rsidR="00BA5B32">
        <w:rPr>
          <w:rFonts w:ascii="Calibri" w:eastAsia="Calibri" w:hAnsi="Calibri" w:cs="Calibri"/>
          <w:sz w:val="20"/>
          <w:szCs w:val="20"/>
        </w:rPr>
        <w:t>IP</w:t>
      </w:r>
      <w:r w:rsidR="3CAD9C1B" w:rsidRPr="00A51E75">
        <w:rPr>
          <w:rFonts w:ascii="Calibri" w:eastAsia="Calibri" w:hAnsi="Calibri" w:cs="Calibri"/>
          <w:sz w:val="20"/>
          <w:szCs w:val="20"/>
        </w:rPr>
        <w:t xml:space="preserve"> han certificado un Informe Final de Entrega Combinada (que sirve como revisión presupuestaria final).</w:t>
      </w:r>
    </w:p>
    <w:p w14:paraId="310765BB" w14:textId="38D0551C" w:rsidR="005708E0" w:rsidRPr="00D830D9" w:rsidRDefault="3CAD9C1B" w:rsidP="4D0299E8">
      <w:pPr>
        <w:ind w:left="720"/>
        <w:jc w:val="both"/>
        <w:rPr>
          <w:lang w:val="es-EC"/>
        </w:rPr>
      </w:pPr>
      <w:r w:rsidRPr="00A51E75">
        <w:rPr>
          <w:rFonts w:ascii="Calibri" w:eastAsia="Calibri" w:hAnsi="Calibri" w:cs="Calibri"/>
          <w:sz w:val="20"/>
          <w:szCs w:val="20"/>
        </w:rPr>
        <w:t>Entre el cierre operativo y el financiero, el socio implementador identificará y liquidará todas las obligaciones financieras y preparará un informe final de gastos. La Oficina de País del PNUD enviará los documentos finales firmados de cierre, incluyendo la confirmación del gasto acumulado final y el saldo no gastado, al BPPS/NCE para su confirmación antes de que el proyecto sea cerrado financieramente en Quantum por la Oficina de País del PNUD.</w:t>
      </w:r>
    </w:p>
    <w:p w14:paraId="30BFC813" w14:textId="77777777" w:rsidR="00375B1C" w:rsidRPr="00D830D9" w:rsidRDefault="00375B1C" w:rsidP="005708E0">
      <w:pPr>
        <w:jc w:val="both"/>
        <w:rPr>
          <w:rFonts w:asciiTheme="minorHAnsi" w:eastAsia="SimSun" w:hAnsiTheme="minorHAnsi" w:cstheme="minorHAnsi"/>
          <w:sz w:val="20"/>
          <w:szCs w:val="20"/>
          <w:lang w:val="es-EC"/>
        </w:rPr>
      </w:pPr>
    </w:p>
    <w:p w14:paraId="24A343F0" w14:textId="7001DA51" w:rsidR="00727F85" w:rsidRPr="00D830D9" w:rsidRDefault="158F425A"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Theme="minorHAnsi" w:eastAsia="SimSun" w:hAnsiTheme="minorHAnsi" w:cstheme="minorBidi"/>
          <w:b/>
          <w:bCs/>
          <w:sz w:val="20"/>
          <w:szCs w:val="20"/>
        </w:rPr>
        <w:lastRenderedPageBreak/>
        <w:t>Cancelación y suspensión:</w:t>
      </w:r>
      <w:r w:rsidRPr="00A51E75">
        <w:rPr>
          <w:rFonts w:asciiTheme="minorHAnsi" w:eastAsia="SimSun" w:hAnsiTheme="minorHAnsi" w:cstheme="minorBidi"/>
          <w:sz w:val="20"/>
          <w:szCs w:val="20"/>
        </w:rPr>
        <w:t xml:space="preserve"> Todos los proyectos que se consideren para cancelación o suspensión deben cumplir con los requisitos del PNUD y del </w:t>
      </w:r>
      <w:r w:rsidR="0078696E">
        <w:rPr>
          <w:rFonts w:asciiTheme="minorHAnsi" w:eastAsia="SimSun" w:hAnsiTheme="minorHAnsi" w:cstheme="minorBidi"/>
          <w:sz w:val="20"/>
          <w:szCs w:val="20"/>
        </w:rPr>
        <w:t>FMAM</w:t>
      </w:r>
      <w:r w:rsidRPr="00A51E75">
        <w:rPr>
          <w:rFonts w:asciiTheme="minorHAnsi" w:eastAsia="SimSun" w:hAnsiTheme="minorHAnsi" w:cstheme="minorBidi"/>
          <w:sz w:val="20"/>
          <w:szCs w:val="20"/>
        </w:rPr>
        <w:t>. Las directrices pueden encontrarse en el POPP</w:t>
      </w:r>
      <w:r w:rsidR="00BA5B32">
        <w:rPr>
          <w:rFonts w:asciiTheme="minorHAnsi" w:eastAsia="SimSun" w:hAnsiTheme="minorHAnsi" w:cstheme="minorBidi"/>
          <w:sz w:val="20"/>
          <w:szCs w:val="20"/>
        </w:rPr>
        <w:t xml:space="preserve"> </w:t>
      </w:r>
      <w:r w:rsidR="009E4FFC" w:rsidRPr="00A51E75">
        <w:rPr>
          <w:rFonts w:ascii="Calibri" w:eastAsia="SimSun" w:hAnsi="Calibri"/>
          <w:sz w:val="20"/>
          <w:szCs w:val="20"/>
        </w:rPr>
        <w:t>(</w:t>
      </w:r>
      <w:hyperlink r:id="rId24" w:history="1">
        <w:r w:rsidR="00D17C85" w:rsidRPr="00A51E75">
          <w:rPr>
            <w:rStyle w:val="Hipervnculo"/>
            <w:rFonts w:ascii="Calibri" w:eastAsia="SimSun" w:hAnsi="Calibri"/>
            <w:sz w:val="20"/>
            <w:szCs w:val="20"/>
          </w:rPr>
          <w:t>https://undp-my.sharepoint.com/node/1796</w:t>
        </w:r>
      </w:hyperlink>
      <w:r w:rsidR="00D17C85" w:rsidRPr="00A51E75">
        <w:rPr>
          <w:rFonts w:ascii="Calibri" w:eastAsia="SimSun" w:hAnsi="Calibri"/>
          <w:sz w:val="20"/>
          <w:szCs w:val="20"/>
        </w:rPr>
        <w:t xml:space="preserve">) </w:t>
      </w:r>
      <w:proofErr w:type="gramStart"/>
      <w:r w:rsidR="00D17C85" w:rsidRPr="00A51E75">
        <w:rPr>
          <w:rFonts w:ascii="Calibri" w:eastAsia="SimSun" w:hAnsi="Calibri"/>
          <w:sz w:val="20"/>
          <w:szCs w:val="20"/>
        </w:rPr>
        <w:t>y  en</w:t>
      </w:r>
      <w:proofErr w:type="gramEnd"/>
      <w:r w:rsidR="00D17C85" w:rsidRPr="00A51E75">
        <w:rPr>
          <w:rFonts w:ascii="Calibri" w:eastAsia="SimSun" w:hAnsi="Calibri"/>
          <w:sz w:val="20"/>
          <w:szCs w:val="20"/>
        </w:rPr>
        <w:t xml:space="preserve"> </w:t>
      </w:r>
      <w:hyperlink r:id="rId25" w:history="1">
        <w:r w:rsidR="009E4FFC" w:rsidRPr="00A51E75">
          <w:rPr>
            <w:rFonts w:ascii="Calibri" w:eastAsia="SimSun" w:hAnsi="Calibri"/>
            <w:color w:val="0000FF"/>
            <w:sz w:val="20"/>
            <w:szCs w:val="20"/>
            <w:u w:val="single"/>
          </w:rPr>
          <w:t>la Guía para revisiones de proyectos del GEF</w:t>
        </w:r>
      </w:hyperlink>
      <w:r w:rsidR="009E4FFC" w:rsidRPr="00A51E75">
        <w:rPr>
          <w:rFonts w:ascii="Calibri" w:eastAsia="SimSun" w:hAnsi="Calibri"/>
          <w:sz w:val="20"/>
          <w:szCs w:val="20"/>
        </w:rPr>
        <w:t>).</w:t>
      </w:r>
    </w:p>
    <w:p w14:paraId="5D6C003B" w14:textId="04313307" w:rsidR="005708E0" w:rsidRPr="00D830D9" w:rsidRDefault="2409565C" w:rsidP="00EC2CBE">
      <w:pPr>
        <w:pStyle w:val="Prrafodelista"/>
        <w:numPr>
          <w:ilvl w:val="0"/>
          <w:numId w:val="3"/>
        </w:numPr>
        <w:tabs>
          <w:tab w:val="clear" w:pos="360"/>
          <w:tab w:val="num" w:pos="0"/>
        </w:tabs>
        <w:ind w:left="0" w:hanging="502"/>
        <w:jc w:val="both"/>
        <w:rPr>
          <w:rFonts w:asciiTheme="minorHAnsi" w:eastAsia="SimSun" w:hAnsiTheme="minorHAnsi" w:cstheme="minorHAnsi"/>
          <w:sz w:val="20"/>
          <w:szCs w:val="20"/>
          <w:lang w:val="es-EC"/>
        </w:rPr>
      </w:pPr>
      <w:r w:rsidRPr="00A51E75">
        <w:rPr>
          <w:rFonts w:ascii="Calibri" w:eastAsia="SimSun" w:hAnsi="Calibri"/>
          <w:b/>
          <w:bCs/>
          <w:sz w:val="20"/>
          <w:szCs w:val="20"/>
        </w:rPr>
        <w:t xml:space="preserve">Reembolso </w:t>
      </w:r>
      <w:r w:rsidR="158F425A" w:rsidRPr="00A51E75">
        <w:rPr>
          <w:rFonts w:asciiTheme="minorHAnsi" w:eastAsia="SimSun" w:hAnsiTheme="minorHAnsi" w:cstheme="minorBidi"/>
          <w:b/>
          <w:bCs/>
          <w:sz w:val="20"/>
          <w:szCs w:val="20"/>
        </w:rPr>
        <w:t xml:space="preserve">al </w:t>
      </w:r>
      <w:r w:rsidR="0078696E">
        <w:rPr>
          <w:rFonts w:asciiTheme="minorHAnsi" w:eastAsia="SimSun" w:hAnsiTheme="minorHAnsi" w:cstheme="minorBidi"/>
          <w:b/>
          <w:bCs/>
          <w:sz w:val="20"/>
          <w:szCs w:val="20"/>
        </w:rPr>
        <w:t>FMAM</w:t>
      </w:r>
      <w:r w:rsidR="158F425A" w:rsidRPr="00A51E75">
        <w:rPr>
          <w:rFonts w:asciiTheme="minorHAnsi" w:eastAsia="SimSun" w:hAnsiTheme="minorHAnsi" w:cstheme="minorBidi"/>
          <w:b/>
          <w:bCs/>
          <w:sz w:val="20"/>
          <w:szCs w:val="20"/>
        </w:rPr>
        <w:t xml:space="preserve">: </w:t>
      </w:r>
      <w:r w:rsidR="22E6A71E" w:rsidRPr="00A51E75">
        <w:rPr>
          <w:rFonts w:ascii="Calibri" w:eastAsia="SimSun" w:hAnsi="Calibri"/>
          <w:sz w:val="20"/>
          <w:szCs w:val="20"/>
        </w:rPr>
        <w:t xml:space="preserve">Si es necesario reembolsar los fondos no gastados al </w:t>
      </w:r>
      <w:r w:rsidR="0078696E">
        <w:rPr>
          <w:rFonts w:ascii="Calibri" w:eastAsia="SimSun" w:hAnsi="Calibri"/>
          <w:sz w:val="20"/>
          <w:szCs w:val="20"/>
        </w:rPr>
        <w:t>FMAM</w:t>
      </w:r>
      <w:r w:rsidR="22E6A71E" w:rsidRPr="00A51E75">
        <w:rPr>
          <w:rFonts w:ascii="Calibri" w:eastAsia="SimSun" w:hAnsi="Calibri"/>
          <w:sz w:val="20"/>
          <w:szCs w:val="20"/>
        </w:rPr>
        <w:t xml:space="preserve">, esto será gestionado directamente por la Dirección del equipo BPPS/NCE en Nueva York. La Oficina Nacional del PNUD no requiere ninguna acción respecto al reembolso real del proyecto del PNUD al </w:t>
      </w:r>
      <w:r w:rsidR="0078696E">
        <w:rPr>
          <w:rFonts w:ascii="Calibri" w:eastAsia="SimSun" w:hAnsi="Calibri"/>
          <w:sz w:val="20"/>
          <w:szCs w:val="20"/>
        </w:rPr>
        <w:t>FMAM</w:t>
      </w:r>
      <w:r w:rsidR="22E6A71E" w:rsidRPr="00A51E75">
        <w:rPr>
          <w:rFonts w:ascii="Calibri" w:eastAsia="SimSun" w:hAnsi="Calibri"/>
          <w:sz w:val="20"/>
          <w:szCs w:val="20"/>
        </w:rPr>
        <w:t>. No se permite transferir saldo de proyecto no gastado a ningún otro proyecto.</w:t>
      </w:r>
    </w:p>
    <w:p w14:paraId="6766F5E4" w14:textId="77777777" w:rsidR="008B6F84" w:rsidRPr="00D830D9" w:rsidRDefault="008B6F84" w:rsidP="008B6F84">
      <w:pPr>
        <w:jc w:val="both"/>
        <w:rPr>
          <w:rFonts w:asciiTheme="minorHAnsi" w:eastAsia="SimSun" w:hAnsiTheme="minorHAnsi" w:cstheme="minorHAnsi"/>
          <w:sz w:val="20"/>
          <w:szCs w:val="20"/>
          <w:lang w:val="es-EC"/>
        </w:rPr>
      </w:pPr>
    </w:p>
    <w:p w14:paraId="73F4243C" w14:textId="77777777" w:rsidR="008B6F84" w:rsidRPr="00D830D9" w:rsidRDefault="008B6F84" w:rsidP="008B6F84">
      <w:pPr>
        <w:jc w:val="both"/>
        <w:rPr>
          <w:rFonts w:asciiTheme="minorHAnsi" w:eastAsia="SimSun" w:hAnsiTheme="minorHAnsi" w:cstheme="minorHAnsi"/>
          <w:sz w:val="20"/>
          <w:szCs w:val="20"/>
          <w:lang w:val="es-EC"/>
        </w:rPr>
        <w:sectPr w:rsidR="008B6F84" w:rsidRPr="00D830D9" w:rsidSect="008B6F84">
          <w:pgSz w:w="12240" w:h="15840" w:code="1"/>
          <w:pgMar w:top="1440" w:right="1440" w:bottom="1440" w:left="1440" w:header="720" w:footer="432" w:gutter="0"/>
          <w:cols w:space="708"/>
          <w:titlePg/>
          <w:docGrid w:linePitch="360"/>
        </w:sectPr>
      </w:pPr>
    </w:p>
    <w:p w14:paraId="3AC49827" w14:textId="04F89C41" w:rsidR="008B6F84" w:rsidRPr="00D830D9" w:rsidRDefault="00211737" w:rsidP="00612EA3">
      <w:pPr>
        <w:keepNext/>
        <w:pBdr>
          <w:top w:val="single" w:sz="4" w:space="1" w:color="auto"/>
        </w:pBdr>
        <w:tabs>
          <w:tab w:val="num" w:pos="720"/>
        </w:tabs>
        <w:suppressAutoHyphens/>
        <w:spacing w:after="60"/>
        <w:ind w:left="720" w:hanging="720"/>
        <w:jc w:val="both"/>
        <w:outlineLvl w:val="0"/>
        <w:rPr>
          <w:rFonts w:asciiTheme="minorHAnsi" w:eastAsia="SimSun" w:hAnsiTheme="minorHAnsi" w:cstheme="minorHAnsi"/>
          <w:i/>
          <w:iCs/>
          <w:color w:val="0000FF"/>
          <w:sz w:val="20"/>
          <w:szCs w:val="20"/>
          <w:u w:val="single"/>
          <w:lang w:val="es-EC"/>
        </w:rPr>
      </w:pPr>
      <w:bookmarkStart w:id="58" w:name="_Toc221696301"/>
      <w:r w:rsidRPr="00A51E75">
        <w:rPr>
          <w:rFonts w:asciiTheme="minorHAnsi" w:eastAsia="SimSun" w:hAnsiTheme="minorHAnsi" w:cstheme="minorHAnsi"/>
          <w:b/>
          <w:smallCaps/>
          <w:spacing w:val="-2"/>
          <w:sz w:val="28"/>
          <w:szCs w:val="20"/>
        </w:rPr>
        <w:lastRenderedPageBreak/>
        <w:t>Presupuesto total y plan de trabajo</w:t>
      </w:r>
      <w:bookmarkEnd w:id="58"/>
    </w:p>
    <w:p w14:paraId="7B163649" w14:textId="07D36ED0" w:rsidR="003606D2" w:rsidRPr="00D830D9" w:rsidRDefault="003606D2" w:rsidP="003606D2">
      <w:pPr>
        <w:pStyle w:val="Descripcin"/>
        <w:keepNext/>
        <w:jc w:val="center"/>
        <w:rPr>
          <w:lang w:val="es-EC"/>
        </w:rPr>
      </w:pPr>
      <w:bookmarkStart w:id="59" w:name="_Toc201073156"/>
      <w:r w:rsidRPr="00A51E75">
        <w:t xml:space="preserve">Tabla </w:t>
      </w:r>
      <w:r w:rsidRPr="00A51E75">
        <w:fldChar w:fldCharType="begin"/>
      </w:r>
      <w:r w:rsidRPr="00A51E75">
        <w:instrText xml:space="preserve"> SEQ Tabla \* ARABIC </w:instrText>
      </w:r>
      <w:r w:rsidRPr="00A51E75">
        <w:fldChar w:fldCharType="separate"/>
      </w:r>
      <w:r w:rsidR="00554466" w:rsidRPr="00A51E75">
        <w:rPr>
          <w:noProof/>
        </w:rPr>
        <w:t>11</w:t>
      </w:r>
      <w:r w:rsidRPr="00A51E75">
        <w:fldChar w:fldCharType="end"/>
      </w:r>
      <w:r w:rsidRPr="00A51E75">
        <w:t>: Presupuesto total y plan de trabajo</w:t>
      </w:r>
      <w:bookmarkEnd w:id="59"/>
    </w:p>
    <w:tbl>
      <w:tblPr>
        <w:tblW w:w="5000"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10" w:type="dxa"/>
          <w:right w:w="10" w:type="dxa"/>
        </w:tblCellMar>
        <w:tblLook w:val="0000" w:firstRow="0" w:lastRow="0" w:firstColumn="0" w:lastColumn="0" w:noHBand="0" w:noVBand="0"/>
      </w:tblPr>
      <w:tblGrid>
        <w:gridCol w:w="3108"/>
        <w:gridCol w:w="2199"/>
        <w:gridCol w:w="1980"/>
        <w:gridCol w:w="7103"/>
      </w:tblGrid>
      <w:tr w:rsidR="00FB3A0D" w:rsidRPr="007D4F41" w14:paraId="37A2EB69" w14:textId="77777777" w:rsidTr="008B6F84">
        <w:trPr>
          <w:cantSplit/>
          <w:trHeight w:val="280"/>
        </w:trPr>
        <w:tc>
          <w:tcPr>
            <w:tcW w:w="5000" w:type="pct"/>
            <w:gridSpan w:val="4"/>
            <w:shd w:val="clear" w:color="auto" w:fill="D9D9D9"/>
            <w:noWrap/>
            <w:vAlign w:val="bottom"/>
          </w:tcPr>
          <w:p w14:paraId="05FC35A7" w14:textId="77777777" w:rsidR="008B6F84" w:rsidRPr="00D830D9" w:rsidRDefault="00211737" w:rsidP="008B6F84">
            <w:pPr>
              <w:spacing w:after="60"/>
              <w:jc w:val="both"/>
              <w:rPr>
                <w:rFonts w:asciiTheme="minorHAnsi" w:eastAsia="SimSun" w:hAnsiTheme="minorHAnsi" w:cstheme="minorHAnsi"/>
                <w:b/>
                <w:sz w:val="18"/>
                <w:szCs w:val="18"/>
                <w:lang w:val="es-EC"/>
              </w:rPr>
            </w:pPr>
            <w:r w:rsidRPr="00A51E75">
              <w:rPr>
                <w:rFonts w:asciiTheme="minorHAnsi" w:eastAsia="SimSun" w:hAnsiTheme="minorHAnsi" w:cstheme="minorHAnsi"/>
                <w:b/>
                <w:sz w:val="18"/>
                <w:szCs w:val="18"/>
              </w:rPr>
              <w:t xml:space="preserve"> Presupuesto total y plan de trabajo</w:t>
            </w:r>
          </w:p>
        </w:tc>
      </w:tr>
      <w:tr w:rsidR="00DA0CD4" w:rsidRPr="00A51E75" w14:paraId="477640BE" w14:textId="77777777" w:rsidTr="008B6F84">
        <w:trPr>
          <w:cantSplit/>
          <w:trHeight w:val="280"/>
        </w:trPr>
        <w:tc>
          <w:tcPr>
            <w:tcW w:w="1080" w:type="pct"/>
            <w:noWrap/>
            <w:vAlign w:val="center"/>
          </w:tcPr>
          <w:p w14:paraId="002DE747" w14:textId="77777777" w:rsidR="008B6F84" w:rsidRPr="00A51E75" w:rsidRDefault="00211737" w:rsidP="008B6F84">
            <w:pPr>
              <w:spacing w:after="60"/>
              <w:jc w:val="both"/>
              <w:rPr>
                <w:rFonts w:asciiTheme="minorHAnsi" w:eastAsia="SimSun" w:hAnsiTheme="minorHAnsi" w:cstheme="minorHAnsi"/>
                <w:color w:val="000000"/>
                <w:sz w:val="18"/>
                <w:szCs w:val="18"/>
                <w:lang w:eastAsia="zh-CN"/>
              </w:rPr>
            </w:pPr>
            <w:r w:rsidRPr="00A51E75">
              <w:rPr>
                <w:rFonts w:asciiTheme="minorHAnsi" w:eastAsia="SimSun" w:hAnsiTheme="minorHAnsi" w:cstheme="minorHAnsi"/>
                <w:color w:val="000000"/>
                <w:sz w:val="18"/>
                <w:szCs w:val="18"/>
                <w:lang w:eastAsia="zh-CN"/>
              </w:rPr>
              <w:t>Unidad de negocio cuántica</w:t>
            </w:r>
          </w:p>
        </w:tc>
        <w:tc>
          <w:tcPr>
            <w:tcW w:w="3920" w:type="pct"/>
            <w:gridSpan w:val="3"/>
            <w:vAlign w:val="center"/>
          </w:tcPr>
          <w:p w14:paraId="7C0E30E2" w14:textId="075C4891" w:rsidR="008B6F84" w:rsidRPr="00A51E75" w:rsidRDefault="00211737" w:rsidP="008B6F84">
            <w:pPr>
              <w:spacing w:after="60"/>
              <w:jc w:val="both"/>
              <w:rPr>
                <w:rFonts w:asciiTheme="minorHAnsi" w:eastAsia="SimSun" w:hAnsiTheme="minorHAnsi" w:cstheme="minorHAnsi"/>
                <w:i/>
                <w:iCs/>
                <w:sz w:val="18"/>
                <w:szCs w:val="18"/>
              </w:rPr>
            </w:pPr>
            <w:r w:rsidRPr="00A51E75">
              <w:rPr>
                <w:rFonts w:asciiTheme="minorHAnsi" w:eastAsia="SimSun" w:hAnsiTheme="minorHAnsi" w:cstheme="minorHAnsi"/>
                <w:sz w:val="20"/>
              </w:rPr>
              <w:t>UNDP-ECU</w:t>
            </w:r>
          </w:p>
        </w:tc>
      </w:tr>
      <w:tr w:rsidR="003103CD" w:rsidRPr="007D4F41" w14:paraId="36BBF3FF" w14:textId="77777777" w:rsidTr="00014877">
        <w:trPr>
          <w:cantSplit/>
          <w:trHeight w:val="280"/>
        </w:trPr>
        <w:tc>
          <w:tcPr>
            <w:tcW w:w="1080" w:type="pct"/>
            <w:noWrap/>
            <w:vAlign w:val="bottom"/>
          </w:tcPr>
          <w:p w14:paraId="1E9E9DCE" w14:textId="77777777" w:rsidR="008B6F84" w:rsidRPr="00A51E75" w:rsidRDefault="00211737" w:rsidP="008B6F84">
            <w:pPr>
              <w:spacing w:after="60"/>
              <w:jc w:val="both"/>
              <w:rPr>
                <w:rFonts w:asciiTheme="minorHAnsi" w:eastAsia="SimSun" w:hAnsiTheme="minorHAnsi" w:cstheme="minorHAnsi"/>
                <w:b/>
                <w:sz w:val="18"/>
                <w:szCs w:val="18"/>
              </w:rPr>
            </w:pPr>
            <w:r w:rsidRPr="00A51E75">
              <w:rPr>
                <w:rFonts w:asciiTheme="minorHAnsi" w:eastAsia="SimSun" w:hAnsiTheme="minorHAnsi" w:cstheme="minorHAnsi"/>
                <w:color w:val="000000"/>
                <w:sz w:val="18"/>
                <w:szCs w:val="18"/>
                <w:lang w:eastAsia="zh-CN"/>
              </w:rPr>
              <w:t xml:space="preserve">ID del Proyecto Cuántico: </w:t>
            </w:r>
          </w:p>
        </w:tc>
        <w:tc>
          <w:tcPr>
            <w:tcW w:w="764" w:type="pct"/>
            <w:vAlign w:val="bottom"/>
          </w:tcPr>
          <w:p w14:paraId="4618A713" w14:textId="35BD6686" w:rsidR="008B6F84" w:rsidRPr="00A51E75" w:rsidRDefault="00014877" w:rsidP="008B6F84">
            <w:pPr>
              <w:spacing w:after="60"/>
              <w:jc w:val="both"/>
              <w:rPr>
                <w:rFonts w:asciiTheme="minorHAnsi" w:eastAsia="SimSun" w:hAnsiTheme="minorHAnsi" w:cstheme="minorHAnsi"/>
                <w:sz w:val="18"/>
                <w:szCs w:val="18"/>
              </w:rPr>
            </w:pPr>
            <w:r w:rsidRPr="00A51E75">
              <w:rPr>
                <w:rFonts w:asciiTheme="minorHAnsi" w:eastAsia="SimSun" w:hAnsiTheme="minorHAnsi" w:cstheme="minorHAnsi"/>
                <w:sz w:val="20"/>
              </w:rPr>
              <w:t>01002464</w:t>
            </w:r>
          </w:p>
        </w:tc>
        <w:tc>
          <w:tcPr>
            <w:tcW w:w="688" w:type="pct"/>
            <w:vAlign w:val="center"/>
          </w:tcPr>
          <w:p w14:paraId="3ACE696E" w14:textId="77777777" w:rsidR="008B6F84" w:rsidRPr="00A51E75" w:rsidRDefault="00211737" w:rsidP="008B6F84">
            <w:pPr>
              <w:spacing w:after="60"/>
              <w:jc w:val="both"/>
              <w:rPr>
                <w:rFonts w:asciiTheme="minorHAnsi" w:eastAsia="SimSun" w:hAnsiTheme="minorHAnsi" w:cstheme="minorHAnsi"/>
                <w:color w:val="000000"/>
                <w:sz w:val="18"/>
                <w:szCs w:val="18"/>
                <w:lang w:eastAsia="zh-CN"/>
              </w:rPr>
            </w:pPr>
            <w:r w:rsidRPr="00A51E75">
              <w:rPr>
                <w:rFonts w:asciiTheme="minorHAnsi" w:eastAsia="SimSun" w:hAnsiTheme="minorHAnsi" w:cstheme="minorHAnsi"/>
                <w:color w:val="000000"/>
                <w:sz w:val="18"/>
                <w:szCs w:val="18"/>
                <w:lang w:eastAsia="zh-CN"/>
              </w:rPr>
              <w:t>Título del proyecto Quantum:</w:t>
            </w:r>
          </w:p>
        </w:tc>
        <w:tc>
          <w:tcPr>
            <w:tcW w:w="2468" w:type="pct"/>
            <w:vAlign w:val="bottom"/>
          </w:tcPr>
          <w:p w14:paraId="1BAF7F86" w14:textId="3642DC30" w:rsidR="008B6F84" w:rsidRPr="00D830D9" w:rsidRDefault="00014877" w:rsidP="008B6F84">
            <w:pPr>
              <w:spacing w:after="60"/>
              <w:jc w:val="both"/>
              <w:rPr>
                <w:rFonts w:asciiTheme="minorHAnsi" w:eastAsia="SimSun" w:hAnsiTheme="minorHAnsi" w:cstheme="minorHAnsi"/>
                <w:sz w:val="18"/>
                <w:szCs w:val="18"/>
                <w:lang w:val="es-EC"/>
              </w:rPr>
            </w:pPr>
            <w:r w:rsidRPr="00A51E75">
              <w:rPr>
                <w:rFonts w:asciiTheme="minorHAnsi" w:eastAsia="SimSun" w:hAnsiTheme="minorHAnsi" w:cstheme="minorHAnsi"/>
                <w:sz w:val="20"/>
              </w:rPr>
              <w:t xml:space="preserve">Gestión integrada del paisaje en la cuenca del río Napo para </w:t>
            </w:r>
            <w:r w:rsidR="00DF5BFB">
              <w:rPr>
                <w:rFonts w:asciiTheme="minorHAnsi" w:eastAsia="SimSun" w:hAnsiTheme="minorHAnsi" w:cstheme="minorHAnsi"/>
                <w:sz w:val="20"/>
              </w:rPr>
              <w:t>un</w:t>
            </w:r>
            <w:r w:rsidRPr="00A51E75">
              <w:rPr>
                <w:rFonts w:asciiTheme="minorHAnsi" w:eastAsia="SimSun" w:hAnsiTheme="minorHAnsi" w:cstheme="minorHAnsi"/>
                <w:sz w:val="20"/>
              </w:rPr>
              <w:t xml:space="preserve"> </w:t>
            </w:r>
            <w:r w:rsidR="000A54C4">
              <w:rPr>
                <w:rFonts w:asciiTheme="minorHAnsi" w:eastAsia="SimSun" w:hAnsiTheme="minorHAnsi" w:cstheme="minorHAnsi"/>
                <w:sz w:val="20"/>
              </w:rPr>
              <w:t>Manejo Sostenible de la Tierra</w:t>
            </w:r>
            <w:r w:rsidRPr="00A51E75">
              <w:rPr>
                <w:rFonts w:asciiTheme="minorHAnsi" w:eastAsia="SimSun" w:hAnsiTheme="minorHAnsi" w:cstheme="minorHAnsi"/>
                <w:sz w:val="20"/>
              </w:rPr>
              <w:t xml:space="preserve"> y la conservación de la biodiversidad</w:t>
            </w:r>
          </w:p>
        </w:tc>
      </w:tr>
      <w:tr w:rsidR="002004CC" w:rsidRPr="00A51E75" w14:paraId="6658E012" w14:textId="77777777" w:rsidTr="00014877">
        <w:trPr>
          <w:cantSplit/>
          <w:trHeight w:val="280"/>
        </w:trPr>
        <w:tc>
          <w:tcPr>
            <w:tcW w:w="1080" w:type="pct"/>
            <w:noWrap/>
            <w:vAlign w:val="bottom"/>
          </w:tcPr>
          <w:p w14:paraId="638C5FF1" w14:textId="77777777" w:rsidR="008B6F84" w:rsidRPr="00A51E75" w:rsidRDefault="00211737" w:rsidP="008B6F84">
            <w:pPr>
              <w:spacing w:after="60"/>
              <w:jc w:val="both"/>
              <w:rPr>
                <w:rFonts w:asciiTheme="minorHAnsi" w:eastAsia="SimSun" w:hAnsiTheme="minorHAnsi" w:cstheme="minorHAnsi"/>
                <w:color w:val="000000"/>
                <w:sz w:val="18"/>
                <w:szCs w:val="18"/>
                <w:lang w:eastAsia="zh-CN"/>
              </w:rPr>
            </w:pPr>
            <w:r w:rsidRPr="00A51E75">
              <w:rPr>
                <w:rFonts w:asciiTheme="minorHAnsi" w:eastAsia="SimSun" w:hAnsiTheme="minorHAnsi" w:cstheme="minorHAnsi"/>
                <w:color w:val="000000"/>
                <w:sz w:val="18"/>
                <w:szCs w:val="18"/>
                <w:lang w:eastAsia="zh-CN"/>
              </w:rPr>
              <w:t>ID del Premio Cuántico:</w:t>
            </w:r>
          </w:p>
        </w:tc>
        <w:tc>
          <w:tcPr>
            <w:tcW w:w="764" w:type="pct"/>
            <w:vAlign w:val="bottom"/>
          </w:tcPr>
          <w:p w14:paraId="1B498662" w14:textId="28881972" w:rsidR="008B6F84" w:rsidRPr="00A51E75" w:rsidRDefault="00014877" w:rsidP="008B6F84">
            <w:pPr>
              <w:spacing w:after="60"/>
              <w:jc w:val="both"/>
              <w:rPr>
                <w:rFonts w:asciiTheme="minorHAnsi" w:eastAsia="SimSun" w:hAnsiTheme="minorHAnsi" w:cstheme="minorHAnsi"/>
                <w:sz w:val="18"/>
                <w:szCs w:val="18"/>
              </w:rPr>
            </w:pPr>
            <w:r w:rsidRPr="00A51E75">
              <w:rPr>
                <w:rFonts w:asciiTheme="minorHAnsi" w:eastAsia="SimSun" w:hAnsiTheme="minorHAnsi" w:cstheme="minorHAnsi"/>
                <w:sz w:val="20"/>
              </w:rPr>
              <w:t>1255810</w:t>
            </w:r>
          </w:p>
        </w:tc>
        <w:tc>
          <w:tcPr>
            <w:tcW w:w="688" w:type="pct"/>
            <w:vAlign w:val="center"/>
          </w:tcPr>
          <w:p w14:paraId="6EB50B4E" w14:textId="77777777" w:rsidR="008B6F84" w:rsidRPr="00A51E75" w:rsidRDefault="00211737" w:rsidP="008B6F84">
            <w:pPr>
              <w:spacing w:after="60"/>
              <w:jc w:val="both"/>
              <w:rPr>
                <w:rFonts w:asciiTheme="minorHAnsi" w:eastAsia="SimSun" w:hAnsiTheme="minorHAnsi" w:cstheme="minorHAnsi"/>
                <w:color w:val="000000"/>
                <w:sz w:val="18"/>
                <w:szCs w:val="18"/>
                <w:lang w:eastAsia="zh-CN"/>
              </w:rPr>
            </w:pPr>
            <w:r w:rsidRPr="00A51E75">
              <w:rPr>
                <w:rFonts w:asciiTheme="minorHAnsi" w:eastAsia="SimSun" w:hAnsiTheme="minorHAnsi" w:cstheme="minorHAnsi"/>
                <w:color w:val="000000"/>
                <w:sz w:val="18"/>
                <w:szCs w:val="18"/>
                <w:lang w:eastAsia="zh-CN"/>
              </w:rPr>
              <w:t>Título del Premio Cuántico:</w:t>
            </w:r>
          </w:p>
        </w:tc>
        <w:tc>
          <w:tcPr>
            <w:tcW w:w="2468" w:type="pct"/>
            <w:vAlign w:val="bottom"/>
          </w:tcPr>
          <w:p w14:paraId="327FA7E6" w14:textId="77777777" w:rsidR="008B6F84" w:rsidRPr="00A51E75" w:rsidRDefault="00211737" w:rsidP="008B6F84">
            <w:pPr>
              <w:spacing w:after="60"/>
              <w:jc w:val="both"/>
              <w:rPr>
                <w:rFonts w:asciiTheme="minorHAnsi" w:eastAsia="SimSun" w:hAnsiTheme="minorHAnsi" w:cstheme="minorHAnsi"/>
                <w:i/>
                <w:iCs/>
                <w:sz w:val="18"/>
                <w:szCs w:val="18"/>
              </w:rPr>
            </w:pPr>
            <w:r w:rsidRPr="00A51E75">
              <w:rPr>
                <w:rFonts w:asciiTheme="minorHAnsi" w:eastAsia="SimSun" w:hAnsiTheme="minorHAnsi" w:cstheme="minorHAnsi"/>
                <w:i/>
                <w:iCs/>
                <w:sz w:val="18"/>
                <w:szCs w:val="18"/>
              </w:rPr>
              <w:t>Como en Cuántico</w:t>
            </w:r>
          </w:p>
        </w:tc>
      </w:tr>
      <w:tr w:rsidR="001B5E63" w:rsidRPr="00A51E75" w14:paraId="3FA9A501" w14:textId="77777777" w:rsidTr="008B6F84">
        <w:trPr>
          <w:trHeight w:val="280"/>
        </w:trPr>
        <w:tc>
          <w:tcPr>
            <w:tcW w:w="1080" w:type="pct"/>
            <w:tcBorders>
              <w:top w:val="nil"/>
              <w:left w:val="single" w:sz="4" w:space="0" w:color="auto"/>
              <w:bottom w:val="single" w:sz="4" w:space="0" w:color="auto"/>
              <w:right w:val="single" w:sz="4" w:space="0" w:color="auto"/>
            </w:tcBorders>
            <w:noWrap/>
            <w:vAlign w:val="center"/>
            <w:hideMark/>
          </w:tcPr>
          <w:p w14:paraId="7A98F13F" w14:textId="23CE9CC0" w:rsidR="008B6F84" w:rsidRPr="00A51E75" w:rsidRDefault="00211737" w:rsidP="008B6F84">
            <w:pPr>
              <w:spacing w:after="60"/>
              <w:jc w:val="both"/>
              <w:rPr>
                <w:rFonts w:asciiTheme="minorHAnsi" w:eastAsia="SimSun" w:hAnsiTheme="minorHAnsi" w:cstheme="minorHAnsi"/>
                <w:bCs/>
                <w:color w:val="000000"/>
                <w:sz w:val="18"/>
                <w:szCs w:val="18"/>
                <w:lang w:eastAsia="zh-CN"/>
              </w:rPr>
            </w:pPr>
            <w:r w:rsidRPr="00A51E75">
              <w:rPr>
                <w:rFonts w:asciiTheme="minorHAnsi" w:eastAsia="SimSun" w:hAnsiTheme="minorHAnsi" w:cstheme="minorHAnsi"/>
                <w:bCs/>
                <w:color w:val="000000"/>
                <w:sz w:val="18"/>
                <w:szCs w:val="18"/>
                <w:lang w:eastAsia="zh-CN"/>
              </w:rPr>
              <w:t>PIMS DE LA UNDP-</w:t>
            </w:r>
            <w:r w:rsidR="0078696E">
              <w:rPr>
                <w:rFonts w:asciiTheme="minorHAnsi" w:eastAsia="SimSun" w:hAnsiTheme="minorHAnsi" w:cstheme="minorHAnsi"/>
                <w:bCs/>
                <w:color w:val="000000"/>
                <w:sz w:val="18"/>
                <w:szCs w:val="18"/>
                <w:lang w:eastAsia="zh-CN"/>
              </w:rPr>
              <w:t>FMAM</w:t>
            </w:r>
            <w:r w:rsidRPr="00A51E75">
              <w:rPr>
                <w:rFonts w:asciiTheme="minorHAnsi" w:eastAsia="SimSun" w:hAnsiTheme="minorHAnsi" w:cstheme="minorHAnsi"/>
                <w:bCs/>
                <w:color w:val="000000"/>
                <w:sz w:val="18"/>
                <w:szCs w:val="18"/>
                <w:lang w:eastAsia="zh-CN"/>
              </w:rPr>
              <w:t xml:space="preserve"> </w:t>
            </w:r>
            <w:proofErr w:type="spellStart"/>
            <w:r w:rsidRPr="00A51E75">
              <w:rPr>
                <w:rFonts w:asciiTheme="minorHAnsi" w:eastAsia="SimSun" w:hAnsiTheme="minorHAnsi" w:cstheme="minorHAnsi"/>
                <w:bCs/>
                <w:color w:val="000000"/>
                <w:sz w:val="18"/>
                <w:szCs w:val="18"/>
                <w:lang w:eastAsia="zh-CN"/>
              </w:rPr>
              <w:t>Nº</w:t>
            </w:r>
            <w:proofErr w:type="spellEnd"/>
            <w:r w:rsidRPr="00A51E75">
              <w:rPr>
                <w:rFonts w:asciiTheme="minorHAnsi" w:eastAsia="SimSun" w:hAnsiTheme="minorHAnsi" w:cstheme="minorHAnsi"/>
                <w:bCs/>
                <w:color w:val="000000"/>
                <w:sz w:val="18"/>
                <w:szCs w:val="18"/>
                <w:lang w:eastAsia="zh-CN"/>
              </w:rPr>
              <w:t xml:space="preserve"> </w:t>
            </w:r>
          </w:p>
        </w:tc>
        <w:tc>
          <w:tcPr>
            <w:tcW w:w="3920" w:type="pct"/>
            <w:gridSpan w:val="3"/>
            <w:tcBorders>
              <w:top w:val="single" w:sz="4" w:space="0" w:color="auto"/>
              <w:left w:val="nil"/>
              <w:bottom w:val="single" w:sz="4" w:space="0" w:color="auto"/>
              <w:right w:val="single" w:sz="4" w:space="0" w:color="auto"/>
            </w:tcBorders>
            <w:noWrap/>
            <w:vAlign w:val="center"/>
            <w:hideMark/>
          </w:tcPr>
          <w:p w14:paraId="586BEE81" w14:textId="2B1B625A" w:rsidR="008B6F84" w:rsidRPr="00A51E75" w:rsidRDefault="00946E1A" w:rsidP="008B6F84">
            <w:pPr>
              <w:spacing w:after="60"/>
              <w:jc w:val="both"/>
              <w:rPr>
                <w:rFonts w:asciiTheme="minorHAnsi" w:eastAsia="SimSun" w:hAnsiTheme="minorHAnsi" w:cstheme="minorHAnsi"/>
                <w:sz w:val="20"/>
              </w:rPr>
            </w:pPr>
            <w:r w:rsidRPr="00A51E75">
              <w:rPr>
                <w:rFonts w:asciiTheme="minorHAnsi" w:eastAsia="SimSun" w:hAnsiTheme="minorHAnsi" w:cstheme="minorHAnsi"/>
                <w:sz w:val="20"/>
              </w:rPr>
              <w:t>9648</w:t>
            </w:r>
          </w:p>
        </w:tc>
      </w:tr>
      <w:tr w:rsidR="001B5E63" w:rsidRPr="007D4F41" w14:paraId="5AB753ED" w14:textId="77777777" w:rsidTr="008B6F84">
        <w:trPr>
          <w:trHeight w:val="280"/>
        </w:trPr>
        <w:tc>
          <w:tcPr>
            <w:tcW w:w="1080" w:type="pct"/>
            <w:tcBorders>
              <w:top w:val="nil"/>
              <w:left w:val="single" w:sz="4" w:space="0" w:color="auto"/>
              <w:bottom w:val="single" w:sz="4" w:space="0" w:color="auto"/>
              <w:right w:val="single" w:sz="4" w:space="0" w:color="auto"/>
            </w:tcBorders>
            <w:vAlign w:val="center"/>
            <w:hideMark/>
          </w:tcPr>
          <w:p w14:paraId="6A2BDE8B" w14:textId="77777777" w:rsidR="008B6F84" w:rsidRPr="00A51E75" w:rsidRDefault="00211737" w:rsidP="008B6F84">
            <w:pPr>
              <w:spacing w:after="60"/>
              <w:jc w:val="both"/>
              <w:rPr>
                <w:rFonts w:asciiTheme="minorHAnsi" w:eastAsia="SimSun" w:hAnsiTheme="minorHAnsi" w:cstheme="minorHAnsi"/>
                <w:bCs/>
                <w:color w:val="000000"/>
                <w:sz w:val="18"/>
                <w:szCs w:val="18"/>
                <w:lang w:eastAsia="zh-CN"/>
              </w:rPr>
            </w:pPr>
            <w:r w:rsidRPr="00A51E75">
              <w:rPr>
                <w:rFonts w:asciiTheme="minorHAnsi" w:eastAsia="SimSun" w:hAnsiTheme="minorHAnsi" w:cstheme="minorHAnsi"/>
                <w:bCs/>
                <w:color w:val="000000"/>
                <w:sz w:val="18"/>
                <w:szCs w:val="18"/>
                <w:lang w:eastAsia="zh-CN"/>
              </w:rPr>
              <w:t xml:space="preserve">Socio Implementador </w:t>
            </w:r>
          </w:p>
        </w:tc>
        <w:tc>
          <w:tcPr>
            <w:tcW w:w="3920" w:type="pct"/>
            <w:gridSpan w:val="3"/>
            <w:tcBorders>
              <w:top w:val="single" w:sz="4" w:space="0" w:color="auto"/>
              <w:left w:val="nil"/>
              <w:bottom w:val="single" w:sz="4" w:space="0" w:color="auto"/>
              <w:right w:val="single" w:sz="4" w:space="0" w:color="auto"/>
            </w:tcBorders>
            <w:noWrap/>
            <w:vAlign w:val="center"/>
            <w:hideMark/>
          </w:tcPr>
          <w:p w14:paraId="300569C4" w14:textId="68BA1508" w:rsidR="008B6F84" w:rsidRPr="00D830D9" w:rsidRDefault="001F48AE" w:rsidP="008B6F84">
            <w:pPr>
              <w:spacing w:after="60"/>
              <w:jc w:val="both"/>
              <w:rPr>
                <w:rFonts w:asciiTheme="minorHAnsi" w:eastAsia="SimSun" w:hAnsiTheme="minorHAnsi" w:cstheme="minorHAnsi"/>
                <w:bCs/>
                <w:iCs/>
                <w:color w:val="000000"/>
                <w:sz w:val="20"/>
                <w:szCs w:val="20"/>
                <w:lang w:val="es-EC" w:eastAsia="zh-CN"/>
              </w:rPr>
            </w:pPr>
            <w:r>
              <w:rPr>
                <w:rFonts w:asciiTheme="minorHAnsi" w:eastAsia="SimSun" w:hAnsiTheme="minorHAnsi" w:cstheme="minorHAnsi"/>
                <w:bCs/>
                <w:iCs/>
                <w:color w:val="000000"/>
                <w:sz w:val="20"/>
                <w:szCs w:val="20"/>
                <w:lang w:eastAsia="zh-CN"/>
              </w:rPr>
              <w:t>Ministerio de Medio Ambiente y Energía</w:t>
            </w:r>
            <w:r w:rsidR="00811740" w:rsidRPr="00A51E75">
              <w:rPr>
                <w:rFonts w:asciiTheme="minorHAnsi" w:eastAsia="SimSun" w:hAnsiTheme="minorHAnsi" w:cstheme="minorHAnsi"/>
                <w:bCs/>
                <w:iCs/>
                <w:color w:val="000000"/>
                <w:sz w:val="20"/>
                <w:szCs w:val="20"/>
                <w:lang w:eastAsia="zh-CN"/>
              </w:rPr>
              <w:t xml:space="preserve"> (</w:t>
            </w:r>
            <w:r w:rsidR="009E221F">
              <w:rPr>
                <w:rFonts w:asciiTheme="minorHAnsi" w:eastAsia="SimSun" w:hAnsiTheme="minorHAnsi" w:cstheme="minorHAnsi"/>
                <w:bCs/>
                <w:iCs/>
                <w:color w:val="000000"/>
                <w:sz w:val="20"/>
                <w:szCs w:val="20"/>
                <w:lang w:eastAsia="zh-CN"/>
              </w:rPr>
              <w:t>MAE</w:t>
            </w:r>
            <w:r w:rsidR="00811740" w:rsidRPr="00A51E75">
              <w:rPr>
                <w:rFonts w:asciiTheme="minorHAnsi" w:eastAsia="SimSun" w:hAnsiTheme="minorHAnsi" w:cstheme="minorHAnsi"/>
                <w:bCs/>
                <w:iCs/>
                <w:color w:val="000000"/>
                <w:sz w:val="20"/>
                <w:szCs w:val="20"/>
                <w:lang w:eastAsia="zh-CN"/>
              </w:rPr>
              <w:t>)</w:t>
            </w:r>
          </w:p>
        </w:tc>
      </w:tr>
    </w:tbl>
    <w:p w14:paraId="461B8F20" w14:textId="77777777" w:rsidR="008B6F84" w:rsidRPr="00D830D9" w:rsidRDefault="008B6F84" w:rsidP="1D9DC7A6">
      <w:pPr>
        <w:spacing w:after="60"/>
        <w:jc w:val="both"/>
        <w:rPr>
          <w:rFonts w:asciiTheme="minorHAnsi" w:eastAsia="SimSun" w:hAnsiTheme="minorHAnsi" w:cstheme="minorBidi"/>
          <w:sz w:val="18"/>
          <w:szCs w:val="18"/>
          <w:lang w:val="es-EC"/>
        </w:rPr>
      </w:pPr>
    </w:p>
    <w:p w14:paraId="6521599E" w14:textId="0481E771" w:rsidR="784B2722" w:rsidRPr="00D830D9" w:rsidRDefault="784B2722">
      <w:pPr>
        <w:rPr>
          <w:lang w:val="es-EC"/>
        </w:rPr>
      </w:pPr>
    </w:p>
    <w:p w14:paraId="1D198763" w14:textId="77777777" w:rsidR="001E40B9" w:rsidRPr="00D830D9" w:rsidRDefault="001E40B9">
      <w:pPr>
        <w:rPr>
          <w:lang w:val="es-EC"/>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3"/>
        <w:gridCol w:w="1871"/>
        <w:gridCol w:w="849"/>
        <w:gridCol w:w="708"/>
        <w:gridCol w:w="708"/>
        <w:gridCol w:w="708"/>
        <w:gridCol w:w="1839"/>
        <w:gridCol w:w="935"/>
        <w:gridCol w:w="935"/>
        <w:gridCol w:w="938"/>
        <w:gridCol w:w="935"/>
        <w:gridCol w:w="935"/>
        <w:gridCol w:w="826"/>
        <w:gridCol w:w="360"/>
      </w:tblGrid>
      <w:tr w:rsidR="001E40B9" w:rsidRPr="00A51E75" w14:paraId="424AFD36" w14:textId="77777777" w:rsidTr="00B303D6">
        <w:trPr>
          <w:cantSplit/>
          <w:trHeight w:val="1920"/>
        </w:trPr>
        <w:tc>
          <w:tcPr>
            <w:tcW w:w="640" w:type="pct"/>
            <w:shd w:val="clear" w:color="auto" w:fill="BDD6EE" w:themeFill="accent5" w:themeFillTint="66"/>
            <w:vAlign w:val="center"/>
            <w:hideMark/>
          </w:tcPr>
          <w:p w14:paraId="06558568" w14:textId="2CABE64B" w:rsidR="001E40B9" w:rsidRPr="00A51E75" w:rsidRDefault="001E40B9" w:rsidP="00B303D6">
            <w:pPr>
              <w:rPr>
                <w:rFonts w:ascii="Aptos Narrow" w:hAnsi="Aptos Narrow"/>
                <w:b/>
                <w:bCs/>
                <w:color w:val="000000"/>
                <w:sz w:val="16"/>
                <w:szCs w:val="16"/>
              </w:rPr>
            </w:pPr>
            <w:r w:rsidRPr="00A51E75">
              <w:rPr>
                <w:rFonts w:ascii="Aptos Narrow" w:hAnsi="Aptos Narrow"/>
                <w:b/>
                <w:bCs/>
                <w:color w:val="000000"/>
                <w:sz w:val="16"/>
                <w:szCs w:val="16"/>
              </w:rPr>
              <w:t xml:space="preserve">Resultado cuántico (componente </w:t>
            </w:r>
            <w:r w:rsidR="0078696E">
              <w:rPr>
                <w:rFonts w:ascii="Aptos Narrow" w:hAnsi="Aptos Narrow"/>
                <w:b/>
                <w:bCs/>
                <w:color w:val="000000"/>
                <w:sz w:val="16"/>
                <w:szCs w:val="16"/>
              </w:rPr>
              <w:t>FMAM</w:t>
            </w:r>
            <w:r w:rsidRPr="00A51E75">
              <w:rPr>
                <w:rFonts w:ascii="Aptos Narrow" w:hAnsi="Aptos Narrow"/>
                <w:b/>
                <w:bCs/>
                <w:color w:val="000000"/>
                <w:sz w:val="16"/>
                <w:szCs w:val="16"/>
              </w:rPr>
              <w:t>)</w:t>
            </w:r>
          </w:p>
        </w:tc>
        <w:tc>
          <w:tcPr>
            <w:tcW w:w="650" w:type="pct"/>
            <w:shd w:val="clear" w:color="auto" w:fill="BDD6EE" w:themeFill="accent5" w:themeFillTint="66"/>
            <w:vAlign w:val="center"/>
            <w:hideMark/>
          </w:tcPr>
          <w:p w14:paraId="19EBAA4B" w14:textId="1AF1DAD3" w:rsidR="001E40B9" w:rsidRPr="00A51E75" w:rsidRDefault="001E40B9" w:rsidP="00B303D6">
            <w:pPr>
              <w:rPr>
                <w:rFonts w:ascii="Aptos Narrow" w:hAnsi="Aptos Narrow"/>
                <w:b/>
                <w:bCs/>
                <w:color w:val="000000"/>
                <w:sz w:val="16"/>
                <w:szCs w:val="16"/>
              </w:rPr>
            </w:pPr>
            <w:r w:rsidRPr="00A51E75">
              <w:rPr>
                <w:rFonts w:ascii="Aptos Narrow" w:hAnsi="Aptos Narrow"/>
                <w:b/>
                <w:bCs/>
                <w:color w:val="000000"/>
                <w:sz w:val="16"/>
                <w:szCs w:val="16"/>
              </w:rPr>
              <w:t xml:space="preserve">Salida cuántica (componente </w:t>
            </w:r>
            <w:r w:rsidR="0078696E">
              <w:rPr>
                <w:rFonts w:ascii="Aptos Narrow" w:hAnsi="Aptos Narrow"/>
                <w:b/>
                <w:bCs/>
                <w:color w:val="000000"/>
                <w:sz w:val="16"/>
                <w:szCs w:val="16"/>
              </w:rPr>
              <w:t>FMAM</w:t>
            </w:r>
            <w:r w:rsidRPr="00A51E75">
              <w:rPr>
                <w:rFonts w:ascii="Aptos Narrow" w:hAnsi="Aptos Narrow"/>
                <w:b/>
                <w:bCs/>
                <w:color w:val="000000"/>
                <w:sz w:val="16"/>
                <w:szCs w:val="16"/>
              </w:rPr>
              <w:t>)</w:t>
            </w:r>
          </w:p>
        </w:tc>
        <w:tc>
          <w:tcPr>
            <w:tcW w:w="295" w:type="pct"/>
            <w:shd w:val="clear" w:color="auto" w:fill="BDD6EE" w:themeFill="accent5" w:themeFillTint="66"/>
            <w:vAlign w:val="center"/>
            <w:hideMark/>
          </w:tcPr>
          <w:p w14:paraId="00F0CBFA" w14:textId="77777777" w:rsidR="001E40B9" w:rsidRPr="00D830D9" w:rsidRDefault="001E40B9" w:rsidP="00B303D6">
            <w:pPr>
              <w:rPr>
                <w:rFonts w:ascii="Aptos Narrow" w:hAnsi="Aptos Narrow"/>
                <w:b/>
                <w:bCs/>
                <w:color w:val="000000"/>
                <w:sz w:val="16"/>
                <w:szCs w:val="16"/>
                <w:lang w:val="es-EC"/>
              </w:rPr>
            </w:pPr>
            <w:r w:rsidRPr="00A51E75">
              <w:rPr>
                <w:rFonts w:ascii="Aptos Narrow" w:hAnsi="Aptos Narrow"/>
                <w:b/>
                <w:bCs/>
                <w:color w:val="000000"/>
                <w:sz w:val="16"/>
                <w:szCs w:val="16"/>
              </w:rPr>
              <w:t>Parte responsable en Quantum (PNUD, IP o Parte Responsable)</w:t>
            </w:r>
            <w:r w:rsidRPr="00A51E75">
              <w:rPr>
                <w:rStyle w:val="Refdenotaalpie"/>
                <w:rFonts w:ascii="Aptos Narrow" w:hAnsi="Aptos Narrow"/>
                <w:b/>
                <w:bCs/>
                <w:color w:val="000000"/>
                <w:sz w:val="16"/>
                <w:szCs w:val="16"/>
              </w:rPr>
              <w:footnoteReference w:id="18"/>
            </w:r>
          </w:p>
        </w:tc>
        <w:tc>
          <w:tcPr>
            <w:tcW w:w="246" w:type="pct"/>
            <w:shd w:val="clear" w:color="auto" w:fill="BDD6EE" w:themeFill="accent5" w:themeFillTint="66"/>
            <w:vAlign w:val="center"/>
            <w:hideMark/>
          </w:tcPr>
          <w:p w14:paraId="30CDE94C" w14:textId="77777777" w:rsidR="001E40B9" w:rsidRPr="00A51E75" w:rsidRDefault="001E40B9" w:rsidP="00B303D6">
            <w:pPr>
              <w:rPr>
                <w:rFonts w:ascii="Aptos Narrow" w:hAnsi="Aptos Narrow"/>
                <w:b/>
                <w:bCs/>
                <w:color w:val="000000"/>
                <w:sz w:val="16"/>
                <w:szCs w:val="16"/>
              </w:rPr>
            </w:pPr>
            <w:r w:rsidRPr="00A51E75">
              <w:rPr>
                <w:rFonts w:ascii="Aptos Narrow" w:hAnsi="Aptos Narrow"/>
                <w:b/>
                <w:bCs/>
                <w:color w:val="000000"/>
                <w:sz w:val="16"/>
                <w:szCs w:val="16"/>
              </w:rPr>
              <w:t>Quantum Fund ID</w:t>
            </w:r>
          </w:p>
        </w:tc>
        <w:tc>
          <w:tcPr>
            <w:tcW w:w="246" w:type="pct"/>
            <w:shd w:val="clear" w:color="auto" w:fill="BDD6EE" w:themeFill="accent5" w:themeFillTint="66"/>
            <w:vAlign w:val="center"/>
            <w:hideMark/>
          </w:tcPr>
          <w:p w14:paraId="667BDA48" w14:textId="77777777" w:rsidR="001E40B9" w:rsidRPr="00A51E75" w:rsidRDefault="001E40B9" w:rsidP="00B303D6">
            <w:pPr>
              <w:rPr>
                <w:rFonts w:ascii="Aptos Narrow" w:hAnsi="Aptos Narrow"/>
                <w:b/>
                <w:bCs/>
                <w:color w:val="000000"/>
                <w:sz w:val="16"/>
                <w:szCs w:val="16"/>
              </w:rPr>
            </w:pPr>
            <w:r w:rsidRPr="00A51E75">
              <w:rPr>
                <w:rFonts w:ascii="Aptos Narrow" w:hAnsi="Aptos Narrow"/>
                <w:b/>
                <w:bCs/>
                <w:color w:val="000000"/>
                <w:sz w:val="16"/>
                <w:szCs w:val="16"/>
              </w:rPr>
              <w:t>Identificación cuántica de donante</w:t>
            </w:r>
          </w:p>
        </w:tc>
        <w:tc>
          <w:tcPr>
            <w:tcW w:w="246" w:type="pct"/>
            <w:shd w:val="clear" w:color="auto" w:fill="BDD6EE" w:themeFill="accent5" w:themeFillTint="66"/>
            <w:vAlign w:val="center"/>
            <w:hideMark/>
          </w:tcPr>
          <w:p w14:paraId="3871E10C" w14:textId="77777777" w:rsidR="001E40B9" w:rsidRPr="00A51E75" w:rsidRDefault="001E40B9" w:rsidP="00B303D6">
            <w:pPr>
              <w:rPr>
                <w:rFonts w:ascii="Aptos Narrow" w:hAnsi="Aptos Narrow"/>
                <w:b/>
                <w:bCs/>
                <w:color w:val="000000"/>
                <w:sz w:val="16"/>
                <w:szCs w:val="16"/>
              </w:rPr>
            </w:pPr>
            <w:r w:rsidRPr="00A51E75">
              <w:rPr>
                <w:rFonts w:ascii="Aptos Narrow" w:hAnsi="Aptos Narrow"/>
                <w:b/>
                <w:bCs/>
                <w:color w:val="000000"/>
                <w:sz w:val="16"/>
                <w:szCs w:val="16"/>
              </w:rPr>
              <w:t>Código de Cuenta Presupuestaria Cuántica</w:t>
            </w:r>
          </w:p>
        </w:tc>
        <w:tc>
          <w:tcPr>
            <w:tcW w:w="639" w:type="pct"/>
            <w:shd w:val="clear" w:color="auto" w:fill="BDD6EE" w:themeFill="accent5" w:themeFillTint="66"/>
            <w:vAlign w:val="center"/>
            <w:hideMark/>
          </w:tcPr>
          <w:p w14:paraId="03D36646" w14:textId="77777777" w:rsidR="001E40B9" w:rsidRPr="00A51E75" w:rsidRDefault="001E40B9" w:rsidP="00B303D6">
            <w:pPr>
              <w:rPr>
                <w:rFonts w:ascii="Aptos Narrow" w:hAnsi="Aptos Narrow"/>
                <w:b/>
                <w:bCs/>
                <w:color w:val="000000"/>
                <w:sz w:val="16"/>
                <w:szCs w:val="16"/>
              </w:rPr>
            </w:pPr>
            <w:r w:rsidRPr="00A51E75">
              <w:rPr>
                <w:rFonts w:ascii="Aptos Narrow" w:hAnsi="Aptos Narrow"/>
                <w:b/>
                <w:bCs/>
                <w:color w:val="000000"/>
                <w:sz w:val="16"/>
                <w:szCs w:val="16"/>
              </w:rPr>
              <w:t>Descripción de la cuenta presupuestaria cuántica</w:t>
            </w:r>
          </w:p>
        </w:tc>
        <w:tc>
          <w:tcPr>
            <w:tcW w:w="325" w:type="pct"/>
            <w:shd w:val="clear" w:color="auto" w:fill="BDD6EE" w:themeFill="accent5" w:themeFillTint="66"/>
            <w:vAlign w:val="center"/>
            <w:hideMark/>
          </w:tcPr>
          <w:p w14:paraId="600747E5" w14:textId="77777777" w:rsidR="001E40B9" w:rsidRPr="00A51E75" w:rsidRDefault="001E40B9" w:rsidP="00B303D6">
            <w:pPr>
              <w:jc w:val="center"/>
              <w:rPr>
                <w:rFonts w:ascii="Aptos Narrow" w:hAnsi="Aptos Narrow"/>
                <w:b/>
                <w:bCs/>
                <w:color w:val="000000"/>
                <w:sz w:val="16"/>
                <w:szCs w:val="16"/>
              </w:rPr>
            </w:pPr>
            <w:r w:rsidRPr="00A51E75">
              <w:rPr>
                <w:rFonts w:ascii="Aptos Narrow" w:hAnsi="Aptos Narrow"/>
                <w:b/>
                <w:bCs/>
                <w:color w:val="000000"/>
                <w:sz w:val="16"/>
                <w:szCs w:val="16"/>
              </w:rPr>
              <w:t>Año de importe: 2026 (USD)</w:t>
            </w:r>
          </w:p>
        </w:tc>
        <w:tc>
          <w:tcPr>
            <w:tcW w:w="325" w:type="pct"/>
            <w:shd w:val="clear" w:color="auto" w:fill="BDD6EE" w:themeFill="accent5" w:themeFillTint="66"/>
            <w:vAlign w:val="center"/>
            <w:hideMark/>
          </w:tcPr>
          <w:p w14:paraId="125E0C70" w14:textId="77777777" w:rsidR="001E40B9" w:rsidRPr="00A51E75" w:rsidRDefault="001E40B9" w:rsidP="00B303D6">
            <w:pPr>
              <w:jc w:val="center"/>
              <w:rPr>
                <w:rFonts w:ascii="Aptos Narrow" w:hAnsi="Aptos Narrow"/>
                <w:b/>
                <w:bCs/>
                <w:color w:val="000000"/>
                <w:sz w:val="16"/>
                <w:szCs w:val="16"/>
              </w:rPr>
            </w:pPr>
            <w:r w:rsidRPr="00A51E75">
              <w:rPr>
                <w:rFonts w:ascii="Aptos Narrow" w:hAnsi="Aptos Narrow"/>
                <w:b/>
                <w:bCs/>
                <w:color w:val="000000"/>
                <w:sz w:val="16"/>
                <w:szCs w:val="16"/>
              </w:rPr>
              <w:t>Año de importe: 2027 (USD)</w:t>
            </w:r>
          </w:p>
        </w:tc>
        <w:tc>
          <w:tcPr>
            <w:tcW w:w="326" w:type="pct"/>
            <w:shd w:val="clear" w:color="auto" w:fill="BDD6EE" w:themeFill="accent5" w:themeFillTint="66"/>
            <w:vAlign w:val="center"/>
            <w:hideMark/>
          </w:tcPr>
          <w:p w14:paraId="3D0FDBE9" w14:textId="77777777" w:rsidR="001E40B9" w:rsidRPr="00A51E75" w:rsidRDefault="001E40B9" w:rsidP="00B303D6">
            <w:pPr>
              <w:jc w:val="center"/>
              <w:rPr>
                <w:rFonts w:ascii="Aptos Narrow" w:hAnsi="Aptos Narrow"/>
                <w:b/>
                <w:bCs/>
                <w:color w:val="000000"/>
                <w:sz w:val="16"/>
                <w:szCs w:val="16"/>
              </w:rPr>
            </w:pPr>
            <w:r w:rsidRPr="00A51E75">
              <w:rPr>
                <w:rFonts w:ascii="Aptos Narrow" w:hAnsi="Aptos Narrow"/>
                <w:b/>
                <w:bCs/>
                <w:color w:val="000000"/>
                <w:sz w:val="16"/>
                <w:szCs w:val="16"/>
              </w:rPr>
              <w:t>Año de importe: 2028 (USD)</w:t>
            </w:r>
          </w:p>
        </w:tc>
        <w:tc>
          <w:tcPr>
            <w:tcW w:w="325" w:type="pct"/>
            <w:shd w:val="clear" w:color="auto" w:fill="BDD6EE" w:themeFill="accent5" w:themeFillTint="66"/>
            <w:vAlign w:val="center"/>
            <w:hideMark/>
          </w:tcPr>
          <w:p w14:paraId="24744E77" w14:textId="77777777" w:rsidR="001E40B9" w:rsidRPr="00A51E75" w:rsidRDefault="001E40B9" w:rsidP="00B303D6">
            <w:pPr>
              <w:jc w:val="center"/>
              <w:rPr>
                <w:rFonts w:ascii="Aptos Narrow" w:hAnsi="Aptos Narrow"/>
                <w:b/>
                <w:bCs/>
                <w:color w:val="000000"/>
                <w:sz w:val="16"/>
                <w:szCs w:val="16"/>
              </w:rPr>
            </w:pPr>
            <w:r w:rsidRPr="00A51E75">
              <w:rPr>
                <w:rFonts w:ascii="Aptos Narrow" w:hAnsi="Aptos Narrow"/>
                <w:b/>
                <w:bCs/>
                <w:color w:val="000000"/>
                <w:sz w:val="16"/>
                <w:szCs w:val="16"/>
              </w:rPr>
              <w:t>Año de importe: 2029 (USD)</w:t>
            </w:r>
          </w:p>
        </w:tc>
        <w:tc>
          <w:tcPr>
            <w:tcW w:w="325" w:type="pct"/>
            <w:shd w:val="clear" w:color="auto" w:fill="BDD6EE" w:themeFill="accent5" w:themeFillTint="66"/>
            <w:vAlign w:val="center"/>
            <w:hideMark/>
          </w:tcPr>
          <w:p w14:paraId="1CF2F663" w14:textId="77777777" w:rsidR="001E40B9" w:rsidRPr="00A51E75" w:rsidRDefault="001E40B9" w:rsidP="00B303D6">
            <w:pPr>
              <w:jc w:val="center"/>
              <w:rPr>
                <w:rFonts w:ascii="Aptos Narrow" w:hAnsi="Aptos Narrow"/>
                <w:b/>
                <w:bCs/>
                <w:color w:val="000000"/>
                <w:sz w:val="16"/>
                <w:szCs w:val="16"/>
              </w:rPr>
            </w:pPr>
            <w:r w:rsidRPr="00A51E75">
              <w:rPr>
                <w:rFonts w:ascii="Aptos Narrow" w:hAnsi="Aptos Narrow"/>
                <w:b/>
                <w:bCs/>
                <w:color w:val="000000"/>
                <w:sz w:val="16"/>
                <w:szCs w:val="16"/>
              </w:rPr>
              <w:t>Año de importe: 2030 (USD)</w:t>
            </w:r>
          </w:p>
        </w:tc>
        <w:tc>
          <w:tcPr>
            <w:tcW w:w="287" w:type="pct"/>
            <w:shd w:val="clear" w:color="auto" w:fill="BDD6EE" w:themeFill="accent5" w:themeFillTint="66"/>
            <w:vAlign w:val="center"/>
            <w:hideMark/>
          </w:tcPr>
          <w:p w14:paraId="2FE2EE8F" w14:textId="77777777" w:rsidR="001E40B9" w:rsidRPr="00A51E75" w:rsidRDefault="001E40B9" w:rsidP="00B303D6">
            <w:pPr>
              <w:jc w:val="center"/>
              <w:rPr>
                <w:rFonts w:ascii="Aptos Narrow" w:hAnsi="Aptos Narrow"/>
                <w:b/>
                <w:bCs/>
                <w:color w:val="000000"/>
                <w:sz w:val="16"/>
                <w:szCs w:val="16"/>
              </w:rPr>
            </w:pPr>
            <w:r w:rsidRPr="00A51E75">
              <w:rPr>
                <w:rFonts w:ascii="Aptos Narrow" w:hAnsi="Aptos Narrow"/>
                <w:b/>
                <w:bCs/>
                <w:color w:val="000000"/>
                <w:sz w:val="16"/>
                <w:szCs w:val="16"/>
              </w:rPr>
              <w:t>Total (USD)</w:t>
            </w:r>
          </w:p>
        </w:tc>
        <w:tc>
          <w:tcPr>
            <w:tcW w:w="125" w:type="pct"/>
            <w:shd w:val="clear" w:color="auto" w:fill="BDD6EE" w:themeFill="accent5" w:themeFillTint="66"/>
            <w:textDirection w:val="btLr"/>
            <w:vAlign w:val="center"/>
            <w:hideMark/>
          </w:tcPr>
          <w:p w14:paraId="2FE6BF70" w14:textId="77777777" w:rsidR="001E40B9" w:rsidRPr="00A51E75" w:rsidRDefault="001E40B9" w:rsidP="00B303D6">
            <w:pPr>
              <w:ind w:left="113" w:right="113"/>
              <w:jc w:val="center"/>
              <w:rPr>
                <w:rFonts w:ascii="Calibri" w:hAnsi="Calibri" w:cs="Calibri"/>
                <w:b/>
                <w:bCs/>
                <w:color w:val="000000"/>
                <w:sz w:val="16"/>
                <w:szCs w:val="16"/>
              </w:rPr>
            </w:pPr>
            <w:r w:rsidRPr="00A51E75">
              <w:rPr>
                <w:rFonts w:ascii="Calibri" w:hAnsi="Calibri" w:cs="Calibri"/>
                <w:b/>
                <w:bCs/>
                <w:color w:val="000000"/>
                <w:sz w:val="16"/>
                <w:szCs w:val="16"/>
              </w:rPr>
              <w:t>Ver Nota:</w:t>
            </w:r>
          </w:p>
        </w:tc>
      </w:tr>
      <w:tr w:rsidR="001E40B9" w:rsidRPr="00A51E75" w14:paraId="0F9D28B2" w14:textId="77777777" w:rsidTr="00B303D6">
        <w:trPr>
          <w:trHeight w:val="320"/>
        </w:trPr>
        <w:tc>
          <w:tcPr>
            <w:tcW w:w="640" w:type="pct"/>
            <w:vMerge w:val="restart"/>
            <w:noWrap/>
            <w:vAlign w:val="center"/>
            <w:hideMark/>
          </w:tcPr>
          <w:p w14:paraId="51E0CC12" w14:textId="77777777" w:rsidR="001E40B9" w:rsidRPr="00D830D9" w:rsidRDefault="001E40B9" w:rsidP="00B303D6">
            <w:pPr>
              <w:rPr>
                <w:rFonts w:ascii="Calibri" w:hAnsi="Calibri" w:cs="Calibri"/>
                <w:b/>
                <w:bCs/>
                <w:color w:val="000000"/>
                <w:sz w:val="16"/>
                <w:szCs w:val="16"/>
                <w:lang w:val="es-EC"/>
              </w:rPr>
            </w:pPr>
            <w:r w:rsidRPr="00A51E75">
              <w:rPr>
                <w:rFonts w:ascii="Calibri" w:hAnsi="Calibri" w:cs="Calibri"/>
                <w:b/>
                <w:bCs/>
                <w:color w:val="000000"/>
                <w:sz w:val="16"/>
                <w:szCs w:val="16"/>
              </w:rPr>
              <w:t>Componente 1: Marco de gobernanza y coordinación multinivel para la gestión territorial</w:t>
            </w:r>
          </w:p>
        </w:tc>
        <w:tc>
          <w:tcPr>
            <w:tcW w:w="650" w:type="pct"/>
            <w:vMerge w:val="restart"/>
            <w:noWrap/>
            <w:vAlign w:val="center"/>
            <w:hideMark/>
          </w:tcPr>
          <w:p w14:paraId="3801A502" w14:textId="77777777" w:rsidR="001E40B9" w:rsidRPr="00D830D9" w:rsidRDefault="001E40B9" w:rsidP="00B303D6">
            <w:pPr>
              <w:rPr>
                <w:rFonts w:ascii="Calibri" w:hAnsi="Calibri" w:cs="Calibri"/>
                <w:b/>
                <w:bCs/>
                <w:color w:val="000000"/>
                <w:sz w:val="16"/>
                <w:szCs w:val="16"/>
                <w:lang w:val="es-EC"/>
              </w:rPr>
            </w:pPr>
            <w:r w:rsidRPr="00A51E75">
              <w:rPr>
                <w:rFonts w:ascii="Calibri" w:hAnsi="Calibri" w:cs="Calibri"/>
                <w:b/>
                <w:bCs/>
                <w:color w:val="000000"/>
                <w:sz w:val="16"/>
                <w:szCs w:val="16"/>
              </w:rPr>
              <w:t>Resultado 1.1: El marco regulatorio y los instrumentos de planificación territorial local se fortalecen mediante métodos participativos para la gestión integrada del paisaje, la biodiversidad y los recursos hídricos:</w:t>
            </w:r>
          </w:p>
        </w:tc>
        <w:tc>
          <w:tcPr>
            <w:tcW w:w="295" w:type="pct"/>
            <w:noWrap/>
            <w:vAlign w:val="center"/>
            <w:hideMark/>
          </w:tcPr>
          <w:p w14:paraId="322408BB" w14:textId="713F8602" w:rsidR="001E40B9" w:rsidRPr="00A51E75" w:rsidRDefault="00C15440" w:rsidP="00B303D6">
            <w:pPr>
              <w:rPr>
                <w:rFonts w:ascii="Calibri" w:hAnsi="Calibri" w:cs="Calibri"/>
                <w:color w:val="000000"/>
                <w:sz w:val="18"/>
                <w:szCs w:val="18"/>
              </w:rPr>
            </w:pPr>
            <w:r>
              <w:rPr>
                <w:rFonts w:ascii="Calibri" w:hAnsi="Calibri" w:cs="Calibri"/>
                <w:color w:val="000000"/>
                <w:sz w:val="18"/>
                <w:szCs w:val="18"/>
              </w:rPr>
              <w:t>PNUD</w:t>
            </w:r>
          </w:p>
        </w:tc>
        <w:tc>
          <w:tcPr>
            <w:tcW w:w="246" w:type="pct"/>
            <w:noWrap/>
            <w:vAlign w:val="center"/>
            <w:hideMark/>
          </w:tcPr>
          <w:p w14:paraId="2B6FC0F5"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794A345E"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2EC7F149" w14:textId="77777777" w:rsidR="001E40B9" w:rsidRPr="00A51E75" w:rsidRDefault="001E40B9" w:rsidP="00B303D6">
            <w:pPr>
              <w:rPr>
                <w:rFonts w:ascii="Calibri" w:hAnsi="Calibri" w:cs="Calibri"/>
                <w:b/>
                <w:bCs/>
                <w:color w:val="000000"/>
                <w:sz w:val="18"/>
                <w:szCs w:val="18"/>
              </w:rPr>
            </w:pPr>
            <w:r w:rsidRPr="00A51E75">
              <w:rPr>
                <w:rFonts w:ascii="Calibri" w:hAnsi="Calibri" w:cs="Calibri"/>
                <w:b/>
                <w:bCs/>
                <w:color w:val="000000"/>
                <w:sz w:val="18"/>
                <w:szCs w:val="18"/>
              </w:rPr>
              <w:t>71200</w:t>
            </w:r>
          </w:p>
        </w:tc>
        <w:tc>
          <w:tcPr>
            <w:tcW w:w="639" w:type="pct"/>
            <w:vAlign w:val="center"/>
            <w:hideMark/>
          </w:tcPr>
          <w:p w14:paraId="4780502A"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Consultores internacionales</w:t>
            </w:r>
          </w:p>
        </w:tc>
        <w:tc>
          <w:tcPr>
            <w:tcW w:w="325" w:type="pct"/>
            <w:noWrap/>
            <w:vAlign w:val="center"/>
            <w:hideMark/>
          </w:tcPr>
          <w:p w14:paraId="20904283"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13,151</w:t>
            </w:r>
          </w:p>
        </w:tc>
        <w:tc>
          <w:tcPr>
            <w:tcW w:w="325" w:type="pct"/>
            <w:noWrap/>
            <w:vAlign w:val="center"/>
            <w:hideMark/>
          </w:tcPr>
          <w:p w14:paraId="59545A9A" w14:textId="77777777" w:rsidR="001E40B9" w:rsidRPr="00A51E75" w:rsidRDefault="001E40B9" w:rsidP="00B303D6">
            <w:pPr>
              <w:jc w:val="right"/>
              <w:rPr>
                <w:rFonts w:ascii="Calibri" w:hAnsi="Calibri" w:cs="Calibri"/>
                <w:color w:val="000000"/>
                <w:sz w:val="16"/>
                <w:szCs w:val="16"/>
              </w:rPr>
            </w:pPr>
          </w:p>
        </w:tc>
        <w:tc>
          <w:tcPr>
            <w:tcW w:w="326" w:type="pct"/>
            <w:noWrap/>
            <w:vAlign w:val="center"/>
            <w:hideMark/>
          </w:tcPr>
          <w:p w14:paraId="1424BCEF" w14:textId="77777777" w:rsidR="001E40B9" w:rsidRPr="00A51E75" w:rsidRDefault="001E40B9" w:rsidP="00B303D6">
            <w:pPr>
              <w:jc w:val="right"/>
              <w:rPr>
                <w:sz w:val="16"/>
                <w:szCs w:val="16"/>
              </w:rPr>
            </w:pPr>
          </w:p>
        </w:tc>
        <w:tc>
          <w:tcPr>
            <w:tcW w:w="325" w:type="pct"/>
            <w:noWrap/>
            <w:vAlign w:val="center"/>
            <w:hideMark/>
          </w:tcPr>
          <w:p w14:paraId="6070E162" w14:textId="77777777" w:rsidR="001E40B9" w:rsidRPr="00A51E75" w:rsidRDefault="001E40B9" w:rsidP="00B303D6">
            <w:pPr>
              <w:jc w:val="right"/>
              <w:rPr>
                <w:sz w:val="16"/>
                <w:szCs w:val="16"/>
              </w:rPr>
            </w:pPr>
          </w:p>
        </w:tc>
        <w:tc>
          <w:tcPr>
            <w:tcW w:w="325" w:type="pct"/>
            <w:noWrap/>
            <w:vAlign w:val="center"/>
            <w:hideMark/>
          </w:tcPr>
          <w:p w14:paraId="65834E28" w14:textId="77777777" w:rsidR="001E40B9" w:rsidRPr="00A51E75" w:rsidRDefault="001E40B9" w:rsidP="00B303D6">
            <w:pPr>
              <w:jc w:val="right"/>
              <w:rPr>
                <w:sz w:val="16"/>
                <w:szCs w:val="16"/>
              </w:rPr>
            </w:pPr>
          </w:p>
        </w:tc>
        <w:tc>
          <w:tcPr>
            <w:tcW w:w="287" w:type="pct"/>
            <w:noWrap/>
            <w:vAlign w:val="center"/>
            <w:hideMark/>
          </w:tcPr>
          <w:p w14:paraId="795A4166"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13,151</w:t>
            </w:r>
          </w:p>
        </w:tc>
        <w:tc>
          <w:tcPr>
            <w:tcW w:w="125" w:type="pct"/>
            <w:noWrap/>
            <w:vAlign w:val="center"/>
            <w:hideMark/>
          </w:tcPr>
          <w:p w14:paraId="168BE356" w14:textId="77777777" w:rsidR="001E40B9" w:rsidRPr="00A51E75" w:rsidRDefault="001E40B9" w:rsidP="00B303D6">
            <w:pPr>
              <w:jc w:val="center"/>
              <w:rPr>
                <w:rFonts w:ascii="Calibri" w:hAnsi="Calibri" w:cs="Calibri"/>
                <w:color w:val="000000"/>
                <w:sz w:val="16"/>
                <w:szCs w:val="16"/>
              </w:rPr>
            </w:pPr>
            <w:r w:rsidRPr="00A51E75">
              <w:rPr>
                <w:rFonts w:ascii="Calibri" w:hAnsi="Calibri" w:cs="Calibri"/>
                <w:color w:val="000000"/>
                <w:sz w:val="16"/>
                <w:szCs w:val="16"/>
              </w:rPr>
              <w:t>1</w:t>
            </w:r>
          </w:p>
        </w:tc>
      </w:tr>
      <w:tr w:rsidR="00C15440" w:rsidRPr="00A51E75" w14:paraId="5BB16D7E" w14:textId="77777777" w:rsidTr="001509F9">
        <w:trPr>
          <w:trHeight w:val="300"/>
        </w:trPr>
        <w:tc>
          <w:tcPr>
            <w:tcW w:w="640" w:type="pct"/>
            <w:vMerge/>
            <w:noWrap/>
            <w:vAlign w:val="center"/>
            <w:hideMark/>
          </w:tcPr>
          <w:p w14:paraId="1B2EEEF6"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729212FB" w14:textId="77777777" w:rsidR="00C15440" w:rsidRPr="00A51E75" w:rsidRDefault="00C15440" w:rsidP="00C15440">
            <w:pPr>
              <w:rPr>
                <w:sz w:val="16"/>
                <w:szCs w:val="16"/>
              </w:rPr>
            </w:pPr>
          </w:p>
        </w:tc>
        <w:tc>
          <w:tcPr>
            <w:tcW w:w="295" w:type="pct"/>
            <w:noWrap/>
            <w:hideMark/>
          </w:tcPr>
          <w:p w14:paraId="68EF0930" w14:textId="460B6620" w:rsidR="00C15440" w:rsidRPr="00A51E75" w:rsidRDefault="00C15440" w:rsidP="00C15440">
            <w:pPr>
              <w:rPr>
                <w:sz w:val="18"/>
                <w:szCs w:val="18"/>
              </w:rPr>
            </w:pPr>
            <w:r w:rsidRPr="00601625">
              <w:rPr>
                <w:rFonts w:ascii="Calibri" w:hAnsi="Calibri" w:cs="Calibri"/>
                <w:color w:val="000000"/>
                <w:sz w:val="18"/>
                <w:szCs w:val="18"/>
              </w:rPr>
              <w:t>PNUD</w:t>
            </w:r>
          </w:p>
        </w:tc>
        <w:tc>
          <w:tcPr>
            <w:tcW w:w="246" w:type="pct"/>
            <w:noWrap/>
            <w:vAlign w:val="center"/>
            <w:hideMark/>
          </w:tcPr>
          <w:p w14:paraId="354066C2" w14:textId="08E46255"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02B2DEAC" w14:textId="3C9CFE11"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31516D2"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noWrap/>
            <w:vAlign w:val="center"/>
            <w:hideMark/>
          </w:tcPr>
          <w:p w14:paraId="7B1941D1"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12FEE35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85,437</w:t>
            </w:r>
          </w:p>
        </w:tc>
        <w:tc>
          <w:tcPr>
            <w:tcW w:w="325" w:type="pct"/>
            <w:noWrap/>
            <w:vAlign w:val="center"/>
            <w:hideMark/>
          </w:tcPr>
          <w:p w14:paraId="57654B1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170,874</w:t>
            </w:r>
          </w:p>
        </w:tc>
        <w:tc>
          <w:tcPr>
            <w:tcW w:w="326" w:type="pct"/>
            <w:noWrap/>
            <w:vAlign w:val="center"/>
            <w:hideMark/>
          </w:tcPr>
          <w:p w14:paraId="63FF79B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170,874</w:t>
            </w:r>
          </w:p>
        </w:tc>
        <w:tc>
          <w:tcPr>
            <w:tcW w:w="325" w:type="pct"/>
            <w:noWrap/>
            <w:vAlign w:val="center"/>
            <w:hideMark/>
          </w:tcPr>
          <w:p w14:paraId="5AEC533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113,916</w:t>
            </w:r>
          </w:p>
        </w:tc>
        <w:tc>
          <w:tcPr>
            <w:tcW w:w="325" w:type="pct"/>
            <w:vAlign w:val="center"/>
            <w:hideMark/>
          </w:tcPr>
          <w:p w14:paraId="37405B1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28,479</w:t>
            </w:r>
          </w:p>
        </w:tc>
        <w:tc>
          <w:tcPr>
            <w:tcW w:w="287" w:type="pct"/>
            <w:noWrap/>
            <w:vAlign w:val="center"/>
            <w:hideMark/>
          </w:tcPr>
          <w:p w14:paraId="3AF438F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569,580</w:t>
            </w:r>
          </w:p>
        </w:tc>
        <w:tc>
          <w:tcPr>
            <w:tcW w:w="125" w:type="pct"/>
            <w:noWrap/>
            <w:vAlign w:val="center"/>
            <w:hideMark/>
          </w:tcPr>
          <w:p w14:paraId="463AE008"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w:t>
            </w:r>
          </w:p>
        </w:tc>
      </w:tr>
      <w:tr w:rsidR="00C15440" w:rsidRPr="00A51E75" w14:paraId="394ACC94" w14:textId="77777777" w:rsidTr="001509F9">
        <w:trPr>
          <w:trHeight w:val="300"/>
        </w:trPr>
        <w:tc>
          <w:tcPr>
            <w:tcW w:w="640" w:type="pct"/>
            <w:vMerge/>
            <w:noWrap/>
            <w:vAlign w:val="center"/>
            <w:hideMark/>
          </w:tcPr>
          <w:p w14:paraId="40C26BC4"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7DAD14BE" w14:textId="77777777" w:rsidR="00C15440" w:rsidRPr="00A51E75" w:rsidRDefault="00C15440" w:rsidP="00C15440">
            <w:pPr>
              <w:rPr>
                <w:sz w:val="16"/>
                <w:szCs w:val="16"/>
              </w:rPr>
            </w:pPr>
          </w:p>
        </w:tc>
        <w:tc>
          <w:tcPr>
            <w:tcW w:w="295" w:type="pct"/>
            <w:noWrap/>
            <w:hideMark/>
          </w:tcPr>
          <w:p w14:paraId="7401B55B" w14:textId="3E59C320" w:rsidR="00C15440" w:rsidRPr="00A51E75" w:rsidRDefault="00C15440" w:rsidP="00C15440">
            <w:pPr>
              <w:rPr>
                <w:sz w:val="18"/>
                <w:szCs w:val="18"/>
              </w:rPr>
            </w:pPr>
            <w:r w:rsidRPr="00601625">
              <w:rPr>
                <w:rFonts w:ascii="Calibri" w:hAnsi="Calibri" w:cs="Calibri"/>
                <w:color w:val="000000"/>
                <w:sz w:val="18"/>
                <w:szCs w:val="18"/>
              </w:rPr>
              <w:t>PNUD</w:t>
            </w:r>
          </w:p>
        </w:tc>
        <w:tc>
          <w:tcPr>
            <w:tcW w:w="246" w:type="pct"/>
            <w:noWrap/>
            <w:vAlign w:val="center"/>
            <w:hideMark/>
          </w:tcPr>
          <w:p w14:paraId="0097597A" w14:textId="6DCBABF0"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495042B6" w14:textId="39900741"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71C0C19"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71600</w:t>
            </w:r>
          </w:p>
        </w:tc>
        <w:tc>
          <w:tcPr>
            <w:tcW w:w="639" w:type="pct"/>
            <w:noWrap/>
            <w:vAlign w:val="center"/>
            <w:hideMark/>
          </w:tcPr>
          <w:p w14:paraId="7A08E110"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Viajes</w:t>
            </w:r>
          </w:p>
        </w:tc>
        <w:tc>
          <w:tcPr>
            <w:tcW w:w="325" w:type="pct"/>
            <w:noWrap/>
            <w:vAlign w:val="center"/>
            <w:hideMark/>
          </w:tcPr>
          <w:p w14:paraId="41AF15A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18,178</w:t>
            </w:r>
          </w:p>
        </w:tc>
        <w:tc>
          <w:tcPr>
            <w:tcW w:w="325" w:type="pct"/>
            <w:noWrap/>
            <w:vAlign w:val="center"/>
            <w:hideMark/>
          </w:tcPr>
          <w:p w14:paraId="74DF7938"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12,119</w:t>
            </w:r>
          </w:p>
        </w:tc>
        <w:tc>
          <w:tcPr>
            <w:tcW w:w="326" w:type="pct"/>
            <w:noWrap/>
            <w:vAlign w:val="center"/>
            <w:hideMark/>
          </w:tcPr>
          <w:p w14:paraId="3C3A3E5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12,119</w:t>
            </w:r>
          </w:p>
        </w:tc>
        <w:tc>
          <w:tcPr>
            <w:tcW w:w="325" w:type="pct"/>
            <w:noWrap/>
            <w:vAlign w:val="center"/>
            <w:hideMark/>
          </w:tcPr>
          <w:p w14:paraId="2176B07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12,119</w:t>
            </w:r>
          </w:p>
        </w:tc>
        <w:tc>
          <w:tcPr>
            <w:tcW w:w="325" w:type="pct"/>
            <w:vAlign w:val="center"/>
            <w:hideMark/>
          </w:tcPr>
          <w:p w14:paraId="615D117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6,059</w:t>
            </w:r>
          </w:p>
        </w:tc>
        <w:tc>
          <w:tcPr>
            <w:tcW w:w="287" w:type="pct"/>
            <w:noWrap/>
            <w:vAlign w:val="center"/>
            <w:hideMark/>
          </w:tcPr>
          <w:p w14:paraId="4A74A1B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60,594</w:t>
            </w:r>
          </w:p>
        </w:tc>
        <w:tc>
          <w:tcPr>
            <w:tcW w:w="125" w:type="pct"/>
            <w:noWrap/>
            <w:vAlign w:val="center"/>
            <w:hideMark/>
          </w:tcPr>
          <w:p w14:paraId="776D5B0C"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w:t>
            </w:r>
          </w:p>
        </w:tc>
      </w:tr>
      <w:tr w:rsidR="00C15440" w:rsidRPr="00A51E75" w14:paraId="3345D672" w14:textId="77777777" w:rsidTr="001509F9">
        <w:trPr>
          <w:trHeight w:val="640"/>
        </w:trPr>
        <w:tc>
          <w:tcPr>
            <w:tcW w:w="640" w:type="pct"/>
            <w:vMerge/>
            <w:noWrap/>
            <w:vAlign w:val="center"/>
            <w:hideMark/>
          </w:tcPr>
          <w:p w14:paraId="05970EEE"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0F2466AD" w14:textId="77777777" w:rsidR="00C15440" w:rsidRPr="00A51E75" w:rsidRDefault="00C15440" w:rsidP="00C15440">
            <w:pPr>
              <w:rPr>
                <w:sz w:val="16"/>
                <w:szCs w:val="16"/>
              </w:rPr>
            </w:pPr>
          </w:p>
        </w:tc>
        <w:tc>
          <w:tcPr>
            <w:tcW w:w="295" w:type="pct"/>
            <w:noWrap/>
            <w:hideMark/>
          </w:tcPr>
          <w:p w14:paraId="0283C6C1" w14:textId="149F72E0" w:rsidR="00C15440" w:rsidRPr="00A51E75" w:rsidRDefault="00C15440" w:rsidP="00C15440">
            <w:pPr>
              <w:rPr>
                <w:sz w:val="18"/>
                <w:szCs w:val="18"/>
              </w:rPr>
            </w:pPr>
            <w:r w:rsidRPr="00601625">
              <w:rPr>
                <w:rFonts w:ascii="Calibri" w:hAnsi="Calibri" w:cs="Calibri"/>
                <w:color w:val="000000"/>
                <w:sz w:val="18"/>
                <w:szCs w:val="18"/>
              </w:rPr>
              <w:t>PNUD</w:t>
            </w:r>
          </w:p>
        </w:tc>
        <w:tc>
          <w:tcPr>
            <w:tcW w:w="246" w:type="pct"/>
            <w:noWrap/>
            <w:vAlign w:val="center"/>
            <w:hideMark/>
          </w:tcPr>
          <w:p w14:paraId="146C8DAB" w14:textId="65732632"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23838B67" w14:textId="0D8D4759"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0887B454"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72100</w:t>
            </w:r>
          </w:p>
        </w:tc>
        <w:tc>
          <w:tcPr>
            <w:tcW w:w="639" w:type="pct"/>
            <w:vAlign w:val="center"/>
            <w:hideMark/>
          </w:tcPr>
          <w:p w14:paraId="591DC00C"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Empresas</w:t>
            </w:r>
          </w:p>
        </w:tc>
        <w:tc>
          <w:tcPr>
            <w:tcW w:w="325" w:type="pct"/>
            <w:noWrap/>
            <w:vAlign w:val="center"/>
            <w:hideMark/>
          </w:tcPr>
          <w:p w14:paraId="655D7BC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24,852</w:t>
            </w:r>
          </w:p>
        </w:tc>
        <w:tc>
          <w:tcPr>
            <w:tcW w:w="325" w:type="pct"/>
            <w:noWrap/>
            <w:vAlign w:val="center"/>
            <w:hideMark/>
          </w:tcPr>
          <w:p w14:paraId="4E625EF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31,694</w:t>
            </w:r>
          </w:p>
        </w:tc>
        <w:tc>
          <w:tcPr>
            <w:tcW w:w="326" w:type="pct"/>
            <w:noWrap/>
            <w:vAlign w:val="center"/>
            <w:hideMark/>
          </w:tcPr>
          <w:p w14:paraId="2EE1926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32,239</w:t>
            </w:r>
          </w:p>
        </w:tc>
        <w:tc>
          <w:tcPr>
            <w:tcW w:w="325" w:type="pct"/>
            <w:noWrap/>
            <w:vAlign w:val="center"/>
            <w:hideMark/>
          </w:tcPr>
          <w:p w14:paraId="1EBB4CF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25,080</w:t>
            </w:r>
          </w:p>
        </w:tc>
        <w:tc>
          <w:tcPr>
            <w:tcW w:w="325" w:type="pct"/>
            <w:noWrap/>
            <w:vAlign w:val="center"/>
            <w:hideMark/>
          </w:tcPr>
          <w:p w14:paraId="12858D9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32,380</w:t>
            </w:r>
          </w:p>
        </w:tc>
        <w:tc>
          <w:tcPr>
            <w:tcW w:w="287" w:type="pct"/>
            <w:noWrap/>
            <w:vAlign w:val="center"/>
            <w:hideMark/>
          </w:tcPr>
          <w:p w14:paraId="28964B4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146,245</w:t>
            </w:r>
          </w:p>
        </w:tc>
        <w:tc>
          <w:tcPr>
            <w:tcW w:w="125" w:type="pct"/>
            <w:noWrap/>
            <w:vAlign w:val="center"/>
            <w:hideMark/>
          </w:tcPr>
          <w:p w14:paraId="28D29FB6"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4</w:t>
            </w:r>
          </w:p>
        </w:tc>
      </w:tr>
      <w:tr w:rsidR="001E40B9" w:rsidRPr="00A51E75" w14:paraId="3EE5D28C" w14:textId="77777777" w:rsidTr="00B303D6">
        <w:trPr>
          <w:trHeight w:val="300"/>
        </w:trPr>
        <w:tc>
          <w:tcPr>
            <w:tcW w:w="640" w:type="pct"/>
            <w:vMerge/>
            <w:noWrap/>
            <w:vAlign w:val="center"/>
            <w:hideMark/>
          </w:tcPr>
          <w:p w14:paraId="19409847"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5E1E8C7F" w14:textId="77777777" w:rsidR="001E40B9" w:rsidRPr="00A51E75" w:rsidRDefault="001E40B9" w:rsidP="00B303D6">
            <w:pPr>
              <w:rPr>
                <w:sz w:val="16"/>
                <w:szCs w:val="16"/>
              </w:rPr>
            </w:pPr>
          </w:p>
        </w:tc>
        <w:tc>
          <w:tcPr>
            <w:tcW w:w="295" w:type="pct"/>
            <w:noWrap/>
            <w:vAlign w:val="center"/>
            <w:hideMark/>
          </w:tcPr>
          <w:p w14:paraId="5500C086" w14:textId="0E89ECFD"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18E6AD19"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648B5872" w14:textId="77777777" w:rsidR="001E40B9" w:rsidRPr="00A51E75" w:rsidRDefault="001E40B9" w:rsidP="00B303D6">
            <w:pPr>
              <w:rPr>
                <w:sz w:val="18"/>
                <w:szCs w:val="18"/>
              </w:rPr>
            </w:pPr>
          </w:p>
        </w:tc>
        <w:tc>
          <w:tcPr>
            <w:tcW w:w="246" w:type="pct"/>
            <w:noWrap/>
            <w:vAlign w:val="center"/>
            <w:hideMark/>
          </w:tcPr>
          <w:p w14:paraId="50CCE860" w14:textId="77777777" w:rsidR="001E40B9" w:rsidRPr="00A51E75" w:rsidRDefault="001E40B9" w:rsidP="00B303D6">
            <w:pPr>
              <w:rPr>
                <w:sz w:val="18"/>
                <w:szCs w:val="18"/>
              </w:rPr>
            </w:pPr>
          </w:p>
        </w:tc>
        <w:tc>
          <w:tcPr>
            <w:tcW w:w="639" w:type="pct"/>
            <w:noWrap/>
            <w:vAlign w:val="center"/>
            <w:hideMark/>
          </w:tcPr>
          <w:p w14:paraId="5FFB9858" w14:textId="77777777" w:rsidR="001E40B9" w:rsidRPr="00A51E75" w:rsidRDefault="001E40B9" w:rsidP="00B303D6">
            <w:pPr>
              <w:rPr>
                <w:sz w:val="18"/>
                <w:szCs w:val="18"/>
              </w:rPr>
            </w:pPr>
          </w:p>
        </w:tc>
        <w:tc>
          <w:tcPr>
            <w:tcW w:w="325" w:type="pct"/>
            <w:noWrap/>
            <w:vAlign w:val="center"/>
            <w:hideMark/>
          </w:tcPr>
          <w:p w14:paraId="5210504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141,618</w:t>
            </w:r>
          </w:p>
        </w:tc>
        <w:tc>
          <w:tcPr>
            <w:tcW w:w="325" w:type="pct"/>
            <w:noWrap/>
            <w:vAlign w:val="center"/>
            <w:hideMark/>
          </w:tcPr>
          <w:p w14:paraId="56E43AE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214,687</w:t>
            </w:r>
          </w:p>
        </w:tc>
        <w:tc>
          <w:tcPr>
            <w:tcW w:w="326" w:type="pct"/>
            <w:noWrap/>
            <w:vAlign w:val="center"/>
            <w:hideMark/>
          </w:tcPr>
          <w:p w14:paraId="0CB4E04D"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215,232</w:t>
            </w:r>
          </w:p>
        </w:tc>
        <w:tc>
          <w:tcPr>
            <w:tcW w:w="325" w:type="pct"/>
            <w:noWrap/>
            <w:vAlign w:val="center"/>
            <w:hideMark/>
          </w:tcPr>
          <w:p w14:paraId="120DB3C8"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151,115</w:t>
            </w:r>
          </w:p>
        </w:tc>
        <w:tc>
          <w:tcPr>
            <w:tcW w:w="325" w:type="pct"/>
            <w:noWrap/>
            <w:vAlign w:val="center"/>
            <w:hideMark/>
          </w:tcPr>
          <w:p w14:paraId="32B6AFE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66,918</w:t>
            </w:r>
          </w:p>
        </w:tc>
        <w:tc>
          <w:tcPr>
            <w:tcW w:w="287" w:type="pct"/>
            <w:noWrap/>
            <w:vAlign w:val="center"/>
            <w:hideMark/>
          </w:tcPr>
          <w:p w14:paraId="25875696"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789,570</w:t>
            </w:r>
          </w:p>
        </w:tc>
        <w:tc>
          <w:tcPr>
            <w:tcW w:w="125" w:type="pct"/>
            <w:noWrap/>
            <w:vAlign w:val="center"/>
            <w:hideMark/>
          </w:tcPr>
          <w:p w14:paraId="54118345" w14:textId="77777777" w:rsidR="001E40B9" w:rsidRPr="00A51E75" w:rsidRDefault="001E40B9" w:rsidP="00B303D6">
            <w:pPr>
              <w:jc w:val="center"/>
              <w:rPr>
                <w:rFonts w:ascii="Calibri" w:hAnsi="Calibri" w:cs="Calibri"/>
                <w:b/>
                <w:bCs/>
                <w:color w:val="000000"/>
                <w:sz w:val="16"/>
                <w:szCs w:val="16"/>
              </w:rPr>
            </w:pPr>
          </w:p>
        </w:tc>
      </w:tr>
      <w:tr w:rsidR="001E40B9" w:rsidRPr="00A51E75" w14:paraId="60DF3E02" w14:textId="77777777" w:rsidTr="00B303D6">
        <w:trPr>
          <w:trHeight w:val="300"/>
        </w:trPr>
        <w:tc>
          <w:tcPr>
            <w:tcW w:w="640" w:type="pct"/>
            <w:vMerge/>
            <w:noWrap/>
            <w:vAlign w:val="center"/>
            <w:hideMark/>
          </w:tcPr>
          <w:p w14:paraId="11CB0E98" w14:textId="77777777" w:rsidR="001E40B9" w:rsidRPr="00A51E75" w:rsidRDefault="001E40B9" w:rsidP="00B303D6">
            <w:pPr>
              <w:rPr>
                <w:sz w:val="16"/>
                <w:szCs w:val="16"/>
              </w:rPr>
            </w:pPr>
          </w:p>
        </w:tc>
        <w:tc>
          <w:tcPr>
            <w:tcW w:w="945" w:type="pct"/>
            <w:gridSpan w:val="2"/>
            <w:noWrap/>
            <w:vAlign w:val="center"/>
            <w:hideMark/>
          </w:tcPr>
          <w:p w14:paraId="35FB8681"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Resultado total 1.1</w:t>
            </w:r>
          </w:p>
        </w:tc>
        <w:tc>
          <w:tcPr>
            <w:tcW w:w="246" w:type="pct"/>
            <w:noWrap/>
            <w:vAlign w:val="center"/>
            <w:hideMark/>
          </w:tcPr>
          <w:p w14:paraId="0D63DFED"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4B925180" w14:textId="77777777" w:rsidR="001E40B9" w:rsidRPr="00A51E75" w:rsidRDefault="001E40B9" w:rsidP="00B303D6">
            <w:pPr>
              <w:rPr>
                <w:sz w:val="18"/>
                <w:szCs w:val="18"/>
              </w:rPr>
            </w:pPr>
          </w:p>
        </w:tc>
        <w:tc>
          <w:tcPr>
            <w:tcW w:w="246" w:type="pct"/>
            <w:noWrap/>
            <w:vAlign w:val="center"/>
            <w:hideMark/>
          </w:tcPr>
          <w:p w14:paraId="474D8380" w14:textId="77777777" w:rsidR="001E40B9" w:rsidRPr="00A51E75" w:rsidRDefault="001E40B9" w:rsidP="00B303D6">
            <w:pPr>
              <w:rPr>
                <w:sz w:val="18"/>
                <w:szCs w:val="18"/>
              </w:rPr>
            </w:pPr>
          </w:p>
        </w:tc>
        <w:tc>
          <w:tcPr>
            <w:tcW w:w="639" w:type="pct"/>
            <w:noWrap/>
            <w:vAlign w:val="center"/>
            <w:hideMark/>
          </w:tcPr>
          <w:p w14:paraId="03BAA3D7" w14:textId="77777777" w:rsidR="001E40B9" w:rsidRPr="00A51E75" w:rsidRDefault="001E40B9" w:rsidP="00B303D6">
            <w:pPr>
              <w:rPr>
                <w:sz w:val="18"/>
                <w:szCs w:val="18"/>
              </w:rPr>
            </w:pPr>
          </w:p>
        </w:tc>
        <w:tc>
          <w:tcPr>
            <w:tcW w:w="325" w:type="pct"/>
            <w:vAlign w:val="center"/>
            <w:hideMark/>
          </w:tcPr>
          <w:p w14:paraId="2A2C168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141,618</w:t>
            </w:r>
          </w:p>
        </w:tc>
        <w:tc>
          <w:tcPr>
            <w:tcW w:w="325" w:type="pct"/>
            <w:vAlign w:val="center"/>
            <w:hideMark/>
          </w:tcPr>
          <w:p w14:paraId="7868B49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214,687</w:t>
            </w:r>
          </w:p>
        </w:tc>
        <w:tc>
          <w:tcPr>
            <w:tcW w:w="326" w:type="pct"/>
            <w:vAlign w:val="center"/>
            <w:hideMark/>
          </w:tcPr>
          <w:p w14:paraId="63E61C7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215,232</w:t>
            </w:r>
          </w:p>
        </w:tc>
        <w:tc>
          <w:tcPr>
            <w:tcW w:w="325" w:type="pct"/>
            <w:vAlign w:val="center"/>
            <w:hideMark/>
          </w:tcPr>
          <w:p w14:paraId="0DDEDFD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151,115</w:t>
            </w:r>
          </w:p>
        </w:tc>
        <w:tc>
          <w:tcPr>
            <w:tcW w:w="325" w:type="pct"/>
            <w:vAlign w:val="center"/>
            <w:hideMark/>
          </w:tcPr>
          <w:p w14:paraId="3A3F0AEF"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66,918</w:t>
            </w:r>
          </w:p>
        </w:tc>
        <w:tc>
          <w:tcPr>
            <w:tcW w:w="287" w:type="pct"/>
            <w:vAlign w:val="center"/>
            <w:hideMark/>
          </w:tcPr>
          <w:p w14:paraId="1F935103"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789,570</w:t>
            </w:r>
          </w:p>
        </w:tc>
        <w:tc>
          <w:tcPr>
            <w:tcW w:w="125" w:type="pct"/>
            <w:noWrap/>
            <w:vAlign w:val="center"/>
            <w:hideMark/>
          </w:tcPr>
          <w:p w14:paraId="71979FED" w14:textId="77777777" w:rsidR="001E40B9" w:rsidRPr="00A51E75" w:rsidRDefault="001E40B9" w:rsidP="00B303D6">
            <w:pPr>
              <w:jc w:val="center"/>
              <w:rPr>
                <w:rFonts w:ascii="Calibri" w:hAnsi="Calibri" w:cs="Calibri"/>
                <w:b/>
                <w:bCs/>
                <w:color w:val="000000"/>
                <w:sz w:val="16"/>
                <w:szCs w:val="16"/>
              </w:rPr>
            </w:pPr>
          </w:p>
        </w:tc>
      </w:tr>
      <w:tr w:rsidR="001E40B9" w:rsidRPr="00A51E75" w14:paraId="78EDC63D" w14:textId="77777777" w:rsidTr="00B303D6">
        <w:trPr>
          <w:trHeight w:val="300"/>
        </w:trPr>
        <w:tc>
          <w:tcPr>
            <w:tcW w:w="1290" w:type="pct"/>
            <w:gridSpan w:val="2"/>
            <w:noWrap/>
            <w:vAlign w:val="center"/>
            <w:hideMark/>
          </w:tcPr>
          <w:p w14:paraId="6F5AB6C1"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Componente Total 1</w:t>
            </w:r>
          </w:p>
        </w:tc>
        <w:tc>
          <w:tcPr>
            <w:tcW w:w="295" w:type="pct"/>
            <w:noWrap/>
            <w:vAlign w:val="center"/>
            <w:hideMark/>
          </w:tcPr>
          <w:p w14:paraId="0621F6C3"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60045900" w14:textId="77777777" w:rsidR="001E40B9" w:rsidRPr="00A51E75" w:rsidRDefault="001E40B9" w:rsidP="00B303D6">
            <w:pPr>
              <w:rPr>
                <w:sz w:val="18"/>
                <w:szCs w:val="18"/>
              </w:rPr>
            </w:pPr>
          </w:p>
        </w:tc>
        <w:tc>
          <w:tcPr>
            <w:tcW w:w="246" w:type="pct"/>
            <w:noWrap/>
            <w:vAlign w:val="center"/>
            <w:hideMark/>
          </w:tcPr>
          <w:p w14:paraId="21D73DC0" w14:textId="77777777" w:rsidR="001E40B9" w:rsidRPr="00A51E75" w:rsidRDefault="001E40B9" w:rsidP="00B303D6">
            <w:pPr>
              <w:rPr>
                <w:sz w:val="18"/>
                <w:szCs w:val="18"/>
              </w:rPr>
            </w:pPr>
          </w:p>
        </w:tc>
        <w:tc>
          <w:tcPr>
            <w:tcW w:w="246" w:type="pct"/>
            <w:noWrap/>
            <w:vAlign w:val="center"/>
            <w:hideMark/>
          </w:tcPr>
          <w:p w14:paraId="5968C60A" w14:textId="77777777" w:rsidR="001E40B9" w:rsidRPr="00A51E75" w:rsidRDefault="001E40B9" w:rsidP="00B303D6">
            <w:pPr>
              <w:rPr>
                <w:sz w:val="18"/>
                <w:szCs w:val="18"/>
              </w:rPr>
            </w:pPr>
          </w:p>
        </w:tc>
        <w:tc>
          <w:tcPr>
            <w:tcW w:w="639" w:type="pct"/>
            <w:vAlign w:val="center"/>
            <w:hideMark/>
          </w:tcPr>
          <w:p w14:paraId="23825EED" w14:textId="77777777" w:rsidR="001E40B9" w:rsidRPr="00A51E75" w:rsidRDefault="001E40B9" w:rsidP="00B303D6">
            <w:pPr>
              <w:rPr>
                <w:sz w:val="18"/>
                <w:szCs w:val="18"/>
              </w:rPr>
            </w:pPr>
          </w:p>
        </w:tc>
        <w:tc>
          <w:tcPr>
            <w:tcW w:w="325" w:type="pct"/>
            <w:noWrap/>
            <w:vAlign w:val="center"/>
            <w:hideMark/>
          </w:tcPr>
          <w:p w14:paraId="5B807626"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141,618</w:t>
            </w:r>
          </w:p>
        </w:tc>
        <w:tc>
          <w:tcPr>
            <w:tcW w:w="325" w:type="pct"/>
            <w:noWrap/>
            <w:vAlign w:val="center"/>
            <w:hideMark/>
          </w:tcPr>
          <w:p w14:paraId="6A4177A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214,687</w:t>
            </w:r>
          </w:p>
        </w:tc>
        <w:tc>
          <w:tcPr>
            <w:tcW w:w="326" w:type="pct"/>
            <w:noWrap/>
            <w:vAlign w:val="center"/>
            <w:hideMark/>
          </w:tcPr>
          <w:p w14:paraId="6C98386D"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215,232</w:t>
            </w:r>
          </w:p>
        </w:tc>
        <w:tc>
          <w:tcPr>
            <w:tcW w:w="325" w:type="pct"/>
            <w:noWrap/>
            <w:vAlign w:val="center"/>
            <w:hideMark/>
          </w:tcPr>
          <w:p w14:paraId="26B9A9FB"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151,115</w:t>
            </w:r>
          </w:p>
        </w:tc>
        <w:tc>
          <w:tcPr>
            <w:tcW w:w="325" w:type="pct"/>
            <w:noWrap/>
            <w:vAlign w:val="center"/>
            <w:hideMark/>
          </w:tcPr>
          <w:p w14:paraId="3BBAC9B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66,918</w:t>
            </w:r>
          </w:p>
        </w:tc>
        <w:tc>
          <w:tcPr>
            <w:tcW w:w="287" w:type="pct"/>
            <w:noWrap/>
            <w:vAlign w:val="center"/>
            <w:hideMark/>
          </w:tcPr>
          <w:p w14:paraId="07DA436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789,570</w:t>
            </w:r>
          </w:p>
        </w:tc>
        <w:tc>
          <w:tcPr>
            <w:tcW w:w="125" w:type="pct"/>
            <w:noWrap/>
            <w:vAlign w:val="center"/>
            <w:hideMark/>
          </w:tcPr>
          <w:p w14:paraId="5B58CE43" w14:textId="77777777" w:rsidR="001E40B9" w:rsidRPr="00A51E75" w:rsidRDefault="001E40B9" w:rsidP="00B303D6">
            <w:pPr>
              <w:jc w:val="center"/>
              <w:rPr>
                <w:rFonts w:ascii="Calibri" w:hAnsi="Calibri" w:cs="Calibri"/>
                <w:b/>
                <w:bCs/>
                <w:color w:val="000000"/>
                <w:sz w:val="16"/>
                <w:szCs w:val="16"/>
              </w:rPr>
            </w:pPr>
          </w:p>
        </w:tc>
      </w:tr>
      <w:tr w:rsidR="001E40B9" w:rsidRPr="00A51E75" w14:paraId="62706494" w14:textId="77777777" w:rsidTr="00B303D6">
        <w:trPr>
          <w:trHeight w:val="320"/>
        </w:trPr>
        <w:tc>
          <w:tcPr>
            <w:tcW w:w="640" w:type="pct"/>
            <w:vMerge w:val="restart"/>
            <w:noWrap/>
            <w:vAlign w:val="center"/>
            <w:hideMark/>
          </w:tcPr>
          <w:p w14:paraId="54DB138F" w14:textId="28C245BB" w:rsidR="001E40B9" w:rsidRPr="00D830D9" w:rsidRDefault="001E40B9" w:rsidP="00B303D6">
            <w:pPr>
              <w:rPr>
                <w:rFonts w:ascii="Calibri" w:hAnsi="Calibri" w:cs="Calibri"/>
                <w:b/>
                <w:bCs/>
                <w:color w:val="000000"/>
                <w:sz w:val="16"/>
                <w:szCs w:val="16"/>
                <w:lang w:val="es-EC"/>
              </w:rPr>
            </w:pPr>
            <w:r w:rsidRPr="00A51E75">
              <w:rPr>
                <w:rFonts w:ascii="Calibri" w:hAnsi="Calibri" w:cs="Calibri"/>
                <w:b/>
                <w:bCs/>
                <w:color w:val="000000"/>
                <w:sz w:val="16"/>
                <w:szCs w:val="16"/>
              </w:rPr>
              <w:t xml:space="preserve">Componente 2: Adopción de prácticas que contribuyan a la gestión </w:t>
            </w:r>
            <w:r w:rsidRPr="00A51E75">
              <w:rPr>
                <w:rFonts w:ascii="Calibri" w:hAnsi="Calibri" w:cs="Calibri"/>
                <w:b/>
                <w:bCs/>
                <w:color w:val="000000"/>
                <w:sz w:val="16"/>
                <w:szCs w:val="16"/>
              </w:rPr>
              <w:lastRenderedPageBreak/>
              <w:t xml:space="preserve">integrada del paisaje para una </w:t>
            </w:r>
            <w:r w:rsidR="000A54C4">
              <w:rPr>
                <w:rFonts w:ascii="Calibri" w:hAnsi="Calibri" w:cs="Calibri"/>
                <w:b/>
                <w:bCs/>
                <w:color w:val="000000"/>
                <w:sz w:val="16"/>
                <w:szCs w:val="16"/>
              </w:rPr>
              <w:t>Manejo Sostenible de la Tierra</w:t>
            </w:r>
            <w:r w:rsidRPr="00A51E75">
              <w:rPr>
                <w:rFonts w:ascii="Calibri" w:hAnsi="Calibri" w:cs="Calibri"/>
                <w:b/>
                <w:bCs/>
                <w:color w:val="000000"/>
                <w:sz w:val="16"/>
                <w:szCs w:val="16"/>
              </w:rPr>
              <w:t xml:space="preserve"> y la conservación de la biodiversidad</w:t>
            </w:r>
          </w:p>
        </w:tc>
        <w:tc>
          <w:tcPr>
            <w:tcW w:w="650" w:type="pct"/>
            <w:vMerge w:val="restart"/>
            <w:noWrap/>
            <w:vAlign w:val="center"/>
            <w:hideMark/>
          </w:tcPr>
          <w:p w14:paraId="738A4976" w14:textId="77777777" w:rsidR="001E40B9" w:rsidRPr="00D830D9" w:rsidRDefault="001E40B9" w:rsidP="00B303D6">
            <w:pPr>
              <w:rPr>
                <w:rFonts w:ascii="Calibri" w:hAnsi="Calibri" w:cs="Calibri"/>
                <w:b/>
                <w:bCs/>
                <w:color w:val="000000"/>
                <w:sz w:val="16"/>
                <w:szCs w:val="16"/>
                <w:lang w:val="es-EC"/>
              </w:rPr>
            </w:pPr>
            <w:r w:rsidRPr="00A51E75">
              <w:rPr>
                <w:rFonts w:ascii="Calibri" w:hAnsi="Calibri" w:cs="Calibri"/>
                <w:b/>
                <w:bCs/>
                <w:color w:val="000000"/>
                <w:sz w:val="16"/>
                <w:szCs w:val="16"/>
              </w:rPr>
              <w:lastRenderedPageBreak/>
              <w:t xml:space="preserve">Resultado 2.1: Las áreas bajo mecanismos de conservación y </w:t>
            </w:r>
            <w:r w:rsidRPr="00A51E75">
              <w:rPr>
                <w:rFonts w:ascii="Calibri" w:hAnsi="Calibri" w:cs="Calibri"/>
                <w:b/>
                <w:bCs/>
                <w:color w:val="000000"/>
                <w:sz w:val="16"/>
                <w:szCs w:val="16"/>
              </w:rPr>
              <w:lastRenderedPageBreak/>
              <w:t>protección, así como las zonas de protección del agua, se gestionan de forma sostenible con un enfoque sensible al género:</w:t>
            </w:r>
          </w:p>
        </w:tc>
        <w:tc>
          <w:tcPr>
            <w:tcW w:w="295" w:type="pct"/>
            <w:noWrap/>
            <w:vAlign w:val="center"/>
            <w:hideMark/>
          </w:tcPr>
          <w:p w14:paraId="1B311F04" w14:textId="29C792D4" w:rsidR="001E40B9" w:rsidRPr="00A51E75" w:rsidRDefault="00C15440" w:rsidP="00B303D6">
            <w:pPr>
              <w:rPr>
                <w:rFonts w:ascii="Calibri" w:hAnsi="Calibri" w:cs="Calibri"/>
                <w:color w:val="000000"/>
                <w:sz w:val="18"/>
                <w:szCs w:val="18"/>
              </w:rPr>
            </w:pPr>
            <w:r w:rsidRPr="00C15440">
              <w:rPr>
                <w:rFonts w:ascii="Calibri" w:hAnsi="Calibri" w:cs="Calibri"/>
                <w:color w:val="000000"/>
                <w:sz w:val="18"/>
                <w:szCs w:val="18"/>
              </w:rPr>
              <w:lastRenderedPageBreak/>
              <w:t>PNUD</w:t>
            </w:r>
          </w:p>
        </w:tc>
        <w:tc>
          <w:tcPr>
            <w:tcW w:w="246" w:type="pct"/>
            <w:noWrap/>
            <w:vAlign w:val="center"/>
            <w:hideMark/>
          </w:tcPr>
          <w:p w14:paraId="467FACB4"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2B113D79"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4F701AC1" w14:textId="77777777" w:rsidR="001E40B9" w:rsidRPr="00A51E75" w:rsidRDefault="001E40B9" w:rsidP="00B303D6">
            <w:pPr>
              <w:rPr>
                <w:rFonts w:ascii="Calibri" w:hAnsi="Calibri" w:cs="Calibri"/>
                <w:b/>
                <w:bCs/>
                <w:color w:val="000000"/>
                <w:sz w:val="18"/>
                <w:szCs w:val="18"/>
              </w:rPr>
            </w:pPr>
            <w:r w:rsidRPr="00A51E75">
              <w:rPr>
                <w:rFonts w:ascii="Calibri" w:hAnsi="Calibri" w:cs="Calibri"/>
                <w:b/>
                <w:bCs/>
                <w:color w:val="000000"/>
                <w:sz w:val="18"/>
                <w:szCs w:val="18"/>
              </w:rPr>
              <w:t>71300</w:t>
            </w:r>
          </w:p>
        </w:tc>
        <w:tc>
          <w:tcPr>
            <w:tcW w:w="639" w:type="pct"/>
            <w:vAlign w:val="center"/>
            <w:hideMark/>
          </w:tcPr>
          <w:p w14:paraId="1ABF491D"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Consultores locales</w:t>
            </w:r>
          </w:p>
        </w:tc>
        <w:tc>
          <w:tcPr>
            <w:tcW w:w="325" w:type="pct"/>
            <w:noWrap/>
            <w:vAlign w:val="center"/>
            <w:hideMark/>
          </w:tcPr>
          <w:p w14:paraId="37649FB3"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101,804</w:t>
            </w:r>
          </w:p>
        </w:tc>
        <w:tc>
          <w:tcPr>
            <w:tcW w:w="325" w:type="pct"/>
            <w:noWrap/>
            <w:vAlign w:val="center"/>
            <w:hideMark/>
          </w:tcPr>
          <w:p w14:paraId="2A4F586A"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120,990</w:t>
            </w:r>
          </w:p>
        </w:tc>
        <w:tc>
          <w:tcPr>
            <w:tcW w:w="326" w:type="pct"/>
            <w:noWrap/>
            <w:vAlign w:val="center"/>
            <w:hideMark/>
          </w:tcPr>
          <w:p w14:paraId="40FFB1CD"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3,524</w:t>
            </w:r>
          </w:p>
        </w:tc>
        <w:tc>
          <w:tcPr>
            <w:tcW w:w="325" w:type="pct"/>
            <w:noWrap/>
            <w:vAlign w:val="center"/>
            <w:hideMark/>
          </w:tcPr>
          <w:p w14:paraId="2C54D067"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3,524</w:t>
            </w:r>
          </w:p>
        </w:tc>
        <w:tc>
          <w:tcPr>
            <w:tcW w:w="325" w:type="pct"/>
            <w:noWrap/>
            <w:vAlign w:val="center"/>
            <w:hideMark/>
          </w:tcPr>
          <w:p w14:paraId="4CCBCB78"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3,524</w:t>
            </w:r>
          </w:p>
        </w:tc>
        <w:tc>
          <w:tcPr>
            <w:tcW w:w="287" w:type="pct"/>
            <w:noWrap/>
            <w:vAlign w:val="center"/>
            <w:hideMark/>
          </w:tcPr>
          <w:p w14:paraId="4149A272"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233,366</w:t>
            </w:r>
          </w:p>
        </w:tc>
        <w:tc>
          <w:tcPr>
            <w:tcW w:w="125" w:type="pct"/>
            <w:noWrap/>
            <w:vAlign w:val="center"/>
            <w:hideMark/>
          </w:tcPr>
          <w:p w14:paraId="40E9BFD0" w14:textId="77777777" w:rsidR="001E40B9" w:rsidRPr="00A51E75" w:rsidRDefault="001E40B9" w:rsidP="00B303D6">
            <w:pPr>
              <w:jc w:val="center"/>
              <w:rPr>
                <w:rFonts w:ascii="Calibri" w:hAnsi="Calibri" w:cs="Calibri"/>
                <w:color w:val="000000"/>
                <w:sz w:val="16"/>
                <w:szCs w:val="16"/>
              </w:rPr>
            </w:pPr>
            <w:r w:rsidRPr="00A51E75">
              <w:rPr>
                <w:rFonts w:ascii="Calibri" w:hAnsi="Calibri" w:cs="Calibri"/>
                <w:color w:val="000000"/>
                <w:sz w:val="16"/>
                <w:szCs w:val="16"/>
              </w:rPr>
              <w:t>5</w:t>
            </w:r>
          </w:p>
        </w:tc>
      </w:tr>
      <w:tr w:rsidR="00C15440" w:rsidRPr="00A51E75" w14:paraId="7C6EF3E8" w14:textId="77777777" w:rsidTr="00ED28EE">
        <w:trPr>
          <w:trHeight w:val="300"/>
        </w:trPr>
        <w:tc>
          <w:tcPr>
            <w:tcW w:w="640" w:type="pct"/>
            <w:vMerge/>
            <w:noWrap/>
            <w:vAlign w:val="center"/>
            <w:hideMark/>
          </w:tcPr>
          <w:p w14:paraId="0CCF6FB0"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0CFC7853" w14:textId="77777777" w:rsidR="00C15440" w:rsidRPr="00A51E75" w:rsidRDefault="00C15440" w:rsidP="00C15440">
            <w:pPr>
              <w:rPr>
                <w:sz w:val="16"/>
                <w:szCs w:val="16"/>
              </w:rPr>
            </w:pPr>
          </w:p>
        </w:tc>
        <w:tc>
          <w:tcPr>
            <w:tcW w:w="295" w:type="pct"/>
            <w:noWrap/>
            <w:hideMark/>
          </w:tcPr>
          <w:p w14:paraId="4CA0C345" w14:textId="7E6B8D90"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4E7013F8" w14:textId="3C932536"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CBAEC22" w14:textId="74075D5C"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6A01A26D"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noWrap/>
            <w:vAlign w:val="center"/>
            <w:hideMark/>
          </w:tcPr>
          <w:p w14:paraId="5BC113C7"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19208D8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113,530</w:t>
            </w:r>
          </w:p>
        </w:tc>
        <w:tc>
          <w:tcPr>
            <w:tcW w:w="325" w:type="pct"/>
            <w:noWrap/>
            <w:vAlign w:val="center"/>
            <w:hideMark/>
          </w:tcPr>
          <w:p w14:paraId="10E1BABA"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227,059</w:t>
            </w:r>
          </w:p>
        </w:tc>
        <w:tc>
          <w:tcPr>
            <w:tcW w:w="326" w:type="pct"/>
            <w:noWrap/>
            <w:vAlign w:val="center"/>
            <w:hideMark/>
          </w:tcPr>
          <w:p w14:paraId="3EC526C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227,059</w:t>
            </w:r>
          </w:p>
        </w:tc>
        <w:tc>
          <w:tcPr>
            <w:tcW w:w="325" w:type="pct"/>
            <w:noWrap/>
            <w:vAlign w:val="center"/>
            <w:hideMark/>
          </w:tcPr>
          <w:p w14:paraId="2C6D2C0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151,373</w:t>
            </w:r>
          </w:p>
        </w:tc>
        <w:tc>
          <w:tcPr>
            <w:tcW w:w="325" w:type="pct"/>
            <w:vAlign w:val="center"/>
            <w:hideMark/>
          </w:tcPr>
          <w:p w14:paraId="734002C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37,843</w:t>
            </w:r>
          </w:p>
        </w:tc>
        <w:tc>
          <w:tcPr>
            <w:tcW w:w="287" w:type="pct"/>
            <w:noWrap/>
            <w:vAlign w:val="center"/>
            <w:hideMark/>
          </w:tcPr>
          <w:p w14:paraId="79B7897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756,864</w:t>
            </w:r>
          </w:p>
        </w:tc>
        <w:tc>
          <w:tcPr>
            <w:tcW w:w="125" w:type="pct"/>
            <w:noWrap/>
            <w:vAlign w:val="center"/>
            <w:hideMark/>
          </w:tcPr>
          <w:p w14:paraId="1122BB0F"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6</w:t>
            </w:r>
          </w:p>
        </w:tc>
      </w:tr>
      <w:tr w:rsidR="00C15440" w:rsidRPr="00A51E75" w14:paraId="04B74BA1" w14:textId="77777777" w:rsidTr="00ED28EE">
        <w:trPr>
          <w:trHeight w:val="300"/>
        </w:trPr>
        <w:tc>
          <w:tcPr>
            <w:tcW w:w="640" w:type="pct"/>
            <w:vMerge/>
            <w:noWrap/>
            <w:vAlign w:val="center"/>
            <w:hideMark/>
          </w:tcPr>
          <w:p w14:paraId="478FF3BB"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78862EDD" w14:textId="77777777" w:rsidR="00C15440" w:rsidRPr="00A51E75" w:rsidRDefault="00C15440" w:rsidP="00C15440">
            <w:pPr>
              <w:rPr>
                <w:sz w:val="16"/>
                <w:szCs w:val="16"/>
              </w:rPr>
            </w:pPr>
          </w:p>
        </w:tc>
        <w:tc>
          <w:tcPr>
            <w:tcW w:w="295" w:type="pct"/>
            <w:noWrap/>
            <w:hideMark/>
          </w:tcPr>
          <w:p w14:paraId="4EC0BDA2" w14:textId="7F22D275"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5337D8AD" w14:textId="59957CF8"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2080431C" w14:textId="56E81B52"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739B4FFA"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71600</w:t>
            </w:r>
          </w:p>
        </w:tc>
        <w:tc>
          <w:tcPr>
            <w:tcW w:w="639" w:type="pct"/>
            <w:noWrap/>
            <w:vAlign w:val="center"/>
            <w:hideMark/>
          </w:tcPr>
          <w:p w14:paraId="28581C9D"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Viajes</w:t>
            </w:r>
          </w:p>
        </w:tc>
        <w:tc>
          <w:tcPr>
            <w:tcW w:w="325" w:type="pct"/>
            <w:noWrap/>
            <w:vAlign w:val="center"/>
            <w:hideMark/>
          </w:tcPr>
          <w:p w14:paraId="574E710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21,853</w:t>
            </w:r>
          </w:p>
        </w:tc>
        <w:tc>
          <w:tcPr>
            <w:tcW w:w="325" w:type="pct"/>
            <w:noWrap/>
            <w:vAlign w:val="center"/>
            <w:hideMark/>
          </w:tcPr>
          <w:p w14:paraId="7751EF2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36,422</w:t>
            </w:r>
          </w:p>
        </w:tc>
        <w:tc>
          <w:tcPr>
            <w:tcW w:w="326" w:type="pct"/>
            <w:noWrap/>
            <w:vAlign w:val="center"/>
            <w:hideMark/>
          </w:tcPr>
          <w:p w14:paraId="1D50A96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36,423</w:t>
            </w:r>
          </w:p>
        </w:tc>
        <w:tc>
          <w:tcPr>
            <w:tcW w:w="325" w:type="pct"/>
            <w:noWrap/>
            <w:vAlign w:val="center"/>
            <w:hideMark/>
          </w:tcPr>
          <w:p w14:paraId="3A80709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29,138</w:t>
            </w:r>
          </w:p>
        </w:tc>
        <w:tc>
          <w:tcPr>
            <w:tcW w:w="325" w:type="pct"/>
            <w:vAlign w:val="center"/>
            <w:hideMark/>
          </w:tcPr>
          <w:p w14:paraId="6C6D5C2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21,854</w:t>
            </w:r>
          </w:p>
        </w:tc>
        <w:tc>
          <w:tcPr>
            <w:tcW w:w="287" w:type="pct"/>
            <w:noWrap/>
            <w:vAlign w:val="center"/>
            <w:hideMark/>
          </w:tcPr>
          <w:p w14:paraId="3A76111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145,690</w:t>
            </w:r>
          </w:p>
        </w:tc>
        <w:tc>
          <w:tcPr>
            <w:tcW w:w="125" w:type="pct"/>
            <w:noWrap/>
            <w:vAlign w:val="center"/>
            <w:hideMark/>
          </w:tcPr>
          <w:p w14:paraId="5E79E0F0"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7</w:t>
            </w:r>
          </w:p>
        </w:tc>
      </w:tr>
      <w:tr w:rsidR="00C15440" w:rsidRPr="00A51E75" w14:paraId="54EF2815" w14:textId="77777777" w:rsidTr="00ED28EE">
        <w:trPr>
          <w:trHeight w:val="320"/>
        </w:trPr>
        <w:tc>
          <w:tcPr>
            <w:tcW w:w="640" w:type="pct"/>
            <w:vMerge/>
            <w:noWrap/>
            <w:vAlign w:val="center"/>
            <w:hideMark/>
          </w:tcPr>
          <w:p w14:paraId="06DD1D4F"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6BBA0D8E" w14:textId="77777777" w:rsidR="00C15440" w:rsidRPr="00A51E75" w:rsidRDefault="00C15440" w:rsidP="00C15440">
            <w:pPr>
              <w:rPr>
                <w:sz w:val="16"/>
                <w:szCs w:val="16"/>
              </w:rPr>
            </w:pPr>
          </w:p>
        </w:tc>
        <w:tc>
          <w:tcPr>
            <w:tcW w:w="295" w:type="pct"/>
            <w:noWrap/>
            <w:hideMark/>
          </w:tcPr>
          <w:p w14:paraId="5BA6E0B8" w14:textId="75F0CA29"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2C07CE7C" w14:textId="216D01D7"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42892424" w14:textId="6DEC61E8"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23C62A7"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72200</w:t>
            </w:r>
          </w:p>
        </w:tc>
        <w:tc>
          <w:tcPr>
            <w:tcW w:w="639" w:type="pct"/>
            <w:vAlign w:val="center"/>
            <w:hideMark/>
          </w:tcPr>
          <w:p w14:paraId="01A177E3"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Equipamiento y mobiliario</w:t>
            </w:r>
          </w:p>
        </w:tc>
        <w:tc>
          <w:tcPr>
            <w:tcW w:w="325" w:type="pct"/>
            <w:noWrap/>
            <w:vAlign w:val="center"/>
            <w:hideMark/>
          </w:tcPr>
          <w:p w14:paraId="2A81036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109,812</w:t>
            </w:r>
          </w:p>
        </w:tc>
        <w:tc>
          <w:tcPr>
            <w:tcW w:w="325" w:type="pct"/>
            <w:noWrap/>
            <w:vAlign w:val="center"/>
            <w:hideMark/>
          </w:tcPr>
          <w:p w14:paraId="326D3CC6" w14:textId="77777777" w:rsidR="00C15440" w:rsidRPr="00A51E75" w:rsidRDefault="00C15440" w:rsidP="00C15440">
            <w:pPr>
              <w:jc w:val="right"/>
              <w:rPr>
                <w:rFonts w:ascii="Calibri" w:hAnsi="Calibri" w:cs="Calibri"/>
                <w:color w:val="000000"/>
                <w:sz w:val="16"/>
                <w:szCs w:val="16"/>
              </w:rPr>
            </w:pPr>
          </w:p>
        </w:tc>
        <w:tc>
          <w:tcPr>
            <w:tcW w:w="326" w:type="pct"/>
            <w:noWrap/>
            <w:vAlign w:val="center"/>
            <w:hideMark/>
          </w:tcPr>
          <w:p w14:paraId="23C1448C" w14:textId="77777777" w:rsidR="00C15440" w:rsidRPr="00A51E75" w:rsidRDefault="00C15440" w:rsidP="00C15440">
            <w:pPr>
              <w:jc w:val="right"/>
              <w:rPr>
                <w:sz w:val="16"/>
                <w:szCs w:val="16"/>
              </w:rPr>
            </w:pPr>
          </w:p>
        </w:tc>
        <w:tc>
          <w:tcPr>
            <w:tcW w:w="325" w:type="pct"/>
            <w:noWrap/>
            <w:vAlign w:val="center"/>
            <w:hideMark/>
          </w:tcPr>
          <w:p w14:paraId="486F6B10" w14:textId="77777777" w:rsidR="00C15440" w:rsidRPr="00A51E75" w:rsidRDefault="00C15440" w:rsidP="00C15440">
            <w:pPr>
              <w:jc w:val="right"/>
              <w:rPr>
                <w:sz w:val="16"/>
                <w:szCs w:val="16"/>
              </w:rPr>
            </w:pPr>
          </w:p>
        </w:tc>
        <w:tc>
          <w:tcPr>
            <w:tcW w:w="325" w:type="pct"/>
            <w:noWrap/>
            <w:vAlign w:val="center"/>
            <w:hideMark/>
          </w:tcPr>
          <w:p w14:paraId="756B2FD8" w14:textId="77777777" w:rsidR="00C15440" w:rsidRPr="00A51E75" w:rsidRDefault="00C15440" w:rsidP="00C15440">
            <w:pPr>
              <w:jc w:val="right"/>
              <w:rPr>
                <w:sz w:val="16"/>
                <w:szCs w:val="16"/>
              </w:rPr>
            </w:pPr>
          </w:p>
        </w:tc>
        <w:tc>
          <w:tcPr>
            <w:tcW w:w="287" w:type="pct"/>
            <w:noWrap/>
            <w:vAlign w:val="center"/>
            <w:hideMark/>
          </w:tcPr>
          <w:p w14:paraId="2C1770B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109,812</w:t>
            </w:r>
          </w:p>
        </w:tc>
        <w:tc>
          <w:tcPr>
            <w:tcW w:w="125" w:type="pct"/>
            <w:noWrap/>
            <w:vAlign w:val="center"/>
            <w:hideMark/>
          </w:tcPr>
          <w:p w14:paraId="1A4B46FD"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8</w:t>
            </w:r>
          </w:p>
        </w:tc>
      </w:tr>
      <w:tr w:rsidR="00C15440" w:rsidRPr="00A51E75" w14:paraId="7DD392C7" w14:textId="77777777" w:rsidTr="00ED28EE">
        <w:trPr>
          <w:trHeight w:val="320"/>
        </w:trPr>
        <w:tc>
          <w:tcPr>
            <w:tcW w:w="640" w:type="pct"/>
            <w:vMerge/>
            <w:noWrap/>
            <w:vAlign w:val="center"/>
            <w:hideMark/>
          </w:tcPr>
          <w:p w14:paraId="75E1951A"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6A2200BA" w14:textId="77777777" w:rsidR="00C15440" w:rsidRPr="00A51E75" w:rsidRDefault="00C15440" w:rsidP="00C15440">
            <w:pPr>
              <w:rPr>
                <w:sz w:val="16"/>
                <w:szCs w:val="16"/>
              </w:rPr>
            </w:pPr>
          </w:p>
        </w:tc>
        <w:tc>
          <w:tcPr>
            <w:tcW w:w="295" w:type="pct"/>
            <w:noWrap/>
            <w:hideMark/>
          </w:tcPr>
          <w:p w14:paraId="3582CA32" w14:textId="31888A3F"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7593A5D8" w14:textId="2074E217"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C4E4CD3" w14:textId="3F1259E8"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2E61026"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72300</w:t>
            </w:r>
          </w:p>
        </w:tc>
        <w:tc>
          <w:tcPr>
            <w:tcW w:w="639" w:type="pct"/>
            <w:vAlign w:val="center"/>
            <w:hideMark/>
          </w:tcPr>
          <w:p w14:paraId="6F063EF2"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Materiales y bienes</w:t>
            </w:r>
          </w:p>
        </w:tc>
        <w:tc>
          <w:tcPr>
            <w:tcW w:w="325" w:type="pct"/>
            <w:noWrap/>
            <w:vAlign w:val="center"/>
            <w:hideMark/>
          </w:tcPr>
          <w:p w14:paraId="5DA9AC2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2,005</w:t>
            </w:r>
          </w:p>
        </w:tc>
        <w:tc>
          <w:tcPr>
            <w:tcW w:w="325" w:type="pct"/>
            <w:noWrap/>
            <w:vAlign w:val="center"/>
            <w:hideMark/>
          </w:tcPr>
          <w:p w14:paraId="513DE66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10,026</w:t>
            </w:r>
          </w:p>
        </w:tc>
        <w:tc>
          <w:tcPr>
            <w:tcW w:w="326" w:type="pct"/>
            <w:noWrap/>
            <w:vAlign w:val="center"/>
            <w:hideMark/>
          </w:tcPr>
          <w:p w14:paraId="4EBBD00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10,026</w:t>
            </w:r>
          </w:p>
        </w:tc>
        <w:tc>
          <w:tcPr>
            <w:tcW w:w="325" w:type="pct"/>
            <w:noWrap/>
            <w:vAlign w:val="center"/>
            <w:hideMark/>
          </w:tcPr>
          <w:p w14:paraId="1628B6F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10,026</w:t>
            </w:r>
          </w:p>
        </w:tc>
        <w:tc>
          <w:tcPr>
            <w:tcW w:w="325" w:type="pct"/>
            <w:noWrap/>
            <w:vAlign w:val="center"/>
            <w:hideMark/>
          </w:tcPr>
          <w:p w14:paraId="33002FC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10,024</w:t>
            </w:r>
          </w:p>
        </w:tc>
        <w:tc>
          <w:tcPr>
            <w:tcW w:w="287" w:type="pct"/>
            <w:noWrap/>
            <w:vAlign w:val="center"/>
            <w:hideMark/>
          </w:tcPr>
          <w:p w14:paraId="2936679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42,107</w:t>
            </w:r>
          </w:p>
        </w:tc>
        <w:tc>
          <w:tcPr>
            <w:tcW w:w="125" w:type="pct"/>
            <w:noWrap/>
            <w:vAlign w:val="center"/>
            <w:hideMark/>
          </w:tcPr>
          <w:p w14:paraId="27302A4D"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9</w:t>
            </w:r>
          </w:p>
        </w:tc>
      </w:tr>
      <w:tr w:rsidR="00C15440" w:rsidRPr="00A51E75" w14:paraId="5A529112" w14:textId="77777777" w:rsidTr="00ED28EE">
        <w:trPr>
          <w:trHeight w:val="320"/>
        </w:trPr>
        <w:tc>
          <w:tcPr>
            <w:tcW w:w="640" w:type="pct"/>
            <w:vMerge/>
            <w:noWrap/>
            <w:vAlign w:val="center"/>
            <w:hideMark/>
          </w:tcPr>
          <w:p w14:paraId="38B2CF15"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3EBF3CF5" w14:textId="77777777" w:rsidR="00C15440" w:rsidRPr="00A51E75" w:rsidRDefault="00C15440" w:rsidP="00C15440">
            <w:pPr>
              <w:rPr>
                <w:sz w:val="16"/>
                <w:szCs w:val="16"/>
              </w:rPr>
            </w:pPr>
          </w:p>
        </w:tc>
        <w:tc>
          <w:tcPr>
            <w:tcW w:w="295" w:type="pct"/>
            <w:noWrap/>
            <w:hideMark/>
          </w:tcPr>
          <w:p w14:paraId="49926529" w14:textId="5E2C5665"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103FADCA" w14:textId="3E0FF30C"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75FAD454" w14:textId="04EBDE11"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32B09254"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72600</w:t>
            </w:r>
          </w:p>
        </w:tc>
        <w:tc>
          <w:tcPr>
            <w:tcW w:w="639" w:type="pct"/>
            <w:vAlign w:val="center"/>
            <w:hideMark/>
          </w:tcPr>
          <w:p w14:paraId="3AEA6513"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Subvenciones</w:t>
            </w:r>
          </w:p>
        </w:tc>
        <w:tc>
          <w:tcPr>
            <w:tcW w:w="325" w:type="pct"/>
            <w:noWrap/>
            <w:vAlign w:val="center"/>
            <w:hideMark/>
          </w:tcPr>
          <w:p w14:paraId="4D346B75"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36401.00</w:t>
            </w:r>
          </w:p>
        </w:tc>
        <w:tc>
          <w:tcPr>
            <w:tcW w:w="325" w:type="pct"/>
            <w:noWrap/>
            <w:vAlign w:val="center"/>
            <w:hideMark/>
          </w:tcPr>
          <w:p w14:paraId="6F0B545F"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678887.00</w:t>
            </w:r>
          </w:p>
        </w:tc>
        <w:tc>
          <w:tcPr>
            <w:tcW w:w="326" w:type="pct"/>
            <w:noWrap/>
            <w:vAlign w:val="center"/>
            <w:hideMark/>
          </w:tcPr>
          <w:p w14:paraId="20B0BDCB"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350364.00</w:t>
            </w:r>
          </w:p>
        </w:tc>
        <w:tc>
          <w:tcPr>
            <w:tcW w:w="325" w:type="pct"/>
            <w:noWrap/>
            <w:vAlign w:val="center"/>
            <w:hideMark/>
          </w:tcPr>
          <w:p w14:paraId="376DE332"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36402.00</w:t>
            </w:r>
          </w:p>
        </w:tc>
        <w:tc>
          <w:tcPr>
            <w:tcW w:w="325" w:type="pct"/>
            <w:noWrap/>
            <w:vAlign w:val="center"/>
            <w:hideMark/>
          </w:tcPr>
          <w:p w14:paraId="0DB1D5D3"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31851.00</w:t>
            </w:r>
          </w:p>
        </w:tc>
        <w:tc>
          <w:tcPr>
            <w:tcW w:w="287" w:type="pct"/>
            <w:noWrap/>
            <w:vAlign w:val="center"/>
            <w:hideMark/>
          </w:tcPr>
          <w:p w14:paraId="7A64BF4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1,133,905</w:t>
            </w:r>
          </w:p>
        </w:tc>
        <w:tc>
          <w:tcPr>
            <w:tcW w:w="125" w:type="pct"/>
            <w:noWrap/>
            <w:vAlign w:val="center"/>
            <w:hideMark/>
          </w:tcPr>
          <w:p w14:paraId="060A75B7"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10</w:t>
            </w:r>
          </w:p>
        </w:tc>
      </w:tr>
      <w:tr w:rsidR="00C15440" w:rsidRPr="00A51E75" w14:paraId="1BA2D9AF" w14:textId="77777777" w:rsidTr="00ED28EE">
        <w:trPr>
          <w:trHeight w:val="640"/>
        </w:trPr>
        <w:tc>
          <w:tcPr>
            <w:tcW w:w="640" w:type="pct"/>
            <w:vMerge/>
            <w:noWrap/>
            <w:vAlign w:val="center"/>
            <w:hideMark/>
          </w:tcPr>
          <w:p w14:paraId="2C944418"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4F051D6A" w14:textId="77777777" w:rsidR="00C15440" w:rsidRPr="00A51E75" w:rsidRDefault="00C15440" w:rsidP="00C15440">
            <w:pPr>
              <w:rPr>
                <w:sz w:val="16"/>
                <w:szCs w:val="16"/>
              </w:rPr>
            </w:pPr>
          </w:p>
        </w:tc>
        <w:tc>
          <w:tcPr>
            <w:tcW w:w="295" w:type="pct"/>
            <w:noWrap/>
            <w:hideMark/>
          </w:tcPr>
          <w:p w14:paraId="12465D67" w14:textId="65FB53C7"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3079EF7E" w14:textId="67B2E952"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50E57BA8" w14:textId="55ADE300"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0EC5AF6E"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73300</w:t>
            </w:r>
          </w:p>
        </w:tc>
        <w:tc>
          <w:tcPr>
            <w:tcW w:w="639" w:type="pct"/>
            <w:vAlign w:val="center"/>
            <w:hideMark/>
          </w:tcPr>
          <w:p w14:paraId="50E7C8CE" w14:textId="77777777" w:rsidR="00C15440" w:rsidRPr="00D830D9" w:rsidRDefault="00C15440" w:rsidP="00C15440">
            <w:pPr>
              <w:rPr>
                <w:rFonts w:ascii="Calibri" w:hAnsi="Calibri" w:cs="Calibri"/>
                <w:color w:val="000000"/>
                <w:sz w:val="18"/>
                <w:szCs w:val="18"/>
                <w:lang w:val="es-EC"/>
              </w:rPr>
            </w:pPr>
            <w:r w:rsidRPr="00A51E75">
              <w:rPr>
                <w:rFonts w:ascii="Calibri" w:hAnsi="Calibri" w:cs="Calibri"/>
                <w:color w:val="000000"/>
                <w:sz w:val="18"/>
                <w:szCs w:val="18"/>
              </w:rPr>
              <w:t>Alquiler y cambio de ecualizadores de tecnología de información.</w:t>
            </w:r>
          </w:p>
        </w:tc>
        <w:tc>
          <w:tcPr>
            <w:tcW w:w="325" w:type="pct"/>
            <w:noWrap/>
            <w:vAlign w:val="center"/>
            <w:hideMark/>
          </w:tcPr>
          <w:p w14:paraId="670F695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2,918</w:t>
            </w:r>
          </w:p>
        </w:tc>
        <w:tc>
          <w:tcPr>
            <w:tcW w:w="325" w:type="pct"/>
            <w:noWrap/>
            <w:vAlign w:val="center"/>
            <w:hideMark/>
          </w:tcPr>
          <w:p w14:paraId="554A0F8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5,837</w:t>
            </w:r>
          </w:p>
        </w:tc>
        <w:tc>
          <w:tcPr>
            <w:tcW w:w="326" w:type="pct"/>
            <w:noWrap/>
            <w:vAlign w:val="center"/>
            <w:hideMark/>
          </w:tcPr>
          <w:p w14:paraId="1542290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7,297</w:t>
            </w:r>
          </w:p>
        </w:tc>
        <w:tc>
          <w:tcPr>
            <w:tcW w:w="325" w:type="pct"/>
            <w:noWrap/>
            <w:vAlign w:val="center"/>
            <w:hideMark/>
          </w:tcPr>
          <w:p w14:paraId="262C9E8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7,297</w:t>
            </w:r>
          </w:p>
        </w:tc>
        <w:tc>
          <w:tcPr>
            <w:tcW w:w="325" w:type="pct"/>
            <w:noWrap/>
            <w:vAlign w:val="center"/>
            <w:hideMark/>
          </w:tcPr>
          <w:p w14:paraId="18C96DB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5,837</w:t>
            </w:r>
          </w:p>
        </w:tc>
        <w:tc>
          <w:tcPr>
            <w:tcW w:w="287" w:type="pct"/>
            <w:noWrap/>
            <w:vAlign w:val="center"/>
            <w:hideMark/>
          </w:tcPr>
          <w:p w14:paraId="0283D25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29,186</w:t>
            </w:r>
          </w:p>
        </w:tc>
        <w:tc>
          <w:tcPr>
            <w:tcW w:w="125" w:type="pct"/>
            <w:noWrap/>
            <w:vAlign w:val="center"/>
            <w:hideMark/>
          </w:tcPr>
          <w:p w14:paraId="16281B0F"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11</w:t>
            </w:r>
          </w:p>
        </w:tc>
      </w:tr>
      <w:tr w:rsidR="00C15440" w:rsidRPr="00A51E75" w14:paraId="65EC4AD7" w14:textId="77777777" w:rsidTr="00ED28EE">
        <w:trPr>
          <w:trHeight w:val="300"/>
        </w:trPr>
        <w:tc>
          <w:tcPr>
            <w:tcW w:w="640" w:type="pct"/>
            <w:vMerge/>
            <w:noWrap/>
            <w:vAlign w:val="center"/>
            <w:hideMark/>
          </w:tcPr>
          <w:p w14:paraId="5185C0C7"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13416099" w14:textId="77777777" w:rsidR="00C15440" w:rsidRPr="00A51E75" w:rsidRDefault="00C15440" w:rsidP="00C15440">
            <w:pPr>
              <w:rPr>
                <w:sz w:val="16"/>
                <w:szCs w:val="16"/>
              </w:rPr>
            </w:pPr>
          </w:p>
        </w:tc>
        <w:tc>
          <w:tcPr>
            <w:tcW w:w="295" w:type="pct"/>
            <w:noWrap/>
            <w:hideMark/>
          </w:tcPr>
          <w:p w14:paraId="4E2379F0" w14:textId="75C9F97E"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4209DA68" w14:textId="0AEA6CA4"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0F0CA90B" w14:textId="5E5689CC"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73BDB5A1"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73400</w:t>
            </w:r>
          </w:p>
        </w:tc>
        <w:tc>
          <w:tcPr>
            <w:tcW w:w="639" w:type="pct"/>
            <w:noWrap/>
            <w:vAlign w:val="center"/>
            <w:hideMark/>
          </w:tcPr>
          <w:p w14:paraId="4FEDC8E4" w14:textId="77777777" w:rsidR="00C15440" w:rsidRPr="00D830D9" w:rsidRDefault="00C15440" w:rsidP="00C15440">
            <w:pPr>
              <w:rPr>
                <w:rFonts w:ascii="Calibri" w:hAnsi="Calibri" w:cs="Calibri"/>
                <w:color w:val="000000"/>
                <w:sz w:val="18"/>
                <w:szCs w:val="18"/>
                <w:lang w:val="es-EC"/>
              </w:rPr>
            </w:pPr>
            <w:r w:rsidRPr="00A51E75">
              <w:rPr>
                <w:rFonts w:ascii="Calibri" w:hAnsi="Calibri" w:cs="Calibri"/>
                <w:color w:val="000000"/>
                <w:sz w:val="18"/>
                <w:szCs w:val="18"/>
              </w:rPr>
              <w:t>Alquilar y reparar otros equipos.</w:t>
            </w:r>
          </w:p>
        </w:tc>
        <w:tc>
          <w:tcPr>
            <w:tcW w:w="325" w:type="pct"/>
            <w:noWrap/>
            <w:vAlign w:val="center"/>
            <w:hideMark/>
          </w:tcPr>
          <w:p w14:paraId="70409FC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1,946</w:t>
            </w:r>
          </w:p>
        </w:tc>
        <w:tc>
          <w:tcPr>
            <w:tcW w:w="325" w:type="pct"/>
            <w:noWrap/>
            <w:vAlign w:val="center"/>
            <w:hideMark/>
          </w:tcPr>
          <w:p w14:paraId="7A3E840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3,892</w:t>
            </w:r>
          </w:p>
        </w:tc>
        <w:tc>
          <w:tcPr>
            <w:tcW w:w="326" w:type="pct"/>
            <w:noWrap/>
            <w:vAlign w:val="center"/>
            <w:hideMark/>
          </w:tcPr>
          <w:p w14:paraId="4B5C391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4,864</w:t>
            </w:r>
          </w:p>
        </w:tc>
        <w:tc>
          <w:tcPr>
            <w:tcW w:w="325" w:type="pct"/>
            <w:noWrap/>
            <w:vAlign w:val="center"/>
            <w:hideMark/>
          </w:tcPr>
          <w:p w14:paraId="2C070FE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4,864</w:t>
            </w:r>
          </w:p>
        </w:tc>
        <w:tc>
          <w:tcPr>
            <w:tcW w:w="325" w:type="pct"/>
            <w:vAlign w:val="center"/>
            <w:hideMark/>
          </w:tcPr>
          <w:p w14:paraId="25F9137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3,892</w:t>
            </w:r>
          </w:p>
        </w:tc>
        <w:tc>
          <w:tcPr>
            <w:tcW w:w="287" w:type="pct"/>
            <w:noWrap/>
            <w:vAlign w:val="center"/>
            <w:hideMark/>
          </w:tcPr>
          <w:p w14:paraId="5F6D79B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19,458</w:t>
            </w:r>
          </w:p>
        </w:tc>
        <w:tc>
          <w:tcPr>
            <w:tcW w:w="125" w:type="pct"/>
            <w:noWrap/>
            <w:vAlign w:val="center"/>
            <w:hideMark/>
          </w:tcPr>
          <w:p w14:paraId="05E2B953"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12</w:t>
            </w:r>
          </w:p>
        </w:tc>
      </w:tr>
      <w:tr w:rsidR="00C15440" w:rsidRPr="00A51E75" w14:paraId="67F96D72" w14:textId="77777777" w:rsidTr="00ED28EE">
        <w:trPr>
          <w:trHeight w:val="640"/>
        </w:trPr>
        <w:tc>
          <w:tcPr>
            <w:tcW w:w="640" w:type="pct"/>
            <w:vMerge/>
            <w:noWrap/>
            <w:vAlign w:val="center"/>
            <w:hideMark/>
          </w:tcPr>
          <w:p w14:paraId="350001F5"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5C57E467" w14:textId="77777777" w:rsidR="00C15440" w:rsidRPr="00A51E75" w:rsidRDefault="00C15440" w:rsidP="00C15440">
            <w:pPr>
              <w:rPr>
                <w:sz w:val="16"/>
                <w:szCs w:val="16"/>
              </w:rPr>
            </w:pPr>
          </w:p>
        </w:tc>
        <w:tc>
          <w:tcPr>
            <w:tcW w:w="295" w:type="pct"/>
            <w:noWrap/>
            <w:hideMark/>
          </w:tcPr>
          <w:p w14:paraId="32E21970" w14:textId="60754ECF" w:rsidR="00C15440" w:rsidRPr="00A51E75" w:rsidRDefault="00C15440" w:rsidP="00C15440">
            <w:pPr>
              <w:rPr>
                <w:sz w:val="18"/>
                <w:szCs w:val="18"/>
              </w:rPr>
            </w:pPr>
            <w:r w:rsidRPr="00B47D2E">
              <w:rPr>
                <w:rFonts w:ascii="Calibri" w:hAnsi="Calibri" w:cs="Calibri"/>
                <w:color w:val="000000"/>
                <w:sz w:val="18"/>
                <w:szCs w:val="18"/>
              </w:rPr>
              <w:t>PNUD</w:t>
            </w:r>
          </w:p>
        </w:tc>
        <w:tc>
          <w:tcPr>
            <w:tcW w:w="246" w:type="pct"/>
            <w:noWrap/>
            <w:vAlign w:val="center"/>
            <w:hideMark/>
          </w:tcPr>
          <w:p w14:paraId="26F6A53F" w14:textId="38F1361F"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5F2E2745" w14:textId="18B60307"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08A5638D"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75700</w:t>
            </w:r>
          </w:p>
        </w:tc>
        <w:tc>
          <w:tcPr>
            <w:tcW w:w="639" w:type="pct"/>
            <w:vAlign w:val="center"/>
            <w:hideMark/>
          </w:tcPr>
          <w:p w14:paraId="4BE8D7C3"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Formación, talleres y conferencias</w:t>
            </w:r>
          </w:p>
        </w:tc>
        <w:tc>
          <w:tcPr>
            <w:tcW w:w="325" w:type="pct"/>
            <w:noWrap/>
            <w:vAlign w:val="center"/>
            <w:hideMark/>
          </w:tcPr>
          <w:p w14:paraId="3EAA2EE1" w14:textId="77777777" w:rsidR="00C15440" w:rsidRPr="00A51E75" w:rsidRDefault="00C15440" w:rsidP="00C15440">
            <w:pPr>
              <w:jc w:val="right"/>
              <w:rPr>
                <w:rFonts w:ascii="Calibri" w:hAnsi="Calibri" w:cs="Calibri"/>
                <w:color w:val="000000"/>
                <w:sz w:val="16"/>
                <w:szCs w:val="16"/>
              </w:rPr>
            </w:pPr>
          </w:p>
        </w:tc>
        <w:tc>
          <w:tcPr>
            <w:tcW w:w="325" w:type="pct"/>
            <w:noWrap/>
            <w:vAlign w:val="center"/>
            <w:hideMark/>
          </w:tcPr>
          <w:p w14:paraId="21D53BD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10,000</w:t>
            </w:r>
          </w:p>
        </w:tc>
        <w:tc>
          <w:tcPr>
            <w:tcW w:w="326" w:type="pct"/>
            <w:noWrap/>
            <w:vAlign w:val="center"/>
            <w:hideMark/>
          </w:tcPr>
          <w:p w14:paraId="0C647EB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10,000</w:t>
            </w:r>
          </w:p>
        </w:tc>
        <w:tc>
          <w:tcPr>
            <w:tcW w:w="325" w:type="pct"/>
            <w:noWrap/>
            <w:vAlign w:val="center"/>
            <w:hideMark/>
          </w:tcPr>
          <w:p w14:paraId="065F133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10,000</w:t>
            </w:r>
          </w:p>
        </w:tc>
        <w:tc>
          <w:tcPr>
            <w:tcW w:w="325" w:type="pct"/>
            <w:vAlign w:val="center"/>
            <w:hideMark/>
          </w:tcPr>
          <w:p w14:paraId="087211A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10,000</w:t>
            </w:r>
          </w:p>
        </w:tc>
        <w:tc>
          <w:tcPr>
            <w:tcW w:w="287" w:type="pct"/>
            <w:noWrap/>
            <w:vAlign w:val="center"/>
            <w:hideMark/>
          </w:tcPr>
          <w:p w14:paraId="1B1C359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40,000</w:t>
            </w:r>
          </w:p>
        </w:tc>
        <w:tc>
          <w:tcPr>
            <w:tcW w:w="125" w:type="pct"/>
            <w:noWrap/>
            <w:vAlign w:val="center"/>
            <w:hideMark/>
          </w:tcPr>
          <w:p w14:paraId="2440E0B6"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13</w:t>
            </w:r>
          </w:p>
        </w:tc>
      </w:tr>
      <w:tr w:rsidR="001E40B9" w:rsidRPr="00A51E75" w14:paraId="6A83C2E6" w14:textId="77777777" w:rsidTr="00B303D6">
        <w:trPr>
          <w:trHeight w:val="300"/>
        </w:trPr>
        <w:tc>
          <w:tcPr>
            <w:tcW w:w="640" w:type="pct"/>
            <w:vMerge/>
            <w:noWrap/>
            <w:vAlign w:val="center"/>
            <w:hideMark/>
          </w:tcPr>
          <w:p w14:paraId="66E8AB9E"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070CBA3F" w14:textId="77777777" w:rsidR="001E40B9" w:rsidRPr="00A51E75" w:rsidRDefault="001E40B9" w:rsidP="00B303D6">
            <w:pPr>
              <w:rPr>
                <w:sz w:val="16"/>
                <w:szCs w:val="16"/>
              </w:rPr>
            </w:pPr>
          </w:p>
        </w:tc>
        <w:tc>
          <w:tcPr>
            <w:tcW w:w="295" w:type="pct"/>
            <w:noWrap/>
            <w:vAlign w:val="center"/>
            <w:hideMark/>
          </w:tcPr>
          <w:p w14:paraId="0E51C14E" w14:textId="21D4EB81"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71718C93"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2C2AC8EF" w14:textId="77777777" w:rsidR="001E40B9" w:rsidRPr="00A51E75" w:rsidRDefault="001E40B9" w:rsidP="00B303D6">
            <w:pPr>
              <w:rPr>
                <w:sz w:val="18"/>
                <w:szCs w:val="18"/>
              </w:rPr>
            </w:pPr>
          </w:p>
        </w:tc>
        <w:tc>
          <w:tcPr>
            <w:tcW w:w="246" w:type="pct"/>
            <w:noWrap/>
            <w:vAlign w:val="center"/>
            <w:hideMark/>
          </w:tcPr>
          <w:p w14:paraId="006B3119" w14:textId="77777777" w:rsidR="001E40B9" w:rsidRPr="00A51E75" w:rsidRDefault="001E40B9" w:rsidP="00B303D6">
            <w:pPr>
              <w:rPr>
                <w:sz w:val="18"/>
                <w:szCs w:val="18"/>
              </w:rPr>
            </w:pPr>
          </w:p>
        </w:tc>
        <w:tc>
          <w:tcPr>
            <w:tcW w:w="639" w:type="pct"/>
            <w:noWrap/>
            <w:vAlign w:val="center"/>
            <w:hideMark/>
          </w:tcPr>
          <w:p w14:paraId="2B474F5F" w14:textId="77777777" w:rsidR="001E40B9" w:rsidRPr="00A51E75" w:rsidRDefault="001E40B9" w:rsidP="00B303D6">
            <w:pPr>
              <w:rPr>
                <w:sz w:val="18"/>
                <w:szCs w:val="18"/>
              </w:rPr>
            </w:pPr>
          </w:p>
        </w:tc>
        <w:tc>
          <w:tcPr>
            <w:tcW w:w="325" w:type="pct"/>
            <w:noWrap/>
            <w:vAlign w:val="center"/>
            <w:hideMark/>
          </w:tcPr>
          <w:p w14:paraId="69BCA75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390,269</w:t>
            </w:r>
          </w:p>
        </w:tc>
        <w:tc>
          <w:tcPr>
            <w:tcW w:w="325" w:type="pct"/>
            <w:noWrap/>
            <w:vAlign w:val="center"/>
            <w:hideMark/>
          </w:tcPr>
          <w:p w14:paraId="056C5996"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1,093,113</w:t>
            </w:r>
          </w:p>
        </w:tc>
        <w:tc>
          <w:tcPr>
            <w:tcW w:w="326" w:type="pct"/>
            <w:noWrap/>
            <w:vAlign w:val="center"/>
            <w:hideMark/>
          </w:tcPr>
          <w:p w14:paraId="28B5884A"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649,557</w:t>
            </w:r>
          </w:p>
        </w:tc>
        <w:tc>
          <w:tcPr>
            <w:tcW w:w="325" w:type="pct"/>
            <w:noWrap/>
            <w:vAlign w:val="center"/>
            <w:hideMark/>
          </w:tcPr>
          <w:p w14:paraId="573A4C9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252,624</w:t>
            </w:r>
          </w:p>
        </w:tc>
        <w:tc>
          <w:tcPr>
            <w:tcW w:w="325" w:type="pct"/>
            <w:noWrap/>
            <w:vAlign w:val="center"/>
            <w:hideMark/>
          </w:tcPr>
          <w:p w14:paraId="7298D7D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124,825</w:t>
            </w:r>
          </w:p>
        </w:tc>
        <w:tc>
          <w:tcPr>
            <w:tcW w:w="287" w:type="pct"/>
            <w:noWrap/>
            <w:vAlign w:val="center"/>
            <w:hideMark/>
          </w:tcPr>
          <w:p w14:paraId="6C9CC8D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2,510,388</w:t>
            </w:r>
          </w:p>
        </w:tc>
        <w:tc>
          <w:tcPr>
            <w:tcW w:w="125" w:type="pct"/>
            <w:noWrap/>
            <w:vAlign w:val="center"/>
            <w:hideMark/>
          </w:tcPr>
          <w:p w14:paraId="55D1BE70" w14:textId="77777777" w:rsidR="001E40B9" w:rsidRPr="00A51E75" w:rsidRDefault="001E40B9" w:rsidP="00B303D6">
            <w:pPr>
              <w:jc w:val="center"/>
              <w:rPr>
                <w:rFonts w:ascii="Calibri" w:hAnsi="Calibri" w:cs="Calibri"/>
                <w:b/>
                <w:bCs/>
                <w:color w:val="000000"/>
                <w:sz w:val="16"/>
                <w:szCs w:val="16"/>
              </w:rPr>
            </w:pPr>
          </w:p>
        </w:tc>
      </w:tr>
      <w:tr w:rsidR="001E40B9" w:rsidRPr="00A51E75" w14:paraId="22EA243F" w14:textId="77777777" w:rsidTr="00B303D6">
        <w:trPr>
          <w:trHeight w:val="300"/>
        </w:trPr>
        <w:tc>
          <w:tcPr>
            <w:tcW w:w="640" w:type="pct"/>
            <w:vMerge/>
            <w:noWrap/>
            <w:vAlign w:val="center"/>
            <w:hideMark/>
          </w:tcPr>
          <w:p w14:paraId="5BD8E731" w14:textId="77777777" w:rsidR="001E40B9" w:rsidRPr="00A51E75" w:rsidRDefault="001E40B9" w:rsidP="00B303D6">
            <w:pPr>
              <w:rPr>
                <w:sz w:val="16"/>
                <w:szCs w:val="16"/>
              </w:rPr>
            </w:pPr>
          </w:p>
        </w:tc>
        <w:tc>
          <w:tcPr>
            <w:tcW w:w="945" w:type="pct"/>
            <w:gridSpan w:val="2"/>
            <w:noWrap/>
            <w:vAlign w:val="center"/>
            <w:hideMark/>
          </w:tcPr>
          <w:p w14:paraId="2B2A2363"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Resultado total 2.1</w:t>
            </w:r>
          </w:p>
        </w:tc>
        <w:tc>
          <w:tcPr>
            <w:tcW w:w="246" w:type="pct"/>
            <w:noWrap/>
            <w:vAlign w:val="center"/>
            <w:hideMark/>
          </w:tcPr>
          <w:p w14:paraId="0A9C459D"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282757CD" w14:textId="77777777" w:rsidR="001E40B9" w:rsidRPr="00A51E75" w:rsidRDefault="001E40B9" w:rsidP="00B303D6">
            <w:pPr>
              <w:rPr>
                <w:sz w:val="18"/>
                <w:szCs w:val="18"/>
              </w:rPr>
            </w:pPr>
          </w:p>
        </w:tc>
        <w:tc>
          <w:tcPr>
            <w:tcW w:w="246" w:type="pct"/>
            <w:noWrap/>
            <w:vAlign w:val="center"/>
            <w:hideMark/>
          </w:tcPr>
          <w:p w14:paraId="08601D0E" w14:textId="77777777" w:rsidR="001E40B9" w:rsidRPr="00A51E75" w:rsidRDefault="001E40B9" w:rsidP="00B303D6">
            <w:pPr>
              <w:rPr>
                <w:sz w:val="18"/>
                <w:szCs w:val="18"/>
              </w:rPr>
            </w:pPr>
          </w:p>
        </w:tc>
        <w:tc>
          <w:tcPr>
            <w:tcW w:w="639" w:type="pct"/>
            <w:noWrap/>
            <w:vAlign w:val="center"/>
            <w:hideMark/>
          </w:tcPr>
          <w:p w14:paraId="6A4763CC" w14:textId="77777777" w:rsidR="001E40B9" w:rsidRPr="00A51E75" w:rsidRDefault="001E40B9" w:rsidP="00B303D6">
            <w:pPr>
              <w:rPr>
                <w:sz w:val="18"/>
                <w:szCs w:val="18"/>
              </w:rPr>
            </w:pPr>
          </w:p>
        </w:tc>
        <w:tc>
          <w:tcPr>
            <w:tcW w:w="325" w:type="pct"/>
            <w:vAlign w:val="center"/>
            <w:hideMark/>
          </w:tcPr>
          <w:p w14:paraId="4FCC6E6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390,269</w:t>
            </w:r>
          </w:p>
        </w:tc>
        <w:tc>
          <w:tcPr>
            <w:tcW w:w="325" w:type="pct"/>
            <w:vAlign w:val="center"/>
            <w:hideMark/>
          </w:tcPr>
          <w:p w14:paraId="70B4A22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1,093,113</w:t>
            </w:r>
          </w:p>
        </w:tc>
        <w:tc>
          <w:tcPr>
            <w:tcW w:w="326" w:type="pct"/>
            <w:vAlign w:val="center"/>
            <w:hideMark/>
          </w:tcPr>
          <w:p w14:paraId="5CBDEDF0"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649,557</w:t>
            </w:r>
          </w:p>
        </w:tc>
        <w:tc>
          <w:tcPr>
            <w:tcW w:w="325" w:type="pct"/>
            <w:vAlign w:val="center"/>
            <w:hideMark/>
          </w:tcPr>
          <w:p w14:paraId="7D5DF18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252,624</w:t>
            </w:r>
          </w:p>
        </w:tc>
        <w:tc>
          <w:tcPr>
            <w:tcW w:w="325" w:type="pct"/>
            <w:vAlign w:val="center"/>
            <w:hideMark/>
          </w:tcPr>
          <w:p w14:paraId="1807534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124,825</w:t>
            </w:r>
          </w:p>
        </w:tc>
        <w:tc>
          <w:tcPr>
            <w:tcW w:w="287" w:type="pct"/>
            <w:vAlign w:val="center"/>
            <w:hideMark/>
          </w:tcPr>
          <w:p w14:paraId="6C12D49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2,510,388</w:t>
            </w:r>
          </w:p>
        </w:tc>
        <w:tc>
          <w:tcPr>
            <w:tcW w:w="125" w:type="pct"/>
            <w:noWrap/>
            <w:vAlign w:val="center"/>
            <w:hideMark/>
          </w:tcPr>
          <w:p w14:paraId="297259C2" w14:textId="77777777" w:rsidR="001E40B9" w:rsidRPr="00A51E75" w:rsidRDefault="001E40B9" w:rsidP="00B303D6">
            <w:pPr>
              <w:jc w:val="center"/>
              <w:rPr>
                <w:rFonts w:ascii="Calibri" w:hAnsi="Calibri" w:cs="Calibri"/>
                <w:b/>
                <w:bCs/>
                <w:color w:val="000000"/>
                <w:sz w:val="16"/>
                <w:szCs w:val="16"/>
              </w:rPr>
            </w:pPr>
          </w:p>
        </w:tc>
      </w:tr>
      <w:tr w:rsidR="00C15440" w:rsidRPr="00A51E75" w14:paraId="18DEEB38" w14:textId="77777777" w:rsidTr="00745CB4">
        <w:trPr>
          <w:trHeight w:val="300"/>
        </w:trPr>
        <w:tc>
          <w:tcPr>
            <w:tcW w:w="640" w:type="pct"/>
            <w:vMerge/>
            <w:noWrap/>
            <w:vAlign w:val="center"/>
            <w:hideMark/>
          </w:tcPr>
          <w:p w14:paraId="0B7D4448" w14:textId="77777777" w:rsidR="00C15440" w:rsidRPr="00A51E75" w:rsidRDefault="00C15440" w:rsidP="00C15440">
            <w:pPr>
              <w:rPr>
                <w:rFonts w:ascii="Calibri" w:hAnsi="Calibri" w:cs="Calibri"/>
                <w:b/>
                <w:bCs/>
                <w:color w:val="000000"/>
                <w:sz w:val="16"/>
                <w:szCs w:val="16"/>
                <w:lang w:val="en-US"/>
              </w:rPr>
            </w:pPr>
          </w:p>
        </w:tc>
        <w:tc>
          <w:tcPr>
            <w:tcW w:w="650" w:type="pct"/>
            <w:vMerge w:val="restart"/>
            <w:noWrap/>
            <w:vAlign w:val="center"/>
          </w:tcPr>
          <w:p w14:paraId="5FB124E4" w14:textId="77777777" w:rsidR="00C15440" w:rsidRPr="00D830D9" w:rsidRDefault="00C15440" w:rsidP="00C15440">
            <w:pPr>
              <w:rPr>
                <w:rFonts w:ascii="Calibri" w:hAnsi="Calibri" w:cs="Calibri"/>
                <w:color w:val="000000"/>
                <w:sz w:val="16"/>
                <w:szCs w:val="16"/>
                <w:lang w:val="es-EC"/>
              </w:rPr>
            </w:pPr>
            <w:r w:rsidRPr="00A51E75">
              <w:rPr>
                <w:rFonts w:ascii="Calibri" w:hAnsi="Calibri" w:cs="Calibri"/>
                <w:b/>
                <w:bCs/>
                <w:color w:val="000000"/>
                <w:sz w:val="16"/>
                <w:szCs w:val="16"/>
              </w:rPr>
              <w:t>Resultado 2.2: Los sistemas de producción agrícola sostenibles y eficientes aumentan los beneficios sociales, económicos y medioambientales:</w:t>
            </w:r>
          </w:p>
        </w:tc>
        <w:tc>
          <w:tcPr>
            <w:tcW w:w="295" w:type="pct"/>
            <w:noWrap/>
          </w:tcPr>
          <w:p w14:paraId="29E13B83" w14:textId="0B39B1A6" w:rsidR="00C15440" w:rsidRPr="00A51E75" w:rsidRDefault="00C15440" w:rsidP="00C15440">
            <w:pPr>
              <w:rPr>
                <w:rFonts w:ascii="Calibri" w:hAnsi="Calibri" w:cs="Calibri"/>
                <w:color w:val="000000"/>
                <w:sz w:val="18"/>
                <w:szCs w:val="18"/>
              </w:rPr>
            </w:pPr>
            <w:r w:rsidRPr="002E217A">
              <w:rPr>
                <w:rFonts w:ascii="Calibri" w:hAnsi="Calibri" w:cs="Calibri"/>
                <w:color w:val="000000"/>
                <w:sz w:val="18"/>
                <w:szCs w:val="18"/>
              </w:rPr>
              <w:t>PNUD</w:t>
            </w:r>
          </w:p>
        </w:tc>
        <w:tc>
          <w:tcPr>
            <w:tcW w:w="246" w:type="pct"/>
            <w:noWrap/>
            <w:vAlign w:val="center"/>
          </w:tcPr>
          <w:p w14:paraId="40B4CDA8"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7342814B"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5966FD3A"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71300</w:t>
            </w:r>
          </w:p>
        </w:tc>
        <w:tc>
          <w:tcPr>
            <w:tcW w:w="639" w:type="pct"/>
            <w:noWrap/>
            <w:vAlign w:val="center"/>
            <w:hideMark/>
          </w:tcPr>
          <w:p w14:paraId="5F0D71F6"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Consultores locales</w:t>
            </w:r>
          </w:p>
        </w:tc>
        <w:tc>
          <w:tcPr>
            <w:tcW w:w="325" w:type="pct"/>
            <w:vAlign w:val="center"/>
            <w:hideMark/>
          </w:tcPr>
          <w:p w14:paraId="21D9C6A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15,661</w:t>
            </w:r>
          </w:p>
        </w:tc>
        <w:tc>
          <w:tcPr>
            <w:tcW w:w="325" w:type="pct"/>
            <w:noWrap/>
            <w:vAlign w:val="center"/>
            <w:hideMark/>
          </w:tcPr>
          <w:p w14:paraId="3AA7D2A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54,818</w:t>
            </w:r>
          </w:p>
        </w:tc>
        <w:tc>
          <w:tcPr>
            <w:tcW w:w="326" w:type="pct"/>
            <w:noWrap/>
            <w:vAlign w:val="center"/>
            <w:hideMark/>
          </w:tcPr>
          <w:p w14:paraId="534961E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86,142</w:t>
            </w:r>
          </w:p>
        </w:tc>
        <w:tc>
          <w:tcPr>
            <w:tcW w:w="325" w:type="pct"/>
            <w:noWrap/>
            <w:vAlign w:val="center"/>
            <w:hideMark/>
          </w:tcPr>
          <w:p w14:paraId="413CCF54" w14:textId="77777777" w:rsidR="00C15440" w:rsidRPr="00A51E75" w:rsidRDefault="00C15440" w:rsidP="00C15440">
            <w:pPr>
              <w:jc w:val="right"/>
              <w:rPr>
                <w:rFonts w:ascii="Calibri" w:hAnsi="Calibri" w:cs="Calibri"/>
                <w:color w:val="000000"/>
                <w:sz w:val="16"/>
                <w:szCs w:val="16"/>
              </w:rPr>
            </w:pPr>
          </w:p>
        </w:tc>
        <w:tc>
          <w:tcPr>
            <w:tcW w:w="325" w:type="pct"/>
            <w:noWrap/>
            <w:vAlign w:val="center"/>
            <w:hideMark/>
          </w:tcPr>
          <w:p w14:paraId="54EA9425" w14:textId="77777777" w:rsidR="00C15440" w:rsidRPr="00A51E75" w:rsidRDefault="00C15440" w:rsidP="00C15440">
            <w:pPr>
              <w:jc w:val="right"/>
              <w:rPr>
                <w:sz w:val="16"/>
                <w:szCs w:val="16"/>
              </w:rPr>
            </w:pPr>
          </w:p>
        </w:tc>
        <w:tc>
          <w:tcPr>
            <w:tcW w:w="287" w:type="pct"/>
            <w:noWrap/>
            <w:vAlign w:val="center"/>
            <w:hideMark/>
          </w:tcPr>
          <w:p w14:paraId="464225F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156,621</w:t>
            </w:r>
          </w:p>
        </w:tc>
        <w:tc>
          <w:tcPr>
            <w:tcW w:w="125" w:type="pct"/>
            <w:noWrap/>
            <w:vAlign w:val="center"/>
            <w:hideMark/>
          </w:tcPr>
          <w:p w14:paraId="72B80684"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14</w:t>
            </w:r>
          </w:p>
        </w:tc>
      </w:tr>
      <w:tr w:rsidR="00C15440" w:rsidRPr="00A51E75" w14:paraId="7AED23DB" w14:textId="77777777" w:rsidTr="00745CB4">
        <w:trPr>
          <w:trHeight w:val="300"/>
        </w:trPr>
        <w:tc>
          <w:tcPr>
            <w:tcW w:w="640" w:type="pct"/>
            <w:vMerge/>
            <w:noWrap/>
            <w:vAlign w:val="center"/>
            <w:hideMark/>
          </w:tcPr>
          <w:p w14:paraId="3AF28129"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0451D61E" w14:textId="77777777" w:rsidR="00C15440" w:rsidRPr="00A51E75" w:rsidRDefault="00C15440" w:rsidP="00C15440">
            <w:pPr>
              <w:rPr>
                <w:sz w:val="16"/>
                <w:szCs w:val="16"/>
              </w:rPr>
            </w:pPr>
          </w:p>
        </w:tc>
        <w:tc>
          <w:tcPr>
            <w:tcW w:w="295" w:type="pct"/>
            <w:noWrap/>
            <w:hideMark/>
          </w:tcPr>
          <w:p w14:paraId="528FF6AB" w14:textId="3F60F17D" w:rsidR="00C15440" w:rsidRPr="00A51E75" w:rsidRDefault="00C15440" w:rsidP="00C15440">
            <w:pPr>
              <w:rPr>
                <w:sz w:val="18"/>
                <w:szCs w:val="18"/>
              </w:rPr>
            </w:pPr>
            <w:r w:rsidRPr="002E217A">
              <w:rPr>
                <w:rFonts w:ascii="Calibri" w:hAnsi="Calibri" w:cs="Calibri"/>
                <w:color w:val="000000"/>
                <w:sz w:val="18"/>
                <w:szCs w:val="18"/>
              </w:rPr>
              <w:t>PNUD</w:t>
            </w:r>
          </w:p>
        </w:tc>
        <w:tc>
          <w:tcPr>
            <w:tcW w:w="246" w:type="pct"/>
            <w:noWrap/>
            <w:vAlign w:val="center"/>
            <w:hideMark/>
          </w:tcPr>
          <w:p w14:paraId="77F6D9AE" w14:textId="4C0BA640"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5409E710" w14:textId="75F5D351"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1AF23E96"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noWrap/>
            <w:vAlign w:val="center"/>
            <w:hideMark/>
          </w:tcPr>
          <w:p w14:paraId="5A57B7F0"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72385BE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105,287</w:t>
            </w:r>
          </w:p>
        </w:tc>
        <w:tc>
          <w:tcPr>
            <w:tcW w:w="325" w:type="pct"/>
            <w:noWrap/>
            <w:vAlign w:val="center"/>
            <w:hideMark/>
          </w:tcPr>
          <w:p w14:paraId="772ADEC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210,575</w:t>
            </w:r>
          </w:p>
        </w:tc>
        <w:tc>
          <w:tcPr>
            <w:tcW w:w="326" w:type="pct"/>
            <w:noWrap/>
            <w:vAlign w:val="center"/>
            <w:hideMark/>
          </w:tcPr>
          <w:p w14:paraId="42B21A5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210,575</w:t>
            </w:r>
          </w:p>
        </w:tc>
        <w:tc>
          <w:tcPr>
            <w:tcW w:w="325" w:type="pct"/>
            <w:noWrap/>
            <w:vAlign w:val="center"/>
            <w:hideMark/>
          </w:tcPr>
          <w:p w14:paraId="45A95A8A"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140,383</w:t>
            </w:r>
          </w:p>
        </w:tc>
        <w:tc>
          <w:tcPr>
            <w:tcW w:w="325" w:type="pct"/>
            <w:vAlign w:val="center"/>
            <w:hideMark/>
          </w:tcPr>
          <w:p w14:paraId="0D033F4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35,096</w:t>
            </w:r>
          </w:p>
        </w:tc>
        <w:tc>
          <w:tcPr>
            <w:tcW w:w="287" w:type="pct"/>
            <w:noWrap/>
            <w:vAlign w:val="center"/>
            <w:hideMark/>
          </w:tcPr>
          <w:p w14:paraId="509FEDF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701,916</w:t>
            </w:r>
          </w:p>
        </w:tc>
        <w:tc>
          <w:tcPr>
            <w:tcW w:w="125" w:type="pct"/>
            <w:noWrap/>
            <w:vAlign w:val="center"/>
            <w:hideMark/>
          </w:tcPr>
          <w:p w14:paraId="2278449E"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15</w:t>
            </w:r>
          </w:p>
        </w:tc>
      </w:tr>
      <w:tr w:rsidR="00C15440" w:rsidRPr="00A51E75" w14:paraId="09CB93F8" w14:textId="77777777" w:rsidTr="00745CB4">
        <w:trPr>
          <w:trHeight w:val="300"/>
        </w:trPr>
        <w:tc>
          <w:tcPr>
            <w:tcW w:w="640" w:type="pct"/>
            <w:vMerge/>
            <w:noWrap/>
            <w:vAlign w:val="center"/>
            <w:hideMark/>
          </w:tcPr>
          <w:p w14:paraId="76858D2E"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7C860B07" w14:textId="77777777" w:rsidR="00C15440" w:rsidRPr="00A51E75" w:rsidRDefault="00C15440" w:rsidP="00C15440">
            <w:pPr>
              <w:rPr>
                <w:sz w:val="16"/>
                <w:szCs w:val="16"/>
              </w:rPr>
            </w:pPr>
          </w:p>
        </w:tc>
        <w:tc>
          <w:tcPr>
            <w:tcW w:w="295" w:type="pct"/>
            <w:noWrap/>
            <w:hideMark/>
          </w:tcPr>
          <w:p w14:paraId="3D620C58" w14:textId="051D2D7E" w:rsidR="00C15440" w:rsidRPr="00A51E75" w:rsidRDefault="00C15440" w:rsidP="00C15440">
            <w:pPr>
              <w:rPr>
                <w:sz w:val="18"/>
                <w:szCs w:val="18"/>
              </w:rPr>
            </w:pPr>
            <w:r w:rsidRPr="002E217A">
              <w:rPr>
                <w:rFonts w:ascii="Calibri" w:hAnsi="Calibri" w:cs="Calibri"/>
                <w:color w:val="000000"/>
                <w:sz w:val="18"/>
                <w:szCs w:val="18"/>
              </w:rPr>
              <w:t>PNUD</w:t>
            </w:r>
          </w:p>
        </w:tc>
        <w:tc>
          <w:tcPr>
            <w:tcW w:w="246" w:type="pct"/>
            <w:noWrap/>
            <w:vAlign w:val="center"/>
            <w:hideMark/>
          </w:tcPr>
          <w:p w14:paraId="75806F19" w14:textId="72B8C41B"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5B32F7D5" w14:textId="35483F6A"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4D5A99FE"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71600</w:t>
            </w:r>
          </w:p>
        </w:tc>
        <w:tc>
          <w:tcPr>
            <w:tcW w:w="639" w:type="pct"/>
            <w:noWrap/>
            <w:vAlign w:val="center"/>
            <w:hideMark/>
          </w:tcPr>
          <w:p w14:paraId="27D28987"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Viajes</w:t>
            </w:r>
          </w:p>
        </w:tc>
        <w:tc>
          <w:tcPr>
            <w:tcW w:w="325" w:type="pct"/>
            <w:noWrap/>
            <w:vAlign w:val="center"/>
            <w:hideMark/>
          </w:tcPr>
          <w:p w14:paraId="52F2DB3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32,253</w:t>
            </w:r>
          </w:p>
        </w:tc>
        <w:tc>
          <w:tcPr>
            <w:tcW w:w="325" w:type="pct"/>
            <w:noWrap/>
            <w:vAlign w:val="center"/>
            <w:hideMark/>
          </w:tcPr>
          <w:p w14:paraId="49D1427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53,636</w:t>
            </w:r>
          </w:p>
        </w:tc>
        <w:tc>
          <w:tcPr>
            <w:tcW w:w="326" w:type="pct"/>
            <w:noWrap/>
            <w:vAlign w:val="center"/>
            <w:hideMark/>
          </w:tcPr>
          <w:p w14:paraId="7BEEEB5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53,636</w:t>
            </w:r>
          </w:p>
        </w:tc>
        <w:tc>
          <w:tcPr>
            <w:tcW w:w="325" w:type="pct"/>
            <w:noWrap/>
            <w:vAlign w:val="center"/>
            <w:hideMark/>
          </w:tcPr>
          <w:p w14:paraId="17C7B0A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42,908</w:t>
            </w:r>
          </w:p>
        </w:tc>
        <w:tc>
          <w:tcPr>
            <w:tcW w:w="325" w:type="pct"/>
            <w:vAlign w:val="center"/>
            <w:hideMark/>
          </w:tcPr>
          <w:p w14:paraId="62D142F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32,181</w:t>
            </w:r>
          </w:p>
        </w:tc>
        <w:tc>
          <w:tcPr>
            <w:tcW w:w="287" w:type="pct"/>
            <w:noWrap/>
            <w:vAlign w:val="center"/>
            <w:hideMark/>
          </w:tcPr>
          <w:p w14:paraId="1104174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214,614</w:t>
            </w:r>
          </w:p>
        </w:tc>
        <w:tc>
          <w:tcPr>
            <w:tcW w:w="125" w:type="pct"/>
            <w:noWrap/>
            <w:vAlign w:val="center"/>
            <w:hideMark/>
          </w:tcPr>
          <w:p w14:paraId="64FE45E0"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16</w:t>
            </w:r>
          </w:p>
        </w:tc>
      </w:tr>
      <w:tr w:rsidR="00C15440" w:rsidRPr="00A51E75" w14:paraId="04859126" w14:textId="77777777" w:rsidTr="00745CB4">
        <w:trPr>
          <w:trHeight w:val="320"/>
        </w:trPr>
        <w:tc>
          <w:tcPr>
            <w:tcW w:w="640" w:type="pct"/>
            <w:vMerge/>
            <w:noWrap/>
            <w:vAlign w:val="center"/>
            <w:hideMark/>
          </w:tcPr>
          <w:p w14:paraId="61F852A7"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0E87CE67" w14:textId="77777777" w:rsidR="00C15440" w:rsidRPr="00A51E75" w:rsidRDefault="00C15440" w:rsidP="00C15440">
            <w:pPr>
              <w:rPr>
                <w:sz w:val="16"/>
                <w:szCs w:val="16"/>
              </w:rPr>
            </w:pPr>
          </w:p>
        </w:tc>
        <w:tc>
          <w:tcPr>
            <w:tcW w:w="295" w:type="pct"/>
            <w:noWrap/>
            <w:hideMark/>
          </w:tcPr>
          <w:p w14:paraId="0B05F0F4" w14:textId="4B66EF86" w:rsidR="00C15440" w:rsidRPr="00A51E75" w:rsidRDefault="00C15440" w:rsidP="00C15440">
            <w:pPr>
              <w:rPr>
                <w:sz w:val="18"/>
                <w:szCs w:val="18"/>
              </w:rPr>
            </w:pPr>
            <w:r w:rsidRPr="002E217A">
              <w:rPr>
                <w:rFonts w:ascii="Calibri" w:hAnsi="Calibri" w:cs="Calibri"/>
                <w:color w:val="000000"/>
                <w:sz w:val="18"/>
                <w:szCs w:val="18"/>
              </w:rPr>
              <w:t>PNUD</w:t>
            </w:r>
          </w:p>
        </w:tc>
        <w:tc>
          <w:tcPr>
            <w:tcW w:w="246" w:type="pct"/>
            <w:noWrap/>
            <w:vAlign w:val="center"/>
            <w:hideMark/>
          </w:tcPr>
          <w:p w14:paraId="7DF98891" w14:textId="2FB585DF"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68F93143" w14:textId="61DD96F9"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3AE3CAA8"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72300</w:t>
            </w:r>
          </w:p>
        </w:tc>
        <w:tc>
          <w:tcPr>
            <w:tcW w:w="639" w:type="pct"/>
            <w:vAlign w:val="center"/>
            <w:hideMark/>
          </w:tcPr>
          <w:p w14:paraId="4FE25769"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Materiales y bienes</w:t>
            </w:r>
          </w:p>
        </w:tc>
        <w:tc>
          <w:tcPr>
            <w:tcW w:w="325" w:type="pct"/>
            <w:noWrap/>
            <w:vAlign w:val="center"/>
            <w:hideMark/>
          </w:tcPr>
          <w:p w14:paraId="394042D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13,367</w:t>
            </w:r>
          </w:p>
        </w:tc>
        <w:tc>
          <w:tcPr>
            <w:tcW w:w="325" w:type="pct"/>
            <w:noWrap/>
            <w:vAlign w:val="center"/>
            <w:hideMark/>
          </w:tcPr>
          <w:p w14:paraId="7150267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287,398</w:t>
            </w:r>
          </w:p>
        </w:tc>
        <w:tc>
          <w:tcPr>
            <w:tcW w:w="326" w:type="pct"/>
            <w:noWrap/>
            <w:vAlign w:val="center"/>
            <w:hideMark/>
          </w:tcPr>
          <w:p w14:paraId="2ADF80B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280,715</w:t>
            </w:r>
          </w:p>
        </w:tc>
        <w:tc>
          <w:tcPr>
            <w:tcW w:w="325" w:type="pct"/>
            <w:noWrap/>
            <w:vAlign w:val="center"/>
            <w:hideMark/>
          </w:tcPr>
          <w:p w14:paraId="5B59A0D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129,597</w:t>
            </w:r>
          </w:p>
        </w:tc>
        <w:tc>
          <w:tcPr>
            <w:tcW w:w="325" w:type="pct"/>
            <w:noWrap/>
            <w:vAlign w:val="center"/>
            <w:hideMark/>
          </w:tcPr>
          <w:p w14:paraId="187CCA20" w14:textId="77777777" w:rsidR="00C15440" w:rsidRPr="00A51E75" w:rsidRDefault="00C15440" w:rsidP="00C15440">
            <w:pPr>
              <w:jc w:val="right"/>
              <w:rPr>
                <w:rFonts w:ascii="Calibri" w:hAnsi="Calibri" w:cs="Calibri"/>
                <w:color w:val="000000"/>
                <w:sz w:val="16"/>
                <w:szCs w:val="16"/>
              </w:rPr>
            </w:pPr>
          </w:p>
        </w:tc>
        <w:tc>
          <w:tcPr>
            <w:tcW w:w="287" w:type="pct"/>
            <w:noWrap/>
            <w:vAlign w:val="center"/>
            <w:hideMark/>
          </w:tcPr>
          <w:p w14:paraId="0662FBE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711,077</w:t>
            </w:r>
          </w:p>
        </w:tc>
        <w:tc>
          <w:tcPr>
            <w:tcW w:w="125" w:type="pct"/>
            <w:noWrap/>
            <w:vAlign w:val="center"/>
            <w:hideMark/>
          </w:tcPr>
          <w:p w14:paraId="1E6785D2"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17</w:t>
            </w:r>
          </w:p>
        </w:tc>
      </w:tr>
      <w:tr w:rsidR="00C15440" w:rsidRPr="00A51E75" w14:paraId="44F0F8BB" w14:textId="77777777" w:rsidTr="00745CB4">
        <w:trPr>
          <w:trHeight w:val="320"/>
        </w:trPr>
        <w:tc>
          <w:tcPr>
            <w:tcW w:w="640" w:type="pct"/>
            <w:vMerge/>
            <w:noWrap/>
            <w:vAlign w:val="center"/>
            <w:hideMark/>
          </w:tcPr>
          <w:p w14:paraId="131E19B4"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04CCB907" w14:textId="77777777" w:rsidR="00C15440" w:rsidRPr="00A51E75" w:rsidRDefault="00C15440" w:rsidP="00C15440">
            <w:pPr>
              <w:rPr>
                <w:sz w:val="16"/>
                <w:szCs w:val="16"/>
              </w:rPr>
            </w:pPr>
          </w:p>
        </w:tc>
        <w:tc>
          <w:tcPr>
            <w:tcW w:w="295" w:type="pct"/>
            <w:noWrap/>
            <w:hideMark/>
          </w:tcPr>
          <w:p w14:paraId="3CE30295" w14:textId="46FFBCB9" w:rsidR="00C15440" w:rsidRPr="00A51E75" w:rsidRDefault="00C15440" w:rsidP="00C15440">
            <w:pPr>
              <w:rPr>
                <w:sz w:val="18"/>
                <w:szCs w:val="18"/>
              </w:rPr>
            </w:pPr>
            <w:r w:rsidRPr="002E217A">
              <w:rPr>
                <w:rFonts w:ascii="Calibri" w:hAnsi="Calibri" w:cs="Calibri"/>
                <w:color w:val="000000"/>
                <w:sz w:val="18"/>
                <w:szCs w:val="18"/>
              </w:rPr>
              <w:t>PNUD</w:t>
            </w:r>
          </w:p>
        </w:tc>
        <w:tc>
          <w:tcPr>
            <w:tcW w:w="246" w:type="pct"/>
            <w:noWrap/>
            <w:vAlign w:val="center"/>
            <w:hideMark/>
          </w:tcPr>
          <w:p w14:paraId="6BE6DB14" w14:textId="0CF5BBEE"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126F7D03" w14:textId="4A375B66"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5A1BA18C"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72600</w:t>
            </w:r>
          </w:p>
        </w:tc>
        <w:tc>
          <w:tcPr>
            <w:tcW w:w="639" w:type="pct"/>
            <w:vAlign w:val="center"/>
            <w:hideMark/>
          </w:tcPr>
          <w:p w14:paraId="7111604F"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Subvenciones</w:t>
            </w:r>
          </w:p>
        </w:tc>
        <w:tc>
          <w:tcPr>
            <w:tcW w:w="325" w:type="pct"/>
            <w:noWrap/>
            <w:vAlign w:val="center"/>
            <w:hideMark/>
          </w:tcPr>
          <w:p w14:paraId="42A8987B" w14:textId="77777777" w:rsidR="00C15440" w:rsidRPr="00A51E75" w:rsidRDefault="00C15440" w:rsidP="00C15440">
            <w:pPr>
              <w:jc w:val="right"/>
              <w:rPr>
                <w:rFonts w:ascii="Calibri" w:hAnsi="Calibri" w:cs="Calibri"/>
                <w:color w:val="000000"/>
                <w:sz w:val="16"/>
                <w:szCs w:val="16"/>
              </w:rPr>
            </w:pPr>
          </w:p>
        </w:tc>
        <w:tc>
          <w:tcPr>
            <w:tcW w:w="325" w:type="pct"/>
            <w:noWrap/>
            <w:vAlign w:val="center"/>
            <w:hideMark/>
          </w:tcPr>
          <w:p w14:paraId="58EE822B"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191107.00</w:t>
            </w:r>
          </w:p>
        </w:tc>
        <w:tc>
          <w:tcPr>
            <w:tcW w:w="326" w:type="pct"/>
            <w:noWrap/>
            <w:vAlign w:val="center"/>
            <w:hideMark/>
          </w:tcPr>
          <w:p w14:paraId="5104A381"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191107.00</w:t>
            </w:r>
          </w:p>
        </w:tc>
        <w:tc>
          <w:tcPr>
            <w:tcW w:w="325" w:type="pct"/>
            <w:noWrap/>
            <w:vAlign w:val="center"/>
            <w:hideMark/>
          </w:tcPr>
          <w:p w14:paraId="3A017DAE"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72804.00</w:t>
            </w:r>
          </w:p>
        </w:tc>
        <w:tc>
          <w:tcPr>
            <w:tcW w:w="325" w:type="pct"/>
            <w:noWrap/>
            <w:vAlign w:val="center"/>
            <w:hideMark/>
          </w:tcPr>
          <w:p w14:paraId="663F52AD" w14:textId="77777777" w:rsidR="00C15440" w:rsidRPr="00A51E75" w:rsidRDefault="00C15440" w:rsidP="00C15440">
            <w:pPr>
              <w:jc w:val="right"/>
              <w:rPr>
                <w:rFonts w:ascii="Aptos Narrow" w:hAnsi="Aptos Narrow"/>
                <w:color w:val="000000"/>
                <w:sz w:val="16"/>
                <w:szCs w:val="16"/>
              </w:rPr>
            </w:pPr>
          </w:p>
        </w:tc>
        <w:tc>
          <w:tcPr>
            <w:tcW w:w="287" w:type="pct"/>
            <w:noWrap/>
            <w:vAlign w:val="center"/>
            <w:hideMark/>
          </w:tcPr>
          <w:p w14:paraId="2653A83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455,018</w:t>
            </w:r>
          </w:p>
        </w:tc>
        <w:tc>
          <w:tcPr>
            <w:tcW w:w="125" w:type="pct"/>
            <w:noWrap/>
            <w:vAlign w:val="center"/>
            <w:hideMark/>
          </w:tcPr>
          <w:p w14:paraId="72691900"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18</w:t>
            </w:r>
          </w:p>
        </w:tc>
      </w:tr>
      <w:tr w:rsidR="00C15440" w:rsidRPr="00A51E75" w14:paraId="62A507EB" w14:textId="77777777" w:rsidTr="00745CB4">
        <w:trPr>
          <w:trHeight w:val="300"/>
        </w:trPr>
        <w:tc>
          <w:tcPr>
            <w:tcW w:w="640" w:type="pct"/>
            <w:vMerge/>
            <w:noWrap/>
            <w:vAlign w:val="center"/>
            <w:hideMark/>
          </w:tcPr>
          <w:p w14:paraId="6B82EEC7"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190F4820" w14:textId="77777777" w:rsidR="00C15440" w:rsidRPr="00A51E75" w:rsidRDefault="00C15440" w:rsidP="00C15440">
            <w:pPr>
              <w:rPr>
                <w:sz w:val="16"/>
                <w:szCs w:val="16"/>
              </w:rPr>
            </w:pPr>
          </w:p>
        </w:tc>
        <w:tc>
          <w:tcPr>
            <w:tcW w:w="295" w:type="pct"/>
            <w:noWrap/>
            <w:hideMark/>
          </w:tcPr>
          <w:p w14:paraId="7A4EA29A" w14:textId="5BF7E544" w:rsidR="00C15440" w:rsidRPr="00A51E75" w:rsidRDefault="00C15440" w:rsidP="00C15440">
            <w:pPr>
              <w:rPr>
                <w:sz w:val="18"/>
                <w:szCs w:val="18"/>
              </w:rPr>
            </w:pPr>
            <w:r w:rsidRPr="002E217A">
              <w:rPr>
                <w:rFonts w:ascii="Calibri" w:hAnsi="Calibri" w:cs="Calibri"/>
                <w:color w:val="000000"/>
                <w:sz w:val="18"/>
                <w:szCs w:val="18"/>
              </w:rPr>
              <w:t>PNUD</w:t>
            </w:r>
          </w:p>
        </w:tc>
        <w:tc>
          <w:tcPr>
            <w:tcW w:w="246" w:type="pct"/>
            <w:noWrap/>
            <w:vAlign w:val="center"/>
            <w:hideMark/>
          </w:tcPr>
          <w:p w14:paraId="35C0E9E1" w14:textId="48BA2BE6"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44D920FF" w14:textId="2932FA36"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58D3C2AF"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74200</w:t>
            </w:r>
          </w:p>
        </w:tc>
        <w:tc>
          <w:tcPr>
            <w:tcW w:w="639" w:type="pct"/>
            <w:noWrap/>
            <w:vAlign w:val="center"/>
            <w:hideMark/>
          </w:tcPr>
          <w:p w14:paraId="4EE08A91" w14:textId="08444081" w:rsidR="00C15440" w:rsidRPr="00895463" w:rsidRDefault="00AF6ED3" w:rsidP="00C15440">
            <w:pPr>
              <w:rPr>
                <w:rFonts w:ascii="Calibri" w:hAnsi="Calibri" w:cs="Calibri"/>
                <w:color w:val="000000"/>
                <w:sz w:val="18"/>
                <w:szCs w:val="18"/>
                <w:lang w:val="es-EC"/>
              </w:rPr>
            </w:pPr>
            <w:r>
              <w:rPr>
                <w:rFonts w:ascii="Calibri" w:hAnsi="Calibri" w:cs="Calibri"/>
                <w:color w:val="000000"/>
                <w:sz w:val="18"/>
                <w:szCs w:val="18"/>
              </w:rPr>
              <w:t>Costos</w:t>
            </w:r>
            <w:r w:rsidR="00C15440" w:rsidRPr="00A51E75">
              <w:rPr>
                <w:rFonts w:ascii="Calibri" w:hAnsi="Calibri" w:cs="Calibri"/>
                <w:color w:val="000000"/>
                <w:sz w:val="18"/>
                <w:szCs w:val="18"/>
              </w:rPr>
              <w:t xml:space="preserve"> de producción audiovisual e impresa</w:t>
            </w:r>
          </w:p>
        </w:tc>
        <w:tc>
          <w:tcPr>
            <w:tcW w:w="325" w:type="pct"/>
            <w:noWrap/>
            <w:vAlign w:val="center"/>
            <w:hideMark/>
          </w:tcPr>
          <w:p w14:paraId="1730B21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4,111</w:t>
            </w:r>
          </w:p>
        </w:tc>
        <w:tc>
          <w:tcPr>
            <w:tcW w:w="325" w:type="pct"/>
            <w:noWrap/>
            <w:vAlign w:val="center"/>
            <w:hideMark/>
          </w:tcPr>
          <w:p w14:paraId="422D1F4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12,332</w:t>
            </w:r>
          </w:p>
        </w:tc>
        <w:tc>
          <w:tcPr>
            <w:tcW w:w="326" w:type="pct"/>
            <w:noWrap/>
            <w:vAlign w:val="center"/>
            <w:hideMark/>
          </w:tcPr>
          <w:p w14:paraId="5814E6F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12,332</w:t>
            </w:r>
          </w:p>
        </w:tc>
        <w:tc>
          <w:tcPr>
            <w:tcW w:w="325" w:type="pct"/>
            <w:noWrap/>
            <w:vAlign w:val="center"/>
            <w:hideMark/>
          </w:tcPr>
          <w:p w14:paraId="34ED703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8,222</w:t>
            </w:r>
          </w:p>
        </w:tc>
        <w:tc>
          <w:tcPr>
            <w:tcW w:w="325" w:type="pct"/>
            <w:vAlign w:val="center"/>
            <w:hideMark/>
          </w:tcPr>
          <w:p w14:paraId="13F6C9B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4,111</w:t>
            </w:r>
          </w:p>
        </w:tc>
        <w:tc>
          <w:tcPr>
            <w:tcW w:w="287" w:type="pct"/>
            <w:noWrap/>
            <w:vAlign w:val="center"/>
            <w:hideMark/>
          </w:tcPr>
          <w:p w14:paraId="7DA471B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41,108</w:t>
            </w:r>
          </w:p>
        </w:tc>
        <w:tc>
          <w:tcPr>
            <w:tcW w:w="125" w:type="pct"/>
            <w:noWrap/>
            <w:vAlign w:val="center"/>
            <w:hideMark/>
          </w:tcPr>
          <w:p w14:paraId="28ABD206"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19</w:t>
            </w:r>
          </w:p>
        </w:tc>
      </w:tr>
      <w:tr w:rsidR="00C15440" w:rsidRPr="00A51E75" w14:paraId="10116B3A" w14:textId="77777777" w:rsidTr="00745CB4">
        <w:trPr>
          <w:trHeight w:val="300"/>
        </w:trPr>
        <w:tc>
          <w:tcPr>
            <w:tcW w:w="640" w:type="pct"/>
            <w:vMerge/>
            <w:noWrap/>
            <w:vAlign w:val="center"/>
            <w:hideMark/>
          </w:tcPr>
          <w:p w14:paraId="702DB71B"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24D686DD" w14:textId="77777777" w:rsidR="00C15440" w:rsidRPr="00A51E75" w:rsidRDefault="00C15440" w:rsidP="00C15440">
            <w:pPr>
              <w:rPr>
                <w:sz w:val="16"/>
                <w:szCs w:val="16"/>
              </w:rPr>
            </w:pPr>
          </w:p>
        </w:tc>
        <w:tc>
          <w:tcPr>
            <w:tcW w:w="295" w:type="pct"/>
            <w:noWrap/>
            <w:hideMark/>
          </w:tcPr>
          <w:p w14:paraId="55009018" w14:textId="5023364C" w:rsidR="00C15440" w:rsidRPr="00A51E75" w:rsidRDefault="00C15440" w:rsidP="00C15440">
            <w:pPr>
              <w:rPr>
                <w:sz w:val="18"/>
                <w:szCs w:val="18"/>
              </w:rPr>
            </w:pPr>
            <w:r w:rsidRPr="002E217A">
              <w:rPr>
                <w:rFonts w:ascii="Calibri" w:hAnsi="Calibri" w:cs="Calibri"/>
                <w:color w:val="000000"/>
                <w:sz w:val="18"/>
                <w:szCs w:val="18"/>
              </w:rPr>
              <w:t>PNUD</w:t>
            </w:r>
          </w:p>
        </w:tc>
        <w:tc>
          <w:tcPr>
            <w:tcW w:w="246" w:type="pct"/>
            <w:noWrap/>
            <w:vAlign w:val="center"/>
            <w:hideMark/>
          </w:tcPr>
          <w:p w14:paraId="11A4D152" w14:textId="23B5B36C"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7AFF0024" w14:textId="0CB10CDB"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3B55E9D"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75700</w:t>
            </w:r>
          </w:p>
        </w:tc>
        <w:tc>
          <w:tcPr>
            <w:tcW w:w="639" w:type="pct"/>
            <w:noWrap/>
            <w:vAlign w:val="center"/>
            <w:hideMark/>
          </w:tcPr>
          <w:p w14:paraId="7FFB787C"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Formación, talleres y conferencias</w:t>
            </w:r>
          </w:p>
        </w:tc>
        <w:tc>
          <w:tcPr>
            <w:tcW w:w="325" w:type="pct"/>
            <w:noWrap/>
            <w:vAlign w:val="center"/>
            <w:hideMark/>
          </w:tcPr>
          <w:p w14:paraId="6D4A29E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10,000</w:t>
            </w:r>
          </w:p>
        </w:tc>
        <w:tc>
          <w:tcPr>
            <w:tcW w:w="325" w:type="pct"/>
            <w:noWrap/>
            <w:vAlign w:val="center"/>
            <w:hideMark/>
          </w:tcPr>
          <w:p w14:paraId="513567E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109,383</w:t>
            </w:r>
          </w:p>
        </w:tc>
        <w:tc>
          <w:tcPr>
            <w:tcW w:w="326" w:type="pct"/>
            <w:noWrap/>
            <w:vAlign w:val="center"/>
            <w:hideMark/>
          </w:tcPr>
          <w:p w14:paraId="08DF76D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109,383</w:t>
            </w:r>
          </w:p>
        </w:tc>
        <w:tc>
          <w:tcPr>
            <w:tcW w:w="325" w:type="pct"/>
            <w:noWrap/>
            <w:vAlign w:val="center"/>
            <w:hideMark/>
          </w:tcPr>
          <w:p w14:paraId="7FDFB86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94,383</w:t>
            </w:r>
          </w:p>
        </w:tc>
        <w:tc>
          <w:tcPr>
            <w:tcW w:w="325" w:type="pct"/>
            <w:vAlign w:val="center"/>
            <w:hideMark/>
          </w:tcPr>
          <w:p w14:paraId="44B12EA4" w14:textId="77777777" w:rsidR="00C15440" w:rsidRPr="00A51E75" w:rsidRDefault="00C15440" w:rsidP="00C15440">
            <w:pPr>
              <w:jc w:val="right"/>
              <w:rPr>
                <w:rFonts w:ascii="Calibri" w:hAnsi="Calibri" w:cs="Calibri"/>
                <w:color w:val="000000"/>
                <w:sz w:val="16"/>
                <w:szCs w:val="16"/>
              </w:rPr>
            </w:pPr>
          </w:p>
        </w:tc>
        <w:tc>
          <w:tcPr>
            <w:tcW w:w="287" w:type="pct"/>
            <w:noWrap/>
            <w:vAlign w:val="center"/>
            <w:hideMark/>
          </w:tcPr>
          <w:p w14:paraId="5C57157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323,149</w:t>
            </w:r>
          </w:p>
        </w:tc>
        <w:tc>
          <w:tcPr>
            <w:tcW w:w="125" w:type="pct"/>
            <w:noWrap/>
            <w:vAlign w:val="center"/>
            <w:hideMark/>
          </w:tcPr>
          <w:p w14:paraId="13DFE99A"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20</w:t>
            </w:r>
          </w:p>
        </w:tc>
      </w:tr>
      <w:tr w:rsidR="001E40B9" w:rsidRPr="00A51E75" w14:paraId="6719CD5C" w14:textId="77777777" w:rsidTr="00B303D6">
        <w:trPr>
          <w:trHeight w:val="300"/>
        </w:trPr>
        <w:tc>
          <w:tcPr>
            <w:tcW w:w="640" w:type="pct"/>
            <w:vMerge/>
            <w:noWrap/>
            <w:vAlign w:val="center"/>
            <w:hideMark/>
          </w:tcPr>
          <w:p w14:paraId="074B3EFB"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6CBBCB6B" w14:textId="77777777" w:rsidR="001E40B9" w:rsidRPr="00A51E75" w:rsidRDefault="001E40B9" w:rsidP="00B303D6">
            <w:pPr>
              <w:rPr>
                <w:sz w:val="16"/>
                <w:szCs w:val="16"/>
              </w:rPr>
            </w:pPr>
          </w:p>
        </w:tc>
        <w:tc>
          <w:tcPr>
            <w:tcW w:w="295" w:type="pct"/>
            <w:noWrap/>
            <w:vAlign w:val="center"/>
            <w:hideMark/>
          </w:tcPr>
          <w:p w14:paraId="7B77B676" w14:textId="08DD1B1E"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3A9FD0F7"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20207690" w14:textId="77777777" w:rsidR="001E40B9" w:rsidRPr="00A51E75" w:rsidRDefault="001E40B9" w:rsidP="00B303D6">
            <w:pPr>
              <w:rPr>
                <w:sz w:val="18"/>
                <w:szCs w:val="18"/>
              </w:rPr>
            </w:pPr>
          </w:p>
        </w:tc>
        <w:tc>
          <w:tcPr>
            <w:tcW w:w="246" w:type="pct"/>
            <w:noWrap/>
            <w:vAlign w:val="center"/>
            <w:hideMark/>
          </w:tcPr>
          <w:p w14:paraId="18713C32" w14:textId="77777777" w:rsidR="001E40B9" w:rsidRPr="00A51E75" w:rsidRDefault="001E40B9" w:rsidP="00B303D6">
            <w:pPr>
              <w:rPr>
                <w:sz w:val="18"/>
                <w:szCs w:val="18"/>
              </w:rPr>
            </w:pPr>
          </w:p>
        </w:tc>
        <w:tc>
          <w:tcPr>
            <w:tcW w:w="639" w:type="pct"/>
            <w:noWrap/>
            <w:vAlign w:val="center"/>
            <w:hideMark/>
          </w:tcPr>
          <w:p w14:paraId="4B1F0163" w14:textId="77777777" w:rsidR="001E40B9" w:rsidRPr="00A51E75" w:rsidRDefault="001E40B9" w:rsidP="00B303D6">
            <w:pPr>
              <w:rPr>
                <w:sz w:val="18"/>
                <w:szCs w:val="18"/>
              </w:rPr>
            </w:pPr>
          </w:p>
        </w:tc>
        <w:tc>
          <w:tcPr>
            <w:tcW w:w="325" w:type="pct"/>
            <w:noWrap/>
            <w:vAlign w:val="center"/>
            <w:hideMark/>
          </w:tcPr>
          <w:p w14:paraId="7F8507C8"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180,679</w:t>
            </w:r>
          </w:p>
        </w:tc>
        <w:tc>
          <w:tcPr>
            <w:tcW w:w="325" w:type="pct"/>
            <w:noWrap/>
            <w:vAlign w:val="center"/>
            <w:hideMark/>
          </w:tcPr>
          <w:p w14:paraId="2D88752D"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919,249</w:t>
            </w:r>
          </w:p>
        </w:tc>
        <w:tc>
          <w:tcPr>
            <w:tcW w:w="326" w:type="pct"/>
            <w:noWrap/>
            <w:vAlign w:val="center"/>
            <w:hideMark/>
          </w:tcPr>
          <w:p w14:paraId="6703FA0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943,890</w:t>
            </w:r>
          </w:p>
        </w:tc>
        <w:tc>
          <w:tcPr>
            <w:tcW w:w="325" w:type="pct"/>
            <w:noWrap/>
            <w:vAlign w:val="center"/>
            <w:hideMark/>
          </w:tcPr>
          <w:p w14:paraId="1E9B4DE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488,297</w:t>
            </w:r>
          </w:p>
        </w:tc>
        <w:tc>
          <w:tcPr>
            <w:tcW w:w="325" w:type="pct"/>
            <w:noWrap/>
            <w:vAlign w:val="center"/>
            <w:hideMark/>
          </w:tcPr>
          <w:p w14:paraId="4708B10C"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71,388</w:t>
            </w:r>
          </w:p>
        </w:tc>
        <w:tc>
          <w:tcPr>
            <w:tcW w:w="287" w:type="pct"/>
            <w:noWrap/>
            <w:vAlign w:val="center"/>
            <w:hideMark/>
          </w:tcPr>
          <w:p w14:paraId="337CE530"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2,603,503</w:t>
            </w:r>
          </w:p>
        </w:tc>
        <w:tc>
          <w:tcPr>
            <w:tcW w:w="125" w:type="pct"/>
            <w:noWrap/>
            <w:vAlign w:val="center"/>
            <w:hideMark/>
          </w:tcPr>
          <w:p w14:paraId="59713562" w14:textId="77777777" w:rsidR="001E40B9" w:rsidRPr="00A51E75" w:rsidRDefault="001E40B9" w:rsidP="00B303D6">
            <w:pPr>
              <w:jc w:val="center"/>
              <w:rPr>
                <w:rFonts w:ascii="Calibri" w:hAnsi="Calibri" w:cs="Calibri"/>
                <w:b/>
                <w:bCs/>
                <w:color w:val="000000"/>
                <w:sz w:val="16"/>
                <w:szCs w:val="16"/>
              </w:rPr>
            </w:pPr>
          </w:p>
        </w:tc>
      </w:tr>
      <w:tr w:rsidR="001E40B9" w:rsidRPr="00A51E75" w14:paraId="7045A6A2" w14:textId="77777777" w:rsidTr="00B303D6">
        <w:trPr>
          <w:trHeight w:val="300"/>
        </w:trPr>
        <w:tc>
          <w:tcPr>
            <w:tcW w:w="640" w:type="pct"/>
            <w:vMerge/>
            <w:noWrap/>
            <w:vAlign w:val="center"/>
            <w:hideMark/>
          </w:tcPr>
          <w:p w14:paraId="63E83DAD" w14:textId="77777777" w:rsidR="001E40B9" w:rsidRPr="00A51E75" w:rsidRDefault="001E40B9" w:rsidP="00B303D6">
            <w:pPr>
              <w:rPr>
                <w:sz w:val="16"/>
                <w:szCs w:val="16"/>
              </w:rPr>
            </w:pPr>
          </w:p>
        </w:tc>
        <w:tc>
          <w:tcPr>
            <w:tcW w:w="945" w:type="pct"/>
            <w:gridSpan w:val="2"/>
            <w:noWrap/>
            <w:vAlign w:val="center"/>
            <w:hideMark/>
          </w:tcPr>
          <w:p w14:paraId="5F930E55"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Resultado total 2.2</w:t>
            </w:r>
          </w:p>
        </w:tc>
        <w:tc>
          <w:tcPr>
            <w:tcW w:w="246" w:type="pct"/>
            <w:noWrap/>
            <w:vAlign w:val="center"/>
            <w:hideMark/>
          </w:tcPr>
          <w:p w14:paraId="2799AFB8"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4DF6DB58" w14:textId="77777777" w:rsidR="001E40B9" w:rsidRPr="00A51E75" w:rsidRDefault="001E40B9" w:rsidP="00B303D6">
            <w:pPr>
              <w:rPr>
                <w:sz w:val="18"/>
                <w:szCs w:val="18"/>
              </w:rPr>
            </w:pPr>
          </w:p>
        </w:tc>
        <w:tc>
          <w:tcPr>
            <w:tcW w:w="246" w:type="pct"/>
            <w:noWrap/>
            <w:vAlign w:val="center"/>
            <w:hideMark/>
          </w:tcPr>
          <w:p w14:paraId="12498CF9" w14:textId="77777777" w:rsidR="001E40B9" w:rsidRPr="00A51E75" w:rsidRDefault="001E40B9" w:rsidP="00B303D6">
            <w:pPr>
              <w:rPr>
                <w:sz w:val="18"/>
                <w:szCs w:val="18"/>
              </w:rPr>
            </w:pPr>
          </w:p>
        </w:tc>
        <w:tc>
          <w:tcPr>
            <w:tcW w:w="639" w:type="pct"/>
            <w:noWrap/>
            <w:vAlign w:val="center"/>
            <w:hideMark/>
          </w:tcPr>
          <w:p w14:paraId="2AB1E34E" w14:textId="77777777" w:rsidR="001E40B9" w:rsidRPr="00A51E75" w:rsidRDefault="001E40B9" w:rsidP="00B303D6">
            <w:pPr>
              <w:rPr>
                <w:sz w:val="18"/>
                <w:szCs w:val="18"/>
              </w:rPr>
            </w:pPr>
          </w:p>
        </w:tc>
        <w:tc>
          <w:tcPr>
            <w:tcW w:w="325" w:type="pct"/>
            <w:vAlign w:val="center"/>
            <w:hideMark/>
          </w:tcPr>
          <w:p w14:paraId="0569FFA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180,679</w:t>
            </w:r>
          </w:p>
        </w:tc>
        <w:tc>
          <w:tcPr>
            <w:tcW w:w="325" w:type="pct"/>
            <w:vAlign w:val="center"/>
            <w:hideMark/>
          </w:tcPr>
          <w:p w14:paraId="4E826F9B"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919,249</w:t>
            </w:r>
          </w:p>
        </w:tc>
        <w:tc>
          <w:tcPr>
            <w:tcW w:w="326" w:type="pct"/>
            <w:vAlign w:val="center"/>
            <w:hideMark/>
          </w:tcPr>
          <w:p w14:paraId="7D006C6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943,890</w:t>
            </w:r>
          </w:p>
        </w:tc>
        <w:tc>
          <w:tcPr>
            <w:tcW w:w="325" w:type="pct"/>
            <w:vAlign w:val="center"/>
            <w:hideMark/>
          </w:tcPr>
          <w:p w14:paraId="144B256D"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488,297</w:t>
            </w:r>
          </w:p>
        </w:tc>
        <w:tc>
          <w:tcPr>
            <w:tcW w:w="325" w:type="pct"/>
            <w:vAlign w:val="center"/>
            <w:hideMark/>
          </w:tcPr>
          <w:p w14:paraId="21E78C0F"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71,388</w:t>
            </w:r>
          </w:p>
        </w:tc>
        <w:tc>
          <w:tcPr>
            <w:tcW w:w="287" w:type="pct"/>
            <w:vAlign w:val="center"/>
            <w:hideMark/>
          </w:tcPr>
          <w:p w14:paraId="4AF4DD8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2,603,503</w:t>
            </w:r>
          </w:p>
        </w:tc>
        <w:tc>
          <w:tcPr>
            <w:tcW w:w="125" w:type="pct"/>
            <w:noWrap/>
            <w:vAlign w:val="center"/>
            <w:hideMark/>
          </w:tcPr>
          <w:p w14:paraId="2EE3B28D" w14:textId="77777777" w:rsidR="001E40B9" w:rsidRPr="00A51E75" w:rsidRDefault="001E40B9" w:rsidP="00B303D6">
            <w:pPr>
              <w:jc w:val="center"/>
              <w:rPr>
                <w:rFonts w:ascii="Calibri" w:hAnsi="Calibri" w:cs="Calibri"/>
                <w:b/>
                <w:bCs/>
                <w:color w:val="000000"/>
                <w:sz w:val="16"/>
                <w:szCs w:val="16"/>
              </w:rPr>
            </w:pPr>
          </w:p>
        </w:tc>
      </w:tr>
      <w:tr w:rsidR="001E40B9" w:rsidRPr="00A51E75" w14:paraId="414ADF83" w14:textId="77777777" w:rsidTr="00B303D6">
        <w:trPr>
          <w:trHeight w:val="300"/>
        </w:trPr>
        <w:tc>
          <w:tcPr>
            <w:tcW w:w="1290" w:type="pct"/>
            <w:gridSpan w:val="2"/>
            <w:noWrap/>
            <w:vAlign w:val="center"/>
            <w:hideMark/>
          </w:tcPr>
          <w:p w14:paraId="3B1685C5"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Componente Total 2</w:t>
            </w:r>
          </w:p>
        </w:tc>
        <w:tc>
          <w:tcPr>
            <w:tcW w:w="295" w:type="pct"/>
            <w:noWrap/>
            <w:vAlign w:val="center"/>
            <w:hideMark/>
          </w:tcPr>
          <w:p w14:paraId="6A16A637"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01F3690C" w14:textId="77777777" w:rsidR="001E40B9" w:rsidRPr="00A51E75" w:rsidRDefault="001E40B9" w:rsidP="00B303D6">
            <w:pPr>
              <w:rPr>
                <w:sz w:val="18"/>
                <w:szCs w:val="18"/>
              </w:rPr>
            </w:pPr>
          </w:p>
        </w:tc>
        <w:tc>
          <w:tcPr>
            <w:tcW w:w="246" w:type="pct"/>
            <w:noWrap/>
            <w:vAlign w:val="center"/>
            <w:hideMark/>
          </w:tcPr>
          <w:p w14:paraId="72119566" w14:textId="77777777" w:rsidR="001E40B9" w:rsidRPr="00A51E75" w:rsidRDefault="001E40B9" w:rsidP="00B303D6">
            <w:pPr>
              <w:rPr>
                <w:sz w:val="18"/>
                <w:szCs w:val="18"/>
              </w:rPr>
            </w:pPr>
          </w:p>
        </w:tc>
        <w:tc>
          <w:tcPr>
            <w:tcW w:w="246" w:type="pct"/>
            <w:noWrap/>
            <w:vAlign w:val="center"/>
            <w:hideMark/>
          </w:tcPr>
          <w:p w14:paraId="279D520F" w14:textId="77777777" w:rsidR="001E40B9" w:rsidRPr="00A51E75" w:rsidRDefault="001E40B9" w:rsidP="00B303D6">
            <w:pPr>
              <w:rPr>
                <w:sz w:val="18"/>
                <w:szCs w:val="18"/>
              </w:rPr>
            </w:pPr>
          </w:p>
        </w:tc>
        <w:tc>
          <w:tcPr>
            <w:tcW w:w="639" w:type="pct"/>
            <w:vAlign w:val="center"/>
            <w:hideMark/>
          </w:tcPr>
          <w:p w14:paraId="5961D87F" w14:textId="77777777" w:rsidR="001E40B9" w:rsidRPr="00A51E75" w:rsidRDefault="001E40B9" w:rsidP="00B303D6">
            <w:pPr>
              <w:rPr>
                <w:sz w:val="18"/>
                <w:szCs w:val="18"/>
              </w:rPr>
            </w:pPr>
          </w:p>
        </w:tc>
        <w:tc>
          <w:tcPr>
            <w:tcW w:w="325" w:type="pct"/>
            <w:noWrap/>
            <w:vAlign w:val="center"/>
            <w:hideMark/>
          </w:tcPr>
          <w:p w14:paraId="19BB722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570,948</w:t>
            </w:r>
          </w:p>
        </w:tc>
        <w:tc>
          <w:tcPr>
            <w:tcW w:w="325" w:type="pct"/>
            <w:noWrap/>
            <w:vAlign w:val="center"/>
            <w:hideMark/>
          </w:tcPr>
          <w:p w14:paraId="471813B8"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2,012,362</w:t>
            </w:r>
          </w:p>
        </w:tc>
        <w:tc>
          <w:tcPr>
            <w:tcW w:w="326" w:type="pct"/>
            <w:noWrap/>
            <w:vAlign w:val="center"/>
            <w:hideMark/>
          </w:tcPr>
          <w:p w14:paraId="01B95EDA"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1,593,447</w:t>
            </w:r>
          </w:p>
        </w:tc>
        <w:tc>
          <w:tcPr>
            <w:tcW w:w="325" w:type="pct"/>
            <w:noWrap/>
            <w:vAlign w:val="center"/>
            <w:hideMark/>
          </w:tcPr>
          <w:p w14:paraId="3F787EFA"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740,921</w:t>
            </w:r>
          </w:p>
        </w:tc>
        <w:tc>
          <w:tcPr>
            <w:tcW w:w="325" w:type="pct"/>
            <w:noWrap/>
            <w:vAlign w:val="center"/>
            <w:hideMark/>
          </w:tcPr>
          <w:p w14:paraId="0CAC15F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196,213</w:t>
            </w:r>
          </w:p>
        </w:tc>
        <w:tc>
          <w:tcPr>
            <w:tcW w:w="287" w:type="pct"/>
            <w:noWrap/>
            <w:vAlign w:val="center"/>
            <w:hideMark/>
          </w:tcPr>
          <w:p w14:paraId="40D45B3C"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5,113,891</w:t>
            </w:r>
          </w:p>
        </w:tc>
        <w:tc>
          <w:tcPr>
            <w:tcW w:w="125" w:type="pct"/>
            <w:noWrap/>
            <w:vAlign w:val="center"/>
            <w:hideMark/>
          </w:tcPr>
          <w:p w14:paraId="2DBCDBD9" w14:textId="77777777" w:rsidR="001E40B9" w:rsidRPr="00A51E75" w:rsidRDefault="001E40B9" w:rsidP="00B303D6">
            <w:pPr>
              <w:jc w:val="center"/>
              <w:rPr>
                <w:rFonts w:ascii="Calibri" w:hAnsi="Calibri" w:cs="Calibri"/>
                <w:b/>
                <w:bCs/>
                <w:color w:val="000000"/>
                <w:sz w:val="16"/>
                <w:szCs w:val="16"/>
              </w:rPr>
            </w:pPr>
          </w:p>
        </w:tc>
      </w:tr>
      <w:tr w:rsidR="00C15440" w:rsidRPr="00A51E75" w14:paraId="78ACFF63" w14:textId="77777777" w:rsidTr="00680B7F">
        <w:trPr>
          <w:trHeight w:val="640"/>
        </w:trPr>
        <w:tc>
          <w:tcPr>
            <w:tcW w:w="640" w:type="pct"/>
            <w:vMerge w:val="restart"/>
            <w:noWrap/>
            <w:vAlign w:val="center"/>
            <w:hideMark/>
          </w:tcPr>
          <w:p w14:paraId="706D6999" w14:textId="76B2D4B3" w:rsidR="00C15440" w:rsidRPr="00D830D9" w:rsidRDefault="00C15440" w:rsidP="00C15440">
            <w:pPr>
              <w:rPr>
                <w:rFonts w:ascii="Calibri" w:hAnsi="Calibri" w:cs="Calibri"/>
                <w:b/>
                <w:bCs/>
                <w:color w:val="000000"/>
                <w:sz w:val="16"/>
                <w:szCs w:val="16"/>
                <w:lang w:val="es-EC"/>
              </w:rPr>
            </w:pPr>
            <w:r w:rsidRPr="00A51E75">
              <w:rPr>
                <w:rFonts w:ascii="Calibri" w:hAnsi="Calibri" w:cs="Calibri"/>
                <w:b/>
                <w:bCs/>
                <w:color w:val="000000"/>
                <w:sz w:val="16"/>
                <w:szCs w:val="16"/>
              </w:rPr>
              <w:t xml:space="preserve">Componente 3: Acceso a mecanismos de financiación para ampliar acciones que contribuyan a la conservación de la biodiversidad, la Neutralidad de la Degradación del Suelo </w:t>
            </w:r>
            <w:r w:rsidRPr="00A51E75">
              <w:rPr>
                <w:rFonts w:ascii="Calibri" w:hAnsi="Calibri" w:cs="Calibri"/>
                <w:b/>
                <w:bCs/>
                <w:color w:val="000000"/>
                <w:sz w:val="16"/>
                <w:szCs w:val="16"/>
              </w:rPr>
              <w:lastRenderedPageBreak/>
              <w:t>(</w:t>
            </w:r>
            <w:r w:rsidR="00F64558">
              <w:rPr>
                <w:rFonts w:ascii="Calibri" w:hAnsi="Calibri" w:cs="Calibri"/>
                <w:b/>
                <w:bCs/>
                <w:color w:val="000000"/>
                <w:sz w:val="16"/>
                <w:szCs w:val="16"/>
              </w:rPr>
              <w:t>NDT</w:t>
            </w:r>
            <w:r w:rsidRPr="00A51E75">
              <w:rPr>
                <w:rFonts w:ascii="Calibri" w:hAnsi="Calibri" w:cs="Calibri"/>
                <w:b/>
                <w:bCs/>
                <w:color w:val="000000"/>
                <w:sz w:val="16"/>
                <w:szCs w:val="16"/>
              </w:rPr>
              <w:t>) y la mitigación del cambio climático</w:t>
            </w:r>
          </w:p>
        </w:tc>
        <w:tc>
          <w:tcPr>
            <w:tcW w:w="650" w:type="pct"/>
            <w:vMerge w:val="restart"/>
            <w:noWrap/>
            <w:vAlign w:val="center"/>
            <w:hideMark/>
          </w:tcPr>
          <w:p w14:paraId="3078F796" w14:textId="77777777" w:rsidR="00C15440" w:rsidRPr="00D830D9" w:rsidRDefault="00C15440" w:rsidP="00C15440">
            <w:pPr>
              <w:rPr>
                <w:rFonts w:ascii="Calibri" w:hAnsi="Calibri" w:cs="Calibri"/>
                <w:b/>
                <w:bCs/>
                <w:color w:val="000000"/>
                <w:sz w:val="16"/>
                <w:szCs w:val="16"/>
                <w:lang w:val="es-EC"/>
              </w:rPr>
            </w:pPr>
            <w:r w:rsidRPr="00A51E75">
              <w:rPr>
                <w:rFonts w:ascii="Calibri" w:hAnsi="Calibri" w:cs="Calibri"/>
                <w:b/>
                <w:bCs/>
                <w:color w:val="000000"/>
                <w:sz w:val="16"/>
                <w:szCs w:val="16"/>
              </w:rPr>
              <w:lastRenderedPageBreak/>
              <w:t xml:space="preserve">Resultado 3.1: Ampliación de las medidas que contribuyen a la restauración de tierras y la conservación de la biodiversidad para mejorar la resiliencia climática comunitaria </w:t>
            </w:r>
            <w:r w:rsidRPr="00A51E75">
              <w:rPr>
                <w:rFonts w:ascii="Calibri" w:hAnsi="Calibri" w:cs="Calibri"/>
                <w:b/>
                <w:bCs/>
                <w:color w:val="000000"/>
                <w:sz w:val="16"/>
                <w:szCs w:val="16"/>
              </w:rPr>
              <w:lastRenderedPageBreak/>
              <w:t>mediante la financiación y el acceso al mercado:</w:t>
            </w:r>
          </w:p>
        </w:tc>
        <w:tc>
          <w:tcPr>
            <w:tcW w:w="295" w:type="pct"/>
            <w:noWrap/>
            <w:hideMark/>
          </w:tcPr>
          <w:p w14:paraId="2BBF09A3" w14:textId="28973B18" w:rsidR="00C15440" w:rsidRPr="00A51E75" w:rsidRDefault="00C15440" w:rsidP="00C15440">
            <w:pPr>
              <w:rPr>
                <w:rFonts w:ascii="Calibri" w:hAnsi="Calibri" w:cs="Calibri"/>
                <w:color w:val="000000"/>
                <w:sz w:val="18"/>
                <w:szCs w:val="18"/>
              </w:rPr>
            </w:pPr>
            <w:r w:rsidRPr="00DE67D3">
              <w:rPr>
                <w:rFonts w:ascii="Calibri" w:hAnsi="Calibri" w:cs="Calibri"/>
                <w:color w:val="000000"/>
                <w:sz w:val="18"/>
                <w:szCs w:val="18"/>
              </w:rPr>
              <w:lastRenderedPageBreak/>
              <w:t>PNUD</w:t>
            </w:r>
          </w:p>
        </w:tc>
        <w:tc>
          <w:tcPr>
            <w:tcW w:w="246" w:type="pct"/>
            <w:noWrap/>
            <w:vAlign w:val="center"/>
            <w:hideMark/>
          </w:tcPr>
          <w:p w14:paraId="5AE18B61"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19ACE7ED"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194A20DA"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vAlign w:val="center"/>
            <w:hideMark/>
          </w:tcPr>
          <w:p w14:paraId="4BDB160C"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2EE9B5C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13,025</w:t>
            </w:r>
          </w:p>
        </w:tc>
        <w:tc>
          <w:tcPr>
            <w:tcW w:w="325" w:type="pct"/>
            <w:noWrap/>
            <w:vAlign w:val="center"/>
            <w:hideMark/>
          </w:tcPr>
          <w:p w14:paraId="56F08BC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26,050</w:t>
            </w:r>
          </w:p>
        </w:tc>
        <w:tc>
          <w:tcPr>
            <w:tcW w:w="326" w:type="pct"/>
            <w:noWrap/>
            <w:vAlign w:val="center"/>
            <w:hideMark/>
          </w:tcPr>
          <w:p w14:paraId="65305438"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26,050</w:t>
            </w:r>
          </w:p>
        </w:tc>
        <w:tc>
          <w:tcPr>
            <w:tcW w:w="325" w:type="pct"/>
            <w:noWrap/>
            <w:vAlign w:val="center"/>
            <w:hideMark/>
          </w:tcPr>
          <w:p w14:paraId="0A1BE84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17,366</w:t>
            </w:r>
          </w:p>
        </w:tc>
        <w:tc>
          <w:tcPr>
            <w:tcW w:w="325" w:type="pct"/>
            <w:vAlign w:val="center"/>
            <w:hideMark/>
          </w:tcPr>
          <w:p w14:paraId="6BA9950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4,341</w:t>
            </w:r>
          </w:p>
        </w:tc>
        <w:tc>
          <w:tcPr>
            <w:tcW w:w="287" w:type="pct"/>
            <w:noWrap/>
            <w:vAlign w:val="center"/>
            <w:hideMark/>
          </w:tcPr>
          <w:p w14:paraId="63C7D73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86,832</w:t>
            </w:r>
          </w:p>
        </w:tc>
        <w:tc>
          <w:tcPr>
            <w:tcW w:w="125" w:type="pct"/>
            <w:noWrap/>
            <w:vAlign w:val="center"/>
            <w:hideMark/>
          </w:tcPr>
          <w:p w14:paraId="0498E59A"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21</w:t>
            </w:r>
          </w:p>
        </w:tc>
      </w:tr>
      <w:tr w:rsidR="00C15440" w:rsidRPr="00A51E75" w14:paraId="34BE75F6" w14:textId="77777777" w:rsidTr="00680B7F">
        <w:trPr>
          <w:trHeight w:val="300"/>
        </w:trPr>
        <w:tc>
          <w:tcPr>
            <w:tcW w:w="640" w:type="pct"/>
            <w:vMerge/>
            <w:noWrap/>
            <w:vAlign w:val="center"/>
            <w:hideMark/>
          </w:tcPr>
          <w:p w14:paraId="1FCE6CE2"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4D33CD94" w14:textId="77777777" w:rsidR="00C15440" w:rsidRPr="00A51E75" w:rsidRDefault="00C15440" w:rsidP="00C15440">
            <w:pPr>
              <w:rPr>
                <w:sz w:val="16"/>
                <w:szCs w:val="16"/>
              </w:rPr>
            </w:pPr>
          </w:p>
        </w:tc>
        <w:tc>
          <w:tcPr>
            <w:tcW w:w="295" w:type="pct"/>
            <w:noWrap/>
            <w:hideMark/>
          </w:tcPr>
          <w:p w14:paraId="57627870" w14:textId="4CC2E275" w:rsidR="00C15440" w:rsidRPr="00A51E75" w:rsidRDefault="00C15440" w:rsidP="00C15440">
            <w:pPr>
              <w:rPr>
                <w:sz w:val="18"/>
                <w:szCs w:val="18"/>
              </w:rPr>
            </w:pPr>
            <w:r w:rsidRPr="00DE67D3">
              <w:rPr>
                <w:rFonts w:ascii="Calibri" w:hAnsi="Calibri" w:cs="Calibri"/>
                <w:color w:val="000000"/>
                <w:sz w:val="18"/>
                <w:szCs w:val="18"/>
              </w:rPr>
              <w:t>PNUD</w:t>
            </w:r>
          </w:p>
        </w:tc>
        <w:tc>
          <w:tcPr>
            <w:tcW w:w="246" w:type="pct"/>
            <w:noWrap/>
            <w:vAlign w:val="center"/>
            <w:hideMark/>
          </w:tcPr>
          <w:p w14:paraId="77B33A13" w14:textId="075ED702"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1C7DF7E" w14:textId="5C6B0DA4"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5BD5B086"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71600</w:t>
            </w:r>
          </w:p>
        </w:tc>
        <w:tc>
          <w:tcPr>
            <w:tcW w:w="639" w:type="pct"/>
            <w:noWrap/>
            <w:vAlign w:val="center"/>
            <w:hideMark/>
          </w:tcPr>
          <w:p w14:paraId="2FE1F706"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Viajes</w:t>
            </w:r>
          </w:p>
        </w:tc>
        <w:tc>
          <w:tcPr>
            <w:tcW w:w="325" w:type="pct"/>
            <w:noWrap/>
            <w:vAlign w:val="center"/>
            <w:hideMark/>
          </w:tcPr>
          <w:p w14:paraId="0ACE5BB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10,927</w:t>
            </w:r>
          </w:p>
        </w:tc>
        <w:tc>
          <w:tcPr>
            <w:tcW w:w="325" w:type="pct"/>
            <w:noWrap/>
            <w:vAlign w:val="center"/>
            <w:hideMark/>
          </w:tcPr>
          <w:p w14:paraId="29A0B68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18,211</w:t>
            </w:r>
          </w:p>
        </w:tc>
        <w:tc>
          <w:tcPr>
            <w:tcW w:w="326" w:type="pct"/>
            <w:noWrap/>
            <w:vAlign w:val="center"/>
            <w:hideMark/>
          </w:tcPr>
          <w:p w14:paraId="1587EE8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18,211</w:t>
            </w:r>
          </w:p>
        </w:tc>
        <w:tc>
          <w:tcPr>
            <w:tcW w:w="325" w:type="pct"/>
            <w:noWrap/>
            <w:vAlign w:val="center"/>
            <w:hideMark/>
          </w:tcPr>
          <w:p w14:paraId="1AD595F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14,569</w:t>
            </w:r>
          </w:p>
        </w:tc>
        <w:tc>
          <w:tcPr>
            <w:tcW w:w="325" w:type="pct"/>
            <w:vAlign w:val="center"/>
            <w:hideMark/>
          </w:tcPr>
          <w:p w14:paraId="0EE6188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10,927</w:t>
            </w:r>
          </w:p>
        </w:tc>
        <w:tc>
          <w:tcPr>
            <w:tcW w:w="287" w:type="pct"/>
            <w:noWrap/>
            <w:vAlign w:val="center"/>
            <w:hideMark/>
          </w:tcPr>
          <w:p w14:paraId="2C4845B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72,845</w:t>
            </w:r>
          </w:p>
        </w:tc>
        <w:tc>
          <w:tcPr>
            <w:tcW w:w="125" w:type="pct"/>
            <w:noWrap/>
            <w:vAlign w:val="center"/>
            <w:hideMark/>
          </w:tcPr>
          <w:p w14:paraId="6BA85B2B"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22</w:t>
            </w:r>
          </w:p>
        </w:tc>
      </w:tr>
      <w:tr w:rsidR="00C15440" w:rsidRPr="00A51E75" w14:paraId="386CEBC8" w14:textId="77777777" w:rsidTr="00680B7F">
        <w:trPr>
          <w:trHeight w:val="640"/>
        </w:trPr>
        <w:tc>
          <w:tcPr>
            <w:tcW w:w="640" w:type="pct"/>
            <w:vMerge/>
            <w:noWrap/>
            <w:vAlign w:val="center"/>
            <w:hideMark/>
          </w:tcPr>
          <w:p w14:paraId="09C0233B"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2B143F23" w14:textId="77777777" w:rsidR="00C15440" w:rsidRPr="00A51E75" w:rsidRDefault="00C15440" w:rsidP="00C15440">
            <w:pPr>
              <w:rPr>
                <w:sz w:val="16"/>
                <w:szCs w:val="16"/>
              </w:rPr>
            </w:pPr>
          </w:p>
        </w:tc>
        <w:tc>
          <w:tcPr>
            <w:tcW w:w="295" w:type="pct"/>
            <w:noWrap/>
            <w:hideMark/>
          </w:tcPr>
          <w:p w14:paraId="42C6FE1A" w14:textId="6B767B11" w:rsidR="00C15440" w:rsidRPr="00A51E75" w:rsidRDefault="00C15440" w:rsidP="00C15440">
            <w:pPr>
              <w:rPr>
                <w:sz w:val="18"/>
                <w:szCs w:val="18"/>
              </w:rPr>
            </w:pPr>
            <w:r w:rsidRPr="00DE67D3">
              <w:rPr>
                <w:rFonts w:ascii="Calibri" w:hAnsi="Calibri" w:cs="Calibri"/>
                <w:color w:val="000000"/>
                <w:sz w:val="18"/>
                <w:szCs w:val="18"/>
              </w:rPr>
              <w:t>PNUD</w:t>
            </w:r>
          </w:p>
        </w:tc>
        <w:tc>
          <w:tcPr>
            <w:tcW w:w="246" w:type="pct"/>
            <w:noWrap/>
            <w:vAlign w:val="center"/>
            <w:hideMark/>
          </w:tcPr>
          <w:p w14:paraId="670F03DC" w14:textId="11F722F9"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4613F5A6" w14:textId="51056E7E"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06C3BC45"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72100</w:t>
            </w:r>
          </w:p>
        </w:tc>
        <w:tc>
          <w:tcPr>
            <w:tcW w:w="639" w:type="pct"/>
            <w:vAlign w:val="center"/>
            <w:hideMark/>
          </w:tcPr>
          <w:p w14:paraId="1E1A6A2D"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Empresas</w:t>
            </w:r>
          </w:p>
        </w:tc>
        <w:tc>
          <w:tcPr>
            <w:tcW w:w="325" w:type="pct"/>
            <w:noWrap/>
            <w:vAlign w:val="center"/>
            <w:hideMark/>
          </w:tcPr>
          <w:p w14:paraId="76680248"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43,874</w:t>
            </w:r>
          </w:p>
        </w:tc>
        <w:tc>
          <w:tcPr>
            <w:tcW w:w="325" w:type="pct"/>
            <w:noWrap/>
            <w:vAlign w:val="center"/>
            <w:hideMark/>
          </w:tcPr>
          <w:p w14:paraId="0F2C7E5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85,953</w:t>
            </w:r>
          </w:p>
        </w:tc>
        <w:tc>
          <w:tcPr>
            <w:tcW w:w="326" w:type="pct"/>
            <w:noWrap/>
            <w:vAlign w:val="center"/>
            <w:hideMark/>
          </w:tcPr>
          <w:p w14:paraId="38F8998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73,123</w:t>
            </w:r>
          </w:p>
        </w:tc>
        <w:tc>
          <w:tcPr>
            <w:tcW w:w="325" w:type="pct"/>
            <w:noWrap/>
            <w:vAlign w:val="center"/>
            <w:hideMark/>
          </w:tcPr>
          <w:p w14:paraId="34262DBA"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58,498</w:t>
            </w:r>
          </w:p>
        </w:tc>
        <w:tc>
          <w:tcPr>
            <w:tcW w:w="325" w:type="pct"/>
            <w:noWrap/>
            <w:vAlign w:val="center"/>
            <w:hideMark/>
          </w:tcPr>
          <w:p w14:paraId="37B50B1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43,873</w:t>
            </w:r>
          </w:p>
        </w:tc>
        <w:tc>
          <w:tcPr>
            <w:tcW w:w="287" w:type="pct"/>
            <w:noWrap/>
            <w:vAlign w:val="center"/>
            <w:hideMark/>
          </w:tcPr>
          <w:p w14:paraId="3776647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305,321</w:t>
            </w:r>
          </w:p>
        </w:tc>
        <w:tc>
          <w:tcPr>
            <w:tcW w:w="125" w:type="pct"/>
            <w:noWrap/>
            <w:vAlign w:val="center"/>
            <w:hideMark/>
          </w:tcPr>
          <w:p w14:paraId="53F9FD08"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23</w:t>
            </w:r>
          </w:p>
        </w:tc>
      </w:tr>
      <w:tr w:rsidR="00C15440" w:rsidRPr="00A51E75" w14:paraId="56CAB534" w14:textId="77777777" w:rsidTr="00680B7F">
        <w:trPr>
          <w:trHeight w:val="320"/>
        </w:trPr>
        <w:tc>
          <w:tcPr>
            <w:tcW w:w="640" w:type="pct"/>
            <w:vMerge/>
            <w:noWrap/>
            <w:vAlign w:val="center"/>
            <w:hideMark/>
          </w:tcPr>
          <w:p w14:paraId="459E2342"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5EBB7F61" w14:textId="77777777" w:rsidR="00C15440" w:rsidRPr="00A51E75" w:rsidRDefault="00C15440" w:rsidP="00C15440">
            <w:pPr>
              <w:rPr>
                <w:sz w:val="16"/>
                <w:szCs w:val="16"/>
              </w:rPr>
            </w:pPr>
          </w:p>
        </w:tc>
        <w:tc>
          <w:tcPr>
            <w:tcW w:w="295" w:type="pct"/>
            <w:noWrap/>
            <w:hideMark/>
          </w:tcPr>
          <w:p w14:paraId="5A12955D" w14:textId="3B5C2FD7" w:rsidR="00C15440" w:rsidRPr="00A51E75" w:rsidRDefault="00C15440" w:rsidP="00C15440">
            <w:pPr>
              <w:rPr>
                <w:sz w:val="18"/>
                <w:szCs w:val="18"/>
              </w:rPr>
            </w:pPr>
            <w:r w:rsidRPr="00DE67D3">
              <w:rPr>
                <w:rFonts w:ascii="Calibri" w:hAnsi="Calibri" w:cs="Calibri"/>
                <w:color w:val="000000"/>
                <w:sz w:val="18"/>
                <w:szCs w:val="18"/>
              </w:rPr>
              <w:t>PNUD</w:t>
            </w:r>
          </w:p>
        </w:tc>
        <w:tc>
          <w:tcPr>
            <w:tcW w:w="246" w:type="pct"/>
            <w:noWrap/>
            <w:vAlign w:val="center"/>
            <w:hideMark/>
          </w:tcPr>
          <w:p w14:paraId="15F8E48F" w14:textId="586CAEEA"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0864F847" w14:textId="5C7F2A5C"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495635B"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72600</w:t>
            </w:r>
          </w:p>
        </w:tc>
        <w:tc>
          <w:tcPr>
            <w:tcW w:w="639" w:type="pct"/>
            <w:noWrap/>
            <w:vAlign w:val="center"/>
            <w:hideMark/>
          </w:tcPr>
          <w:p w14:paraId="1211704E"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Subvenciones</w:t>
            </w:r>
          </w:p>
        </w:tc>
        <w:tc>
          <w:tcPr>
            <w:tcW w:w="325" w:type="pct"/>
            <w:noWrap/>
            <w:vAlign w:val="center"/>
            <w:hideMark/>
          </w:tcPr>
          <w:p w14:paraId="420E166F" w14:textId="77777777" w:rsidR="00C15440" w:rsidRPr="00A51E75" w:rsidRDefault="00C15440" w:rsidP="00C15440">
            <w:pPr>
              <w:jc w:val="right"/>
              <w:rPr>
                <w:rFonts w:ascii="Calibri" w:hAnsi="Calibri" w:cs="Calibri"/>
                <w:color w:val="000000"/>
                <w:sz w:val="16"/>
                <w:szCs w:val="16"/>
              </w:rPr>
            </w:pPr>
          </w:p>
        </w:tc>
        <w:tc>
          <w:tcPr>
            <w:tcW w:w="325" w:type="pct"/>
            <w:noWrap/>
            <w:vAlign w:val="center"/>
            <w:hideMark/>
          </w:tcPr>
          <w:p w14:paraId="317F7FB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118,938</w:t>
            </w:r>
          </w:p>
        </w:tc>
        <w:tc>
          <w:tcPr>
            <w:tcW w:w="326" w:type="pct"/>
            <w:noWrap/>
            <w:vAlign w:val="center"/>
            <w:hideMark/>
          </w:tcPr>
          <w:p w14:paraId="0353255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118,938</w:t>
            </w:r>
          </w:p>
        </w:tc>
        <w:tc>
          <w:tcPr>
            <w:tcW w:w="325" w:type="pct"/>
            <w:noWrap/>
            <w:vAlign w:val="center"/>
            <w:hideMark/>
          </w:tcPr>
          <w:p w14:paraId="27CD15C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98,209</w:t>
            </w:r>
          </w:p>
        </w:tc>
        <w:tc>
          <w:tcPr>
            <w:tcW w:w="325" w:type="pct"/>
            <w:vAlign w:val="center"/>
            <w:hideMark/>
          </w:tcPr>
          <w:p w14:paraId="01C89D6E" w14:textId="77777777" w:rsidR="00C15440" w:rsidRPr="00A51E75" w:rsidRDefault="00C15440" w:rsidP="00C15440">
            <w:pPr>
              <w:jc w:val="right"/>
              <w:rPr>
                <w:rFonts w:ascii="Calibri" w:hAnsi="Calibri" w:cs="Calibri"/>
                <w:color w:val="000000"/>
                <w:sz w:val="16"/>
                <w:szCs w:val="16"/>
              </w:rPr>
            </w:pPr>
          </w:p>
        </w:tc>
        <w:tc>
          <w:tcPr>
            <w:tcW w:w="287" w:type="pct"/>
            <w:noWrap/>
            <w:vAlign w:val="center"/>
            <w:hideMark/>
          </w:tcPr>
          <w:p w14:paraId="084C494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336,085</w:t>
            </w:r>
          </w:p>
        </w:tc>
        <w:tc>
          <w:tcPr>
            <w:tcW w:w="125" w:type="pct"/>
            <w:noWrap/>
            <w:vAlign w:val="center"/>
            <w:hideMark/>
          </w:tcPr>
          <w:p w14:paraId="71A4B543"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24</w:t>
            </w:r>
          </w:p>
        </w:tc>
      </w:tr>
      <w:tr w:rsidR="00C15440" w:rsidRPr="00A51E75" w14:paraId="450ADE8B" w14:textId="77777777" w:rsidTr="00680B7F">
        <w:trPr>
          <w:trHeight w:val="320"/>
        </w:trPr>
        <w:tc>
          <w:tcPr>
            <w:tcW w:w="640" w:type="pct"/>
            <w:vMerge/>
            <w:noWrap/>
            <w:vAlign w:val="center"/>
            <w:hideMark/>
          </w:tcPr>
          <w:p w14:paraId="39966FC5"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5B4AB746" w14:textId="77777777" w:rsidR="00C15440" w:rsidRPr="00A51E75" w:rsidRDefault="00C15440" w:rsidP="00C15440">
            <w:pPr>
              <w:rPr>
                <w:sz w:val="16"/>
                <w:szCs w:val="16"/>
              </w:rPr>
            </w:pPr>
          </w:p>
        </w:tc>
        <w:tc>
          <w:tcPr>
            <w:tcW w:w="295" w:type="pct"/>
            <w:noWrap/>
            <w:hideMark/>
          </w:tcPr>
          <w:p w14:paraId="5C65E90C" w14:textId="5AA41DE6" w:rsidR="00C15440" w:rsidRPr="00A51E75" w:rsidRDefault="00C15440" w:rsidP="00C15440">
            <w:pPr>
              <w:rPr>
                <w:sz w:val="18"/>
                <w:szCs w:val="18"/>
              </w:rPr>
            </w:pPr>
            <w:r w:rsidRPr="00DE67D3">
              <w:rPr>
                <w:rFonts w:ascii="Calibri" w:hAnsi="Calibri" w:cs="Calibri"/>
                <w:color w:val="000000"/>
                <w:sz w:val="18"/>
                <w:szCs w:val="18"/>
              </w:rPr>
              <w:t>PNUD</w:t>
            </w:r>
          </w:p>
        </w:tc>
        <w:tc>
          <w:tcPr>
            <w:tcW w:w="246" w:type="pct"/>
            <w:noWrap/>
            <w:vAlign w:val="center"/>
            <w:hideMark/>
          </w:tcPr>
          <w:p w14:paraId="4CAA4B6C" w14:textId="15890615"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C1C54D0" w14:textId="44BB145E"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25EE7C97"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74200</w:t>
            </w:r>
          </w:p>
        </w:tc>
        <w:tc>
          <w:tcPr>
            <w:tcW w:w="639" w:type="pct"/>
            <w:noWrap/>
            <w:vAlign w:val="center"/>
            <w:hideMark/>
          </w:tcPr>
          <w:p w14:paraId="492E7C34" w14:textId="5769E749" w:rsidR="00C15440" w:rsidRPr="00895463" w:rsidRDefault="00AF6ED3" w:rsidP="00C15440">
            <w:pPr>
              <w:rPr>
                <w:rFonts w:ascii="Calibri" w:hAnsi="Calibri" w:cs="Calibri"/>
                <w:color w:val="000000"/>
                <w:sz w:val="18"/>
                <w:szCs w:val="18"/>
                <w:lang w:val="es-EC"/>
              </w:rPr>
            </w:pPr>
            <w:r>
              <w:rPr>
                <w:rFonts w:ascii="Calibri" w:hAnsi="Calibri" w:cs="Calibri"/>
                <w:color w:val="000000"/>
                <w:sz w:val="18"/>
                <w:szCs w:val="18"/>
              </w:rPr>
              <w:t>Costos</w:t>
            </w:r>
            <w:r w:rsidR="00C15440" w:rsidRPr="00A51E75">
              <w:rPr>
                <w:rFonts w:ascii="Calibri" w:hAnsi="Calibri" w:cs="Calibri"/>
                <w:color w:val="000000"/>
                <w:sz w:val="18"/>
                <w:szCs w:val="18"/>
              </w:rPr>
              <w:t xml:space="preserve"> de producción audiovisual e impresa</w:t>
            </w:r>
          </w:p>
        </w:tc>
        <w:tc>
          <w:tcPr>
            <w:tcW w:w="325" w:type="pct"/>
            <w:noWrap/>
            <w:vAlign w:val="center"/>
            <w:hideMark/>
          </w:tcPr>
          <w:p w14:paraId="175FBE7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6,166</w:t>
            </w:r>
          </w:p>
        </w:tc>
        <w:tc>
          <w:tcPr>
            <w:tcW w:w="325" w:type="pct"/>
            <w:noWrap/>
            <w:vAlign w:val="center"/>
            <w:hideMark/>
          </w:tcPr>
          <w:p w14:paraId="4F19CFF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18,499</w:t>
            </w:r>
          </w:p>
        </w:tc>
        <w:tc>
          <w:tcPr>
            <w:tcW w:w="326" w:type="pct"/>
            <w:noWrap/>
            <w:vAlign w:val="center"/>
            <w:hideMark/>
          </w:tcPr>
          <w:p w14:paraId="2C4B10B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18,499</w:t>
            </w:r>
          </w:p>
        </w:tc>
        <w:tc>
          <w:tcPr>
            <w:tcW w:w="325" w:type="pct"/>
            <w:noWrap/>
            <w:vAlign w:val="center"/>
            <w:hideMark/>
          </w:tcPr>
          <w:p w14:paraId="56CC1C5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12,332</w:t>
            </w:r>
          </w:p>
        </w:tc>
        <w:tc>
          <w:tcPr>
            <w:tcW w:w="325" w:type="pct"/>
            <w:vAlign w:val="center"/>
            <w:hideMark/>
          </w:tcPr>
          <w:p w14:paraId="6F68C8E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6,166</w:t>
            </w:r>
          </w:p>
        </w:tc>
        <w:tc>
          <w:tcPr>
            <w:tcW w:w="287" w:type="pct"/>
            <w:noWrap/>
            <w:vAlign w:val="center"/>
            <w:hideMark/>
          </w:tcPr>
          <w:p w14:paraId="21EFBA0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61,662</w:t>
            </w:r>
          </w:p>
        </w:tc>
        <w:tc>
          <w:tcPr>
            <w:tcW w:w="125" w:type="pct"/>
            <w:noWrap/>
            <w:vAlign w:val="center"/>
            <w:hideMark/>
          </w:tcPr>
          <w:p w14:paraId="04BF96DA"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25</w:t>
            </w:r>
          </w:p>
        </w:tc>
      </w:tr>
      <w:tr w:rsidR="00C15440" w:rsidRPr="00A51E75" w14:paraId="2F8C0F1B" w14:textId="77777777" w:rsidTr="00680B7F">
        <w:trPr>
          <w:trHeight w:val="320"/>
        </w:trPr>
        <w:tc>
          <w:tcPr>
            <w:tcW w:w="640" w:type="pct"/>
            <w:vMerge/>
            <w:noWrap/>
            <w:vAlign w:val="center"/>
            <w:hideMark/>
          </w:tcPr>
          <w:p w14:paraId="4D0860EC"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557B2330" w14:textId="77777777" w:rsidR="00C15440" w:rsidRPr="00A51E75" w:rsidRDefault="00C15440" w:rsidP="00C15440">
            <w:pPr>
              <w:rPr>
                <w:sz w:val="16"/>
                <w:szCs w:val="16"/>
              </w:rPr>
            </w:pPr>
          </w:p>
        </w:tc>
        <w:tc>
          <w:tcPr>
            <w:tcW w:w="295" w:type="pct"/>
            <w:noWrap/>
            <w:hideMark/>
          </w:tcPr>
          <w:p w14:paraId="7001C007" w14:textId="651BF5BE" w:rsidR="00C15440" w:rsidRPr="00A51E75" w:rsidRDefault="00C15440" w:rsidP="00C15440">
            <w:pPr>
              <w:rPr>
                <w:sz w:val="18"/>
                <w:szCs w:val="18"/>
              </w:rPr>
            </w:pPr>
            <w:r w:rsidRPr="00DE67D3">
              <w:rPr>
                <w:rFonts w:ascii="Calibri" w:hAnsi="Calibri" w:cs="Calibri"/>
                <w:color w:val="000000"/>
                <w:sz w:val="18"/>
                <w:szCs w:val="18"/>
              </w:rPr>
              <w:t>PNUD</w:t>
            </w:r>
          </w:p>
        </w:tc>
        <w:tc>
          <w:tcPr>
            <w:tcW w:w="246" w:type="pct"/>
            <w:noWrap/>
            <w:vAlign w:val="center"/>
            <w:hideMark/>
          </w:tcPr>
          <w:p w14:paraId="0E30B359" w14:textId="58093197"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7D5D18E6" w14:textId="73C046B8"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779118E7"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75700</w:t>
            </w:r>
          </w:p>
        </w:tc>
        <w:tc>
          <w:tcPr>
            <w:tcW w:w="639" w:type="pct"/>
            <w:noWrap/>
            <w:vAlign w:val="center"/>
            <w:hideMark/>
          </w:tcPr>
          <w:p w14:paraId="14753EBF"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Formación, talleres y conferencias</w:t>
            </w:r>
          </w:p>
        </w:tc>
        <w:tc>
          <w:tcPr>
            <w:tcW w:w="325" w:type="pct"/>
            <w:noWrap/>
            <w:vAlign w:val="center"/>
            <w:hideMark/>
          </w:tcPr>
          <w:p w14:paraId="70F4DD5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27,236</w:t>
            </w:r>
          </w:p>
        </w:tc>
        <w:tc>
          <w:tcPr>
            <w:tcW w:w="325" w:type="pct"/>
            <w:noWrap/>
            <w:vAlign w:val="center"/>
            <w:hideMark/>
          </w:tcPr>
          <w:p w14:paraId="7CDCE03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45,394</w:t>
            </w:r>
          </w:p>
        </w:tc>
        <w:tc>
          <w:tcPr>
            <w:tcW w:w="326" w:type="pct"/>
            <w:noWrap/>
            <w:vAlign w:val="center"/>
            <w:hideMark/>
          </w:tcPr>
          <w:p w14:paraId="4091CCF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45,394</w:t>
            </w:r>
          </w:p>
        </w:tc>
        <w:tc>
          <w:tcPr>
            <w:tcW w:w="325" w:type="pct"/>
            <w:noWrap/>
            <w:vAlign w:val="center"/>
            <w:hideMark/>
          </w:tcPr>
          <w:p w14:paraId="3471ABE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36,315</w:t>
            </w:r>
          </w:p>
        </w:tc>
        <w:tc>
          <w:tcPr>
            <w:tcW w:w="325" w:type="pct"/>
            <w:vAlign w:val="center"/>
            <w:hideMark/>
          </w:tcPr>
          <w:p w14:paraId="07DC73E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27,236</w:t>
            </w:r>
          </w:p>
        </w:tc>
        <w:tc>
          <w:tcPr>
            <w:tcW w:w="287" w:type="pct"/>
            <w:noWrap/>
            <w:vAlign w:val="center"/>
            <w:hideMark/>
          </w:tcPr>
          <w:p w14:paraId="2F57BE4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181,575</w:t>
            </w:r>
          </w:p>
        </w:tc>
        <w:tc>
          <w:tcPr>
            <w:tcW w:w="125" w:type="pct"/>
            <w:noWrap/>
            <w:vAlign w:val="center"/>
            <w:hideMark/>
          </w:tcPr>
          <w:p w14:paraId="542BCE09"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26</w:t>
            </w:r>
          </w:p>
        </w:tc>
      </w:tr>
      <w:tr w:rsidR="001E40B9" w:rsidRPr="00A51E75" w14:paraId="26091FFE" w14:textId="77777777" w:rsidTr="00B303D6">
        <w:trPr>
          <w:trHeight w:val="320"/>
        </w:trPr>
        <w:tc>
          <w:tcPr>
            <w:tcW w:w="640" w:type="pct"/>
            <w:vMerge/>
            <w:noWrap/>
            <w:vAlign w:val="center"/>
            <w:hideMark/>
          </w:tcPr>
          <w:p w14:paraId="2B2C3E80"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5B66771C" w14:textId="77777777" w:rsidR="001E40B9" w:rsidRPr="00A51E75" w:rsidRDefault="001E40B9" w:rsidP="00B303D6">
            <w:pPr>
              <w:rPr>
                <w:sz w:val="16"/>
                <w:szCs w:val="16"/>
              </w:rPr>
            </w:pPr>
          </w:p>
        </w:tc>
        <w:tc>
          <w:tcPr>
            <w:tcW w:w="295" w:type="pct"/>
            <w:noWrap/>
            <w:vAlign w:val="center"/>
            <w:hideMark/>
          </w:tcPr>
          <w:p w14:paraId="04F4595F" w14:textId="7D4C8FA5"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2D155014"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25ADDC72" w14:textId="77777777" w:rsidR="001E40B9" w:rsidRPr="00A51E75" w:rsidRDefault="001E40B9" w:rsidP="00B303D6">
            <w:pPr>
              <w:rPr>
                <w:sz w:val="18"/>
                <w:szCs w:val="18"/>
              </w:rPr>
            </w:pPr>
          </w:p>
        </w:tc>
        <w:tc>
          <w:tcPr>
            <w:tcW w:w="246" w:type="pct"/>
            <w:noWrap/>
            <w:vAlign w:val="center"/>
            <w:hideMark/>
          </w:tcPr>
          <w:p w14:paraId="19EEB857" w14:textId="77777777" w:rsidR="001E40B9" w:rsidRPr="00A51E75" w:rsidRDefault="001E40B9" w:rsidP="00B303D6">
            <w:pPr>
              <w:rPr>
                <w:sz w:val="18"/>
                <w:szCs w:val="18"/>
              </w:rPr>
            </w:pPr>
          </w:p>
        </w:tc>
        <w:tc>
          <w:tcPr>
            <w:tcW w:w="639" w:type="pct"/>
            <w:noWrap/>
            <w:vAlign w:val="center"/>
            <w:hideMark/>
          </w:tcPr>
          <w:p w14:paraId="76229A8C" w14:textId="77777777" w:rsidR="001E40B9" w:rsidRPr="00A51E75" w:rsidRDefault="001E40B9" w:rsidP="00B303D6">
            <w:pPr>
              <w:rPr>
                <w:sz w:val="18"/>
                <w:szCs w:val="18"/>
              </w:rPr>
            </w:pPr>
          </w:p>
        </w:tc>
        <w:tc>
          <w:tcPr>
            <w:tcW w:w="325" w:type="pct"/>
            <w:noWrap/>
            <w:vAlign w:val="center"/>
            <w:hideMark/>
          </w:tcPr>
          <w:p w14:paraId="288FEEDD"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101,228</w:t>
            </w:r>
          </w:p>
        </w:tc>
        <w:tc>
          <w:tcPr>
            <w:tcW w:w="325" w:type="pct"/>
            <w:noWrap/>
            <w:vAlign w:val="center"/>
            <w:hideMark/>
          </w:tcPr>
          <w:p w14:paraId="34CB4D7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313,045</w:t>
            </w:r>
          </w:p>
        </w:tc>
        <w:tc>
          <w:tcPr>
            <w:tcW w:w="326" w:type="pct"/>
            <w:noWrap/>
            <w:vAlign w:val="center"/>
            <w:hideMark/>
          </w:tcPr>
          <w:p w14:paraId="76674BA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300,215</w:t>
            </w:r>
          </w:p>
        </w:tc>
        <w:tc>
          <w:tcPr>
            <w:tcW w:w="325" w:type="pct"/>
            <w:noWrap/>
            <w:vAlign w:val="center"/>
            <w:hideMark/>
          </w:tcPr>
          <w:p w14:paraId="73CF4BAB"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237,289</w:t>
            </w:r>
          </w:p>
        </w:tc>
        <w:tc>
          <w:tcPr>
            <w:tcW w:w="325" w:type="pct"/>
            <w:noWrap/>
            <w:vAlign w:val="center"/>
            <w:hideMark/>
          </w:tcPr>
          <w:p w14:paraId="7296C9E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92,543</w:t>
            </w:r>
          </w:p>
        </w:tc>
        <w:tc>
          <w:tcPr>
            <w:tcW w:w="287" w:type="pct"/>
            <w:noWrap/>
            <w:vAlign w:val="center"/>
            <w:hideMark/>
          </w:tcPr>
          <w:p w14:paraId="1DCC29E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1,044,320</w:t>
            </w:r>
          </w:p>
        </w:tc>
        <w:tc>
          <w:tcPr>
            <w:tcW w:w="125" w:type="pct"/>
            <w:noWrap/>
            <w:vAlign w:val="center"/>
            <w:hideMark/>
          </w:tcPr>
          <w:p w14:paraId="3C6FBF42" w14:textId="77777777" w:rsidR="001E40B9" w:rsidRPr="00A51E75" w:rsidRDefault="001E40B9" w:rsidP="00B303D6">
            <w:pPr>
              <w:jc w:val="center"/>
              <w:rPr>
                <w:rFonts w:ascii="Calibri" w:hAnsi="Calibri" w:cs="Calibri"/>
                <w:b/>
                <w:bCs/>
                <w:color w:val="000000"/>
                <w:sz w:val="16"/>
                <w:szCs w:val="16"/>
              </w:rPr>
            </w:pPr>
          </w:p>
        </w:tc>
      </w:tr>
      <w:tr w:rsidR="001E40B9" w:rsidRPr="00A51E75" w14:paraId="4B82AEA9" w14:textId="77777777" w:rsidTr="00B303D6">
        <w:trPr>
          <w:trHeight w:val="320"/>
        </w:trPr>
        <w:tc>
          <w:tcPr>
            <w:tcW w:w="640" w:type="pct"/>
            <w:vMerge/>
            <w:noWrap/>
            <w:vAlign w:val="center"/>
            <w:hideMark/>
          </w:tcPr>
          <w:p w14:paraId="471D2505" w14:textId="77777777" w:rsidR="001E40B9" w:rsidRPr="00A51E75" w:rsidRDefault="001E40B9" w:rsidP="00B303D6">
            <w:pPr>
              <w:rPr>
                <w:sz w:val="16"/>
                <w:szCs w:val="16"/>
              </w:rPr>
            </w:pPr>
          </w:p>
        </w:tc>
        <w:tc>
          <w:tcPr>
            <w:tcW w:w="945" w:type="pct"/>
            <w:gridSpan w:val="2"/>
            <w:noWrap/>
            <w:vAlign w:val="center"/>
            <w:hideMark/>
          </w:tcPr>
          <w:p w14:paraId="4422112D"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Resultado total: 3.1</w:t>
            </w:r>
          </w:p>
        </w:tc>
        <w:tc>
          <w:tcPr>
            <w:tcW w:w="246" w:type="pct"/>
            <w:noWrap/>
            <w:vAlign w:val="center"/>
            <w:hideMark/>
          </w:tcPr>
          <w:p w14:paraId="69F9B573"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2BB2EF45" w14:textId="77777777" w:rsidR="001E40B9" w:rsidRPr="00A51E75" w:rsidRDefault="001E40B9" w:rsidP="00B303D6">
            <w:pPr>
              <w:rPr>
                <w:sz w:val="18"/>
                <w:szCs w:val="18"/>
              </w:rPr>
            </w:pPr>
          </w:p>
        </w:tc>
        <w:tc>
          <w:tcPr>
            <w:tcW w:w="246" w:type="pct"/>
            <w:noWrap/>
            <w:vAlign w:val="center"/>
            <w:hideMark/>
          </w:tcPr>
          <w:p w14:paraId="0A91F287" w14:textId="77777777" w:rsidR="001E40B9" w:rsidRPr="00A51E75" w:rsidRDefault="001E40B9" w:rsidP="00B303D6">
            <w:pPr>
              <w:rPr>
                <w:sz w:val="18"/>
                <w:szCs w:val="18"/>
              </w:rPr>
            </w:pPr>
          </w:p>
        </w:tc>
        <w:tc>
          <w:tcPr>
            <w:tcW w:w="639" w:type="pct"/>
            <w:noWrap/>
            <w:vAlign w:val="center"/>
            <w:hideMark/>
          </w:tcPr>
          <w:p w14:paraId="1C11CAF6" w14:textId="77777777" w:rsidR="001E40B9" w:rsidRPr="00A51E75" w:rsidRDefault="001E40B9" w:rsidP="00B303D6">
            <w:pPr>
              <w:rPr>
                <w:sz w:val="18"/>
                <w:szCs w:val="18"/>
              </w:rPr>
            </w:pPr>
          </w:p>
        </w:tc>
        <w:tc>
          <w:tcPr>
            <w:tcW w:w="325" w:type="pct"/>
            <w:vAlign w:val="center"/>
            <w:hideMark/>
          </w:tcPr>
          <w:p w14:paraId="71A3EF6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101,228</w:t>
            </w:r>
          </w:p>
        </w:tc>
        <w:tc>
          <w:tcPr>
            <w:tcW w:w="325" w:type="pct"/>
            <w:vAlign w:val="center"/>
            <w:hideMark/>
          </w:tcPr>
          <w:p w14:paraId="3923E01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313,045</w:t>
            </w:r>
          </w:p>
        </w:tc>
        <w:tc>
          <w:tcPr>
            <w:tcW w:w="326" w:type="pct"/>
            <w:vAlign w:val="center"/>
            <w:hideMark/>
          </w:tcPr>
          <w:p w14:paraId="3058A980"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300,215</w:t>
            </w:r>
          </w:p>
        </w:tc>
        <w:tc>
          <w:tcPr>
            <w:tcW w:w="325" w:type="pct"/>
            <w:vAlign w:val="center"/>
            <w:hideMark/>
          </w:tcPr>
          <w:p w14:paraId="546B507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237,289</w:t>
            </w:r>
          </w:p>
        </w:tc>
        <w:tc>
          <w:tcPr>
            <w:tcW w:w="325" w:type="pct"/>
            <w:vAlign w:val="center"/>
            <w:hideMark/>
          </w:tcPr>
          <w:p w14:paraId="33FBC612"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92,543</w:t>
            </w:r>
          </w:p>
        </w:tc>
        <w:tc>
          <w:tcPr>
            <w:tcW w:w="287" w:type="pct"/>
            <w:vAlign w:val="center"/>
            <w:hideMark/>
          </w:tcPr>
          <w:p w14:paraId="5CEA614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1,044,320</w:t>
            </w:r>
          </w:p>
        </w:tc>
        <w:tc>
          <w:tcPr>
            <w:tcW w:w="125" w:type="pct"/>
            <w:noWrap/>
            <w:vAlign w:val="center"/>
            <w:hideMark/>
          </w:tcPr>
          <w:p w14:paraId="26A2B83C" w14:textId="77777777" w:rsidR="001E40B9" w:rsidRPr="00A51E75" w:rsidRDefault="001E40B9" w:rsidP="00B303D6">
            <w:pPr>
              <w:jc w:val="center"/>
              <w:rPr>
                <w:rFonts w:ascii="Calibri" w:hAnsi="Calibri" w:cs="Calibri"/>
                <w:b/>
                <w:bCs/>
                <w:color w:val="000000"/>
                <w:sz w:val="16"/>
                <w:szCs w:val="16"/>
              </w:rPr>
            </w:pPr>
          </w:p>
        </w:tc>
      </w:tr>
      <w:tr w:rsidR="001E40B9" w:rsidRPr="00A51E75" w14:paraId="35F84FDB" w14:textId="77777777" w:rsidTr="00B303D6">
        <w:trPr>
          <w:trHeight w:val="320"/>
        </w:trPr>
        <w:tc>
          <w:tcPr>
            <w:tcW w:w="1290" w:type="pct"/>
            <w:gridSpan w:val="2"/>
            <w:noWrap/>
            <w:vAlign w:val="center"/>
            <w:hideMark/>
          </w:tcPr>
          <w:p w14:paraId="6F737391"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Componente Total 3</w:t>
            </w:r>
          </w:p>
        </w:tc>
        <w:tc>
          <w:tcPr>
            <w:tcW w:w="295" w:type="pct"/>
            <w:noWrap/>
            <w:vAlign w:val="center"/>
            <w:hideMark/>
          </w:tcPr>
          <w:p w14:paraId="3B256A47"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256AEF26" w14:textId="77777777" w:rsidR="001E40B9" w:rsidRPr="00A51E75" w:rsidRDefault="001E40B9" w:rsidP="00B303D6">
            <w:pPr>
              <w:rPr>
                <w:sz w:val="18"/>
                <w:szCs w:val="18"/>
              </w:rPr>
            </w:pPr>
          </w:p>
        </w:tc>
        <w:tc>
          <w:tcPr>
            <w:tcW w:w="246" w:type="pct"/>
            <w:noWrap/>
            <w:vAlign w:val="center"/>
            <w:hideMark/>
          </w:tcPr>
          <w:p w14:paraId="126557FA" w14:textId="77777777" w:rsidR="001E40B9" w:rsidRPr="00A51E75" w:rsidRDefault="001E40B9" w:rsidP="00B303D6">
            <w:pPr>
              <w:rPr>
                <w:sz w:val="18"/>
                <w:szCs w:val="18"/>
              </w:rPr>
            </w:pPr>
          </w:p>
        </w:tc>
        <w:tc>
          <w:tcPr>
            <w:tcW w:w="246" w:type="pct"/>
            <w:noWrap/>
            <w:vAlign w:val="center"/>
            <w:hideMark/>
          </w:tcPr>
          <w:p w14:paraId="54ECDD1F" w14:textId="77777777" w:rsidR="001E40B9" w:rsidRPr="00A51E75" w:rsidRDefault="001E40B9" w:rsidP="00B303D6">
            <w:pPr>
              <w:rPr>
                <w:sz w:val="18"/>
                <w:szCs w:val="18"/>
              </w:rPr>
            </w:pPr>
          </w:p>
        </w:tc>
        <w:tc>
          <w:tcPr>
            <w:tcW w:w="639" w:type="pct"/>
            <w:vAlign w:val="center"/>
            <w:hideMark/>
          </w:tcPr>
          <w:p w14:paraId="1DEBDD28" w14:textId="77777777" w:rsidR="001E40B9" w:rsidRPr="00A51E75" w:rsidRDefault="001E40B9" w:rsidP="00B303D6">
            <w:pPr>
              <w:rPr>
                <w:sz w:val="18"/>
                <w:szCs w:val="18"/>
              </w:rPr>
            </w:pPr>
          </w:p>
        </w:tc>
        <w:tc>
          <w:tcPr>
            <w:tcW w:w="325" w:type="pct"/>
            <w:noWrap/>
            <w:vAlign w:val="center"/>
            <w:hideMark/>
          </w:tcPr>
          <w:p w14:paraId="7C901AC6"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101,228</w:t>
            </w:r>
          </w:p>
        </w:tc>
        <w:tc>
          <w:tcPr>
            <w:tcW w:w="325" w:type="pct"/>
            <w:noWrap/>
            <w:vAlign w:val="center"/>
            <w:hideMark/>
          </w:tcPr>
          <w:p w14:paraId="3F601691"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313,045</w:t>
            </w:r>
          </w:p>
        </w:tc>
        <w:tc>
          <w:tcPr>
            <w:tcW w:w="326" w:type="pct"/>
            <w:noWrap/>
            <w:vAlign w:val="center"/>
            <w:hideMark/>
          </w:tcPr>
          <w:p w14:paraId="644E7D3C"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300,215</w:t>
            </w:r>
          </w:p>
        </w:tc>
        <w:tc>
          <w:tcPr>
            <w:tcW w:w="325" w:type="pct"/>
            <w:noWrap/>
            <w:vAlign w:val="center"/>
            <w:hideMark/>
          </w:tcPr>
          <w:p w14:paraId="3227485B"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237,289</w:t>
            </w:r>
          </w:p>
        </w:tc>
        <w:tc>
          <w:tcPr>
            <w:tcW w:w="325" w:type="pct"/>
            <w:noWrap/>
            <w:vAlign w:val="center"/>
            <w:hideMark/>
          </w:tcPr>
          <w:p w14:paraId="280F9191"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92,543</w:t>
            </w:r>
          </w:p>
        </w:tc>
        <w:tc>
          <w:tcPr>
            <w:tcW w:w="287" w:type="pct"/>
            <w:noWrap/>
            <w:vAlign w:val="center"/>
            <w:hideMark/>
          </w:tcPr>
          <w:p w14:paraId="78503E9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1,044,320</w:t>
            </w:r>
          </w:p>
        </w:tc>
        <w:tc>
          <w:tcPr>
            <w:tcW w:w="125" w:type="pct"/>
            <w:noWrap/>
            <w:vAlign w:val="center"/>
            <w:hideMark/>
          </w:tcPr>
          <w:p w14:paraId="397E1BAB" w14:textId="77777777" w:rsidR="001E40B9" w:rsidRPr="00A51E75" w:rsidRDefault="001E40B9" w:rsidP="00B303D6">
            <w:pPr>
              <w:jc w:val="center"/>
              <w:rPr>
                <w:rFonts w:ascii="Calibri" w:hAnsi="Calibri" w:cs="Calibri"/>
                <w:b/>
                <w:bCs/>
                <w:color w:val="000000"/>
                <w:sz w:val="16"/>
                <w:szCs w:val="16"/>
              </w:rPr>
            </w:pPr>
          </w:p>
        </w:tc>
      </w:tr>
      <w:tr w:rsidR="00C15440" w:rsidRPr="00A51E75" w14:paraId="0F537A14" w14:textId="77777777" w:rsidTr="004540C0">
        <w:trPr>
          <w:trHeight w:val="640"/>
        </w:trPr>
        <w:tc>
          <w:tcPr>
            <w:tcW w:w="640" w:type="pct"/>
            <w:vMerge w:val="restart"/>
            <w:noWrap/>
            <w:vAlign w:val="center"/>
            <w:hideMark/>
          </w:tcPr>
          <w:p w14:paraId="121C4B25" w14:textId="77777777" w:rsidR="00C15440" w:rsidRPr="00D830D9" w:rsidRDefault="00C15440" w:rsidP="00C15440">
            <w:pPr>
              <w:rPr>
                <w:rFonts w:ascii="Calibri" w:hAnsi="Calibri" w:cs="Calibri"/>
                <w:b/>
                <w:bCs/>
                <w:color w:val="000000"/>
                <w:sz w:val="16"/>
                <w:szCs w:val="16"/>
                <w:lang w:val="es-EC"/>
              </w:rPr>
            </w:pPr>
            <w:r w:rsidRPr="00A51E75">
              <w:rPr>
                <w:rFonts w:ascii="Calibri" w:hAnsi="Calibri" w:cs="Calibri"/>
                <w:b/>
                <w:bCs/>
                <w:color w:val="000000"/>
                <w:sz w:val="16"/>
                <w:szCs w:val="16"/>
              </w:rPr>
              <w:t>Componente 4: Gestión del conocimiento a través del desarrollo de capacidades y la comunicación</w:t>
            </w:r>
          </w:p>
        </w:tc>
        <w:tc>
          <w:tcPr>
            <w:tcW w:w="650" w:type="pct"/>
            <w:vMerge w:val="restart"/>
            <w:noWrap/>
            <w:vAlign w:val="center"/>
            <w:hideMark/>
          </w:tcPr>
          <w:p w14:paraId="627B81F6" w14:textId="77777777" w:rsidR="00C15440" w:rsidRPr="00D830D9" w:rsidRDefault="00C15440" w:rsidP="00C15440">
            <w:pPr>
              <w:rPr>
                <w:rFonts w:ascii="Calibri" w:hAnsi="Calibri" w:cs="Calibri"/>
                <w:b/>
                <w:bCs/>
                <w:color w:val="000000"/>
                <w:sz w:val="16"/>
                <w:szCs w:val="16"/>
                <w:lang w:val="es-EC"/>
              </w:rPr>
            </w:pPr>
            <w:r w:rsidRPr="00A51E75">
              <w:rPr>
                <w:rFonts w:ascii="Calibri" w:hAnsi="Calibri" w:cs="Calibri"/>
                <w:b/>
                <w:bCs/>
                <w:color w:val="000000"/>
                <w:sz w:val="16"/>
                <w:szCs w:val="16"/>
              </w:rPr>
              <w:t>Resultado 4.1: Gestión del conocimiento para la toma de decisiones y el empoderamiento de los principales interesados.</w:t>
            </w:r>
          </w:p>
        </w:tc>
        <w:tc>
          <w:tcPr>
            <w:tcW w:w="295" w:type="pct"/>
            <w:noWrap/>
            <w:hideMark/>
          </w:tcPr>
          <w:p w14:paraId="3735AB0F" w14:textId="56F35628" w:rsidR="00C15440" w:rsidRPr="00A51E75" w:rsidRDefault="00C15440" w:rsidP="00C15440">
            <w:pPr>
              <w:rPr>
                <w:rFonts w:ascii="Calibri" w:hAnsi="Calibri" w:cs="Calibri"/>
                <w:color w:val="000000"/>
                <w:sz w:val="18"/>
                <w:szCs w:val="18"/>
              </w:rPr>
            </w:pPr>
            <w:r w:rsidRPr="00D802C5">
              <w:rPr>
                <w:rFonts w:ascii="Calibri" w:hAnsi="Calibri" w:cs="Calibri"/>
                <w:color w:val="000000"/>
                <w:sz w:val="18"/>
                <w:szCs w:val="18"/>
              </w:rPr>
              <w:t>PNUD</w:t>
            </w:r>
          </w:p>
        </w:tc>
        <w:tc>
          <w:tcPr>
            <w:tcW w:w="246" w:type="pct"/>
            <w:noWrap/>
            <w:vAlign w:val="center"/>
            <w:hideMark/>
          </w:tcPr>
          <w:p w14:paraId="20F03F7C" w14:textId="46021F05"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3BC03424" w14:textId="1E0F028F"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579D167A"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vAlign w:val="center"/>
            <w:hideMark/>
          </w:tcPr>
          <w:p w14:paraId="40743883"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45A8CC8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79,890</w:t>
            </w:r>
          </w:p>
        </w:tc>
        <w:tc>
          <w:tcPr>
            <w:tcW w:w="325" w:type="pct"/>
            <w:noWrap/>
            <w:vAlign w:val="center"/>
            <w:hideMark/>
          </w:tcPr>
          <w:p w14:paraId="77BB808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159,779</w:t>
            </w:r>
          </w:p>
        </w:tc>
        <w:tc>
          <w:tcPr>
            <w:tcW w:w="326" w:type="pct"/>
            <w:noWrap/>
            <w:vAlign w:val="center"/>
            <w:hideMark/>
          </w:tcPr>
          <w:p w14:paraId="6F3EB64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159,779</w:t>
            </w:r>
          </w:p>
        </w:tc>
        <w:tc>
          <w:tcPr>
            <w:tcW w:w="325" w:type="pct"/>
            <w:noWrap/>
            <w:vAlign w:val="center"/>
            <w:hideMark/>
          </w:tcPr>
          <w:p w14:paraId="53E47A2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106,520</w:t>
            </w:r>
          </w:p>
        </w:tc>
        <w:tc>
          <w:tcPr>
            <w:tcW w:w="325" w:type="pct"/>
            <w:vAlign w:val="center"/>
            <w:hideMark/>
          </w:tcPr>
          <w:p w14:paraId="7F2FA77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26,630</w:t>
            </w:r>
          </w:p>
        </w:tc>
        <w:tc>
          <w:tcPr>
            <w:tcW w:w="287" w:type="pct"/>
            <w:noWrap/>
            <w:vAlign w:val="center"/>
            <w:hideMark/>
          </w:tcPr>
          <w:p w14:paraId="6239B83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532,598</w:t>
            </w:r>
          </w:p>
        </w:tc>
        <w:tc>
          <w:tcPr>
            <w:tcW w:w="125" w:type="pct"/>
            <w:noWrap/>
            <w:vAlign w:val="center"/>
            <w:hideMark/>
          </w:tcPr>
          <w:p w14:paraId="5B5CB9DF"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27</w:t>
            </w:r>
          </w:p>
        </w:tc>
      </w:tr>
      <w:tr w:rsidR="00C15440" w:rsidRPr="00A51E75" w14:paraId="424B52C3" w14:textId="77777777" w:rsidTr="004540C0">
        <w:trPr>
          <w:trHeight w:val="320"/>
        </w:trPr>
        <w:tc>
          <w:tcPr>
            <w:tcW w:w="640" w:type="pct"/>
            <w:vMerge/>
            <w:noWrap/>
            <w:vAlign w:val="center"/>
            <w:hideMark/>
          </w:tcPr>
          <w:p w14:paraId="107F117B"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75CE68B5" w14:textId="77777777" w:rsidR="00C15440" w:rsidRPr="00A51E75" w:rsidRDefault="00C15440" w:rsidP="00C15440">
            <w:pPr>
              <w:rPr>
                <w:sz w:val="16"/>
                <w:szCs w:val="16"/>
              </w:rPr>
            </w:pPr>
          </w:p>
        </w:tc>
        <w:tc>
          <w:tcPr>
            <w:tcW w:w="295" w:type="pct"/>
            <w:noWrap/>
            <w:hideMark/>
          </w:tcPr>
          <w:p w14:paraId="0A93DD78" w14:textId="503D109A"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65A405DB" w14:textId="40E1E3E4"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6081846A" w14:textId="34F087A8"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63C1B8E3"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71600</w:t>
            </w:r>
          </w:p>
        </w:tc>
        <w:tc>
          <w:tcPr>
            <w:tcW w:w="639" w:type="pct"/>
            <w:noWrap/>
            <w:vAlign w:val="center"/>
            <w:hideMark/>
          </w:tcPr>
          <w:p w14:paraId="19DEC943"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Viajes</w:t>
            </w:r>
          </w:p>
        </w:tc>
        <w:tc>
          <w:tcPr>
            <w:tcW w:w="325" w:type="pct"/>
            <w:noWrap/>
            <w:vAlign w:val="center"/>
            <w:hideMark/>
          </w:tcPr>
          <w:p w14:paraId="12DBDF4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5,828</w:t>
            </w:r>
          </w:p>
        </w:tc>
        <w:tc>
          <w:tcPr>
            <w:tcW w:w="325" w:type="pct"/>
            <w:noWrap/>
            <w:vAlign w:val="center"/>
            <w:hideMark/>
          </w:tcPr>
          <w:p w14:paraId="1811EC7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9,713</w:t>
            </w:r>
          </w:p>
        </w:tc>
        <w:tc>
          <w:tcPr>
            <w:tcW w:w="326" w:type="pct"/>
            <w:noWrap/>
            <w:vAlign w:val="center"/>
            <w:hideMark/>
          </w:tcPr>
          <w:p w14:paraId="02A8FE6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9,713</w:t>
            </w:r>
          </w:p>
        </w:tc>
        <w:tc>
          <w:tcPr>
            <w:tcW w:w="325" w:type="pct"/>
            <w:noWrap/>
            <w:vAlign w:val="center"/>
            <w:hideMark/>
          </w:tcPr>
          <w:p w14:paraId="28355EB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7,770</w:t>
            </w:r>
          </w:p>
        </w:tc>
        <w:tc>
          <w:tcPr>
            <w:tcW w:w="325" w:type="pct"/>
            <w:vAlign w:val="center"/>
            <w:hideMark/>
          </w:tcPr>
          <w:p w14:paraId="2280228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5,827</w:t>
            </w:r>
          </w:p>
        </w:tc>
        <w:tc>
          <w:tcPr>
            <w:tcW w:w="287" w:type="pct"/>
            <w:noWrap/>
            <w:vAlign w:val="center"/>
            <w:hideMark/>
          </w:tcPr>
          <w:p w14:paraId="28BA33F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38,851</w:t>
            </w:r>
          </w:p>
        </w:tc>
        <w:tc>
          <w:tcPr>
            <w:tcW w:w="125" w:type="pct"/>
            <w:noWrap/>
            <w:vAlign w:val="center"/>
            <w:hideMark/>
          </w:tcPr>
          <w:p w14:paraId="0A6791A6"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28</w:t>
            </w:r>
          </w:p>
        </w:tc>
      </w:tr>
      <w:tr w:rsidR="00C15440" w:rsidRPr="00A51E75" w14:paraId="722B7C12" w14:textId="77777777" w:rsidTr="004540C0">
        <w:trPr>
          <w:trHeight w:val="640"/>
        </w:trPr>
        <w:tc>
          <w:tcPr>
            <w:tcW w:w="640" w:type="pct"/>
            <w:vMerge/>
            <w:noWrap/>
            <w:vAlign w:val="center"/>
            <w:hideMark/>
          </w:tcPr>
          <w:p w14:paraId="5EB2EB4A"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10F957AB" w14:textId="77777777" w:rsidR="00C15440" w:rsidRPr="00A51E75" w:rsidRDefault="00C15440" w:rsidP="00C15440">
            <w:pPr>
              <w:rPr>
                <w:sz w:val="16"/>
                <w:szCs w:val="16"/>
              </w:rPr>
            </w:pPr>
          </w:p>
        </w:tc>
        <w:tc>
          <w:tcPr>
            <w:tcW w:w="295" w:type="pct"/>
            <w:noWrap/>
            <w:hideMark/>
          </w:tcPr>
          <w:p w14:paraId="48A4F02C" w14:textId="51B2B624"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7A9E9289" w14:textId="0A910C1B"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06887B5" w14:textId="798A13A3"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352B00FF"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72100</w:t>
            </w:r>
          </w:p>
        </w:tc>
        <w:tc>
          <w:tcPr>
            <w:tcW w:w="639" w:type="pct"/>
            <w:vAlign w:val="center"/>
            <w:hideMark/>
          </w:tcPr>
          <w:p w14:paraId="4DD21319"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Empresas</w:t>
            </w:r>
          </w:p>
        </w:tc>
        <w:tc>
          <w:tcPr>
            <w:tcW w:w="325" w:type="pct"/>
            <w:noWrap/>
            <w:vAlign w:val="center"/>
            <w:hideMark/>
          </w:tcPr>
          <w:p w14:paraId="0F338578"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21,937</w:t>
            </w:r>
          </w:p>
        </w:tc>
        <w:tc>
          <w:tcPr>
            <w:tcW w:w="325" w:type="pct"/>
            <w:noWrap/>
            <w:vAlign w:val="center"/>
            <w:hideMark/>
          </w:tcPr>
          <w:p w14:paraId="469408D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36,561</w:t>
            </w:r>
          </w:p>
        </w:tc>
        <w:tc>
          <w:tcPr>
            <w:tcW w:w="326" w:type="pct"/>
            <w:noWrap/>
            <w:vAlign w:val="center"/>
            <w:hideMark/>
          </w:tcPr>
          <w:p w14:paraId="3823D51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36,561</w:t>
            </w:r>
          </w:p>
        </w:tc>
        <w:tc>
          <w:tcPr>
            <w:tcW w:w="325" w:type="pct"/>
            <w:noWrap/>
            <w:vAlign w:val="center"/>
            <w:hideMark/>
          </w:tcPr>
          <w:p w14:paraId="51B24A3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29,249</w:t>
            </w:r>
          </w:p>
        </w:tc>
        <w:tc>
          <w:tcPr>
            <w:tcW w:w="325" w:type="pct"/>
            <w:noWrap/>
            <w:vAlign w:val="center"/>
            <w:hideMark/>
          </w:tcPr>
          <w:p w14:paraId="3FD5F3A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21,937</w:t>
            </w:r>
          </w:p>
        </w:tc>
        <w:tc>
          <w:tcPr>
            <w:tcW w:w="287" w:type="pct"/>
            <w:noWrap/>
            <w:vAlign w:val="center"/>
            <w:hideMark/>
          </w:tcPr>
          <w:p w14:paraId="0DF2099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146,245</w:t>
            </w:r>
          </w:p>
        </w:tc>
        <w:tc>
          <w:tcPr>
            <w:tcW w:w="125" w:type="pct"/>
            <w:noWrap/>
            <w:vAlign w:val="center"/>
            <w:hideMark/>
          </w:tcPr>
          <w:p w14:paraId="1965D1BA"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29</w:t>
            </w:r>
          </w:p>
        </w:tc>
      </w:tr>
      <w:tr w:rsidR="00C15440" w:rsidRPr="00A51E75" w14:paraId="18488B2F" w14:textId="77777777" w:rsidTr="004540C0">
        <w:trPr>
          <w:trHeight w:val="640"/>
        </w:trPr>
        <w:tc>
          <w:tcPr>
            <w:tcW w:w="640" w:type="pct"/>
            <w:vMerge/>
            <w:noWrap/>
            <w:vAlign w:val="center"/>
            <w:hideMark/>
          </w:tcPr>
          <w:p w14:paraId="0943C4E4"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07E5062B" w14:textId="77777777" w:rsidR="00C15440" w:rsidRPr="00A51E75" w:rsidRDefault="00C15440" w:rsidP="00C15440">
            <w:pPr>
              <w:rPr>
                <w:sz w:val="16"/>
                <w:szCs w:val="16"/>
              </w:rPr>
            </w:pPr>
          </w:p>
        </w:tc>
        <w:tc>
          <w:tcPr>
            <w:tcW w:w="295" w:type="pct"/>
            <w:noWrap/>
            <w:hideMark/>
          </w:tcPr>
          <w:p w14:paraId="782A60F5" w14:textId="500266E2"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0CD67FD5" w14:textId="41205E62"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1BF2C65A" w14:textId="11D1AD59"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4BB03878"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72400</w:t>
            </w:r>
          </w:p>
        </w:tc>
        <w:tc>
          <w:tcPr>
            <w:tcW w:w="639" w:type="pct"/>
            <w:vAlign w:val="center"/>
            <w:hideMark/>
          </w:tcPr>
          <w:p w14:paraId="42734243"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Comunicación y Equipos Audiovisuales</w:t>
            </w:r>
          </w:p>
        </w:tc>
        <w:tc>
          <w:tcPr>
            <w:tcW w:w="325" w:type="pct"/>
            <w:noWrap/>
            <w:vAlign w:val="center"/>
            <w:hideMark/>
          </w:tcPr>
          <w:p w14:paraId="5AC1E90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34,474</w:t>
            </w:r>
          </w:p>
        </w:tc>
        <w:tc>
          <w:tcPr>
            <w:tcW w:w="325" w:type="pct"/>
            <w:noWrap/>
            <w:vAlign w:val="center"/>
            <w:hideMark/>
          </w:tcPr>
          <w:p w14:paraId="5C1629A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57,456</w:t>
            </w:r>
          </w:p>
        </w:tc>
        <w:tc>
          <w:tcPr>
            <w:tcW w:w="326" w:type="pct"/>
            <w:noWrap/>
            <w:vAlign w:val="center"/>
            <w:hideMark/>
          </w:tcPr>
          <w:p w14:paraId="5947EF2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57,456</w:t>
            </w:r>
          </w:p>
        </w:tc>
        <w:tc>
          <w:tcPr>
            <w:tcW w:w="325" w:type="pct"/>
            <w:noWrap/>
            <w:vAlign w:val="center"/>
            <w:hideMark/>
          </w:tcPr>
          <w:p w14:paraId="37ADEFE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45,965</w:t>
            </w:r>
          </w:p>
        </w:tc>
        <w:tc>
          <w:tcPr>
            <w:tcW w:w="325" w:type="pct"/>
            <w:noWrap/>
            <w:vAlign w:val="center"/>
            <w:hideMark/>
          </w:tcPr>
          <w:p w14:paraId="26D930C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34,473</w:t>
            </w:r>
          </w:p>
        </w:tc>
        <w:tc>
          <w:tcPr>
            <w:tcW w:w="287" w:type="pct"/>
            <w:noWrap/>
            <w:vAlign w:val="center"/>
            <w:hideMark/>
          </w:tcPr>
          <w:p w14:paraId="7530530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229,824</w:t>
            </w:r>
          </w:p>
        </w:tc>
        <w:tc>
          <w:tcPr>
            <w:tcW w:w="125" w:type="pct"/>
            <w:noWrap/>
            <w:vAlign w:val="center"/>
            <w:hideMark/>
          </w:tcPr>
          <w:p w14:paraId="59EDF122"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30</w:t>
            </w:r>
          </w:p>
        </w:tc>
      </w:tr>
      <w:tr w:rsidR="00C15440" w:rsidRPr="00A51E75" w14:paraId="3B54CF49" w14:textId="77777777" w:rsidTr="004540C0">
        <w:trPr>
          <w:trHeight w:val="320"/>
        </w:trPr>
        <w:tc>
          <w:tcPr>
            <w:tcW w:w="640" w:type="pct"/>
            <w:vMerge/>
            <w:noWrap/>
            <w:vAlign w:val="center"/>
            <w:hideMark/>
          </w:tcPr>
          <w:p w14:paraId="321037C8"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3338C5DB" w14:textId="77777777" w:rsidR="00C15440" w:rsidRPr="00A51E75" w:rsidRDefault="00C15440" w:rsidP="00C15440">
            <w:pPr>
              <w:rPr>
                <w:sz w:val="16"/>
                <w:szCs w:val="16"/>
              </w:rPr>
            </w:pPr>
          </w:p>
        </w:tc>
        <w:tc>
          <w:tcPr>
            <w:tcW w:w="295" w:type="pct"/>
            <w:noWrap/>
            <w:hideMark/>
          </w:tcPr>
          <w:p w14:paraId="240B2000" w14:textId="0731C3D9"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59D777BD" w14:textId="33F3D758"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A198266" w14:textId="2C9924A9"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7FAC5CBE"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72500</w:t>
            </w:r>
          </w:p>
        </w:tc>
        <w:tc>
          <w:tcPr>
            <w:tcW w:w="639" w:type="pct"/>
            <w:vAlign w:val="center"/>
            <w:hideMark/>
          </w:tcPr>
          <w:p w14:paraId="126ECF20"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Suministros</w:t>
            </w:r>
          </w:p>
        </w:tc>
        <w:tc>
          <w:tcPr>
            <w:tcW w:w="325" w:type="pct"/>
            <w:noWrap/>
            <w:vAlign w:val="center"/>
            <w:hideMark/>
          </w:tcPr>
          <w:p w14:paraId="400CB9E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7,138</w:t>
            </w:r>
          </w:p>
        </w:tc>
        <w:tc>
          <w:tcPr>
            <w:tcW w:w="325" w:type="pct"/>
            <w:noWrap/>
            <w:vAlign w:val="center"/>
            <w:hideMark/>
          </w:tcPr>
          <w:p w14:paraId="434453A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11,307</w:t>
            </w:r>
          </w:p>
        </w:tc>
        <w:tc>
          <w:tcPr>
            <w:tcW w:w="326" w:type="pct"/>
            <w:noWrap/>
            <w:vAlign w:val="center"/>
            <w:hideMark/>
          </w:tcPr>
          <w:p w14:paraId="2F4A99E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11,307</w:t>
            </w:r>
          </w:p>
        </w:tc>
        <w:tc>
          <w:tcPr>
            <w:tcW w:w="325" w:type="pct"/>
            <w:noWrap/>
            <w:vAlign w:val="center"/>
            <w:hideMark/>
          </w:tcPr>
          <w:p w14:paraId="5BFF9B3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9,223</w:t>
            </w:r>
          </w:p>
        </w:tc>
        <w:tc>
          <w:tcPr>
            <w:tcW w:w="325" w:type="pct"/>
            <w:noWrap/>
            <w:vAlign w:val="center"/>
            <w:hideMark/>
          </w:tcPr>
          <w:p w14:paraId="77F1AA4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7,139</w:t>
            </w:r>
          </w:p>
        </w:tc>
        <w:tc>
          <w:tcPr>
            <w:tcW w:w="287" w:type="pct"/>
            <w:noWrap/>
            <w:vAlign w:val="center"/>
            <w:hideMark/>
          </w:tcPr>
          <w:p w14:paraId="0D1F1D5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46,114</w:t>
            </w:r>
          </w:p>
        </w:tc>
        <w:tc>
          <w:tcPr>
            <w:tcW w:w="125" w:type="pct"/>
            <w:noWrap/>
            <w:vAlign w:val="center"/>
            <w:hideMark/>
          </w:tcPr>
          <w:p w14:paraId="7DB59CFF"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31</w:t>
            </w:r>
          </w:p>
        </w:tc>
      </w:tr>
      <w:tr w:rsidR="00C15440" w:rsidRPr="00A51E75" w14:paraId="54EABEEF" w14:textId="77777777" w:rsidTr="004540C0">
        <w:trPr>
          <w:trHeight w:val="320"/>
        </w:trPr>
        <w:tc>
          <w:tcPr>
            <w:tcW w:w="640" w:type="pct"/>
            <w:vMerge/>
            <w:noWrap/>
            <w:vAlign w:val="center"/>
            <w:hideMark/>
          </w:tcPr>
          <w:p w14:paraId="3FA0E5AE"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1A982CF7" w14:textId="77777777" w:rsidR="00C15440" w:rsidRPr="00A51E75" w:rsidRDefault="00C15440" w:rsidP="00C15440">
            <w:pPr>
              <w:rPr>
                <w:sz w:val="16"/>
                <w:szCs w:val="16"/>
              </w:rPr>
            </w:pPr>
          </w:p>
        </w:tc>
        <w:tc>
          <w:tcPr>
            <w:tcW w:w="295" w:type="pct"/>
            <w:noWrap/>
            <w:hideMark/>
          </w:tcPr>
          <w:p w14:paraId="5B01B0A8" w14:textId="1B3303D9"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6AE30E52" w14:textId="0A202B22"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23A95235" w14:textId="0F2372A0"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31C37CD1"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73100</w:t>
            </w:r>
          </w:p>
        </w:tc>
        <w:tc>
          <w:tcPr>
            <w:tcW w:w="639" w:type="pct"/>
            <w:noWrap/>
            <w:vAlign w:val="center"/>
            <w:hideMark/>
          </w:tcPr>
          <w:p w14:paraId="3398354B"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Alquiler y Mantenimiento - Locales</w:t>
            </w:r>
          </w:p>
        </w:tc>
        <w:tc>
          <w:tcPr>
            <w:tcW w:w="325" w:type="pct"/>
            <w:noWrap/>
            <w:vAlign w:val="center"/>
            <w:hideMark/>
          </w:tcPr>
          <w:p w14:paraId="7141502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9,523</w:t>
            </w:r>
          </w:p>
        </w:tc>
        <w:tc>
          <w:tcPr>
            <w:tcW w:w="325" w:type="pct"/>
            <w:noWrap/>
            <w:vAlign w:val="center"/>
            <w:hideMark/>
          </w:tcPr>
          <w:p w14:paraId="71AC635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15,871</w:t>
            </w:r>
          </w:p>
        </w:tc>
        <w:tc>
          <w:tcPr>
            <w:tcW w:w="326" w:type="pct"/>
            <w:noWrap/>
            <w:vAlign w:val="center"/>
            <w:hideMark/>
          </w:tcPr>
          <w:p w14:paraId="7D6D1BB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15,871</w:t>
            </w:r>
          </w:p>
        </w:tc>
        <w:tc>
          <w:tcPr>
            <w:tcW w:w="325" w:type="pct"/>
            <w:noWrap/>
            <w:vAlign w:val="center"/>
            <w:hideMark/>
          </w:tcPr>
          <w:p w14:paraId="5DCDEE9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12,697</w:t>
            </w:r>
          </w:p>
        </w:tc>
        <w:tc>
          <w:tcPr>
            <w:tcW w:w="325" w:type="pct"/>
            <w:vAlign w:val="center"/>
            <w:hideMark/>
          </w:tcPr>
          <w:p w14:paraId="4047C57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9,523</w:t>
            </w:r>
          </w:p>
        </w:tc>
        <w:tc>
          <w:tcPr>
            <w:tcW w:w="287" w:type="pct"/>
            <w:noWrap/>
            <w:vAlign w:val="center"/>
            <w:hideMark/>
          </w:tcPr>
          <w:p w14:paraId="1C703F0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63,485</w:t>
            </w:r>
          </w:p>
        </w:tc>
        <w:tc>
          <w:tcPr>
            <w:tcW w:w="125" w:type="pct"/>
            <w:noWrap/>
            <w:vAlign w:val="center"/>
            <w:hideMark/>
          </w:tcPr>
          <w:p w14:paraId="192FAC1E"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32</w:t>
            </w:r>
          </w:p>
        </w:tc>
      </w:tr>
      <w:tr w:rsidR="00C15440" w:rsidRPr="00A51E75" w14:paraId="19693755" w14:textId="77777777" w:rsidTr="004540C0">
        <w:trPr>
          <w:trHeight w:val="320"/>
        </w:trPr>
        <w:tc>
          <w:tcPr>
            <w:tcW w:w="640" w:type="pct"/>
            <w:vMerge/>
            <w:noWrap/>
            <w:vAlign w:val="center"/>
            <w:hideMark/>
          </w:tcPr>
          <w:p w14:paraId="4CABADF7"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713DC015" w14:textId="77777777" w:rsidR="00C15440" w:rsidRPr="00A51E75" w:rsidRDefault="00C15440" w:rsidP="00C15440">
            <w:pPr>
              <w:rPr>
                <w:sz w:val="16"/>
                <w:szCs w:val="16"/>
              </w:rPr>
            </w:pPr>
          </w:p>
        </w:tc>
        <w:tc>
          <w:tcPr>
            <w:tcW w:w="295" w:type="pct"/>
            <w:noWrap/>
            <w:hideMark/>
          </w:tcPr>
          <w:p w14:paraId="68FEE049" w14:textId="0F274F29"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14EF37B3" w14:textId="5DF10B3C"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38388613" w14:textId="0348F5F6"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6B7C5BA5"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74200</w:t>
            </w:r>
          </w:p>
        </w:tc>
        <w:tc>
          <w:tcPr>
            <w:tcW w:w="639" w:type="pct"/>
            <w:noWrap/>
            <w:vAlign w:val="center"/>
            <w:hideMark/>
          </w:tcPr>
          <w:p w14:paraId="1CD4B37E" w14:textId="2740E704" w:rsidR="00C15440" w:rsidRPr="00895463" w:rsidRDefault="00AF6ED3" w:rsidP="00C15440">
            <w:pPr>
              <w:rPr>
                <w:rFonts w:ascii="Calibri" w:hAnsi="Calibri" w:cs="Calibri"/>
                <w:color w:val="000000"/>
                <w:sz w:val="18"/>
                <w:szCs w:val="18"/>
                <w:lang w:val="es-EC"/>
              </w:rPr>
            </w:pPr>
            <w:r>
              <w:rPr>
                <w:rFonts w:ascii="Calibri" w:hAnsi="Calibri" w:cs="Calibri"/>
                <w:color w:val="000000"/>
                <w:sz w:val="18"/>
                <w:szCs w:val="18"/>
              </w:rPr>
              <w:t>Costos</w:t>
            </w:r>
            <w:r w:rsidR="00C15440" w:rsidRPr="00A51E75">
              <w:rPr>
                <w:rFonts w:ascii="Calibri" w:hAnsi="Calibri" w:cs="Calibri"/>
                <w:color w:val="000000"/>
                <w:sz w:val="18"/>
                <w:szCs w:val="18"/>
              </w:rPr>
              <w:t xml:space="preserve"> de producción audiovisual e impresa</w:t>
            </w:r>
          </w:p>
        </w:tc>
        <w:tc>
          <w:tcPr>
            <w:tcW w:w="325" w:type="pct"/>
            <w:noWrap/>
            <w:vAlign w:val="center"/>
            <w:hideMark/>
          </w:tcPr>
          <w:p w14:paraId="26F6A7A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10,277</w:t>
            </w:r>
          </w:p>
        </w:tc>
        <w:tc>
          <w:tcPr>
            <w:tcW w:w="325" w:type="pct"/>
            <w:noWrap/>
            <w:vAlign w:val="center"/>
            <w:hideMark/>
          </w:tcPr>
          <w:p w14:paraId="5F8A0143"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30,831</w:t>
            </w:r>
          </w:p>
        </w:tc>
        <w:tc>
          <w:tcPr>
            <w:tcW w:w="326" w:type="pct"/>
            <w:noWrap/>
            <w:vAlign w:val="center"/>
            <w:hideMark/>
          </w:tcPr>
          <w:p w14:paraId="4C5F5A8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30,831</w:t>
            </w:r>
          </w:p>
        </w:tc>
        <w:tc>
          <w:tcPr>
            <w:tcW w:w="325" w:type="pct"/>
            <w:noWrap/>
            <w:vAlign w:val="center"/>
            <w:hideMark/>
          </w:tcPr>
          <w:p w14:paraId="011FE7AD"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20,554</w:t>
            </w:r>
          </w:p>
        </w:tc>
        <w:tc>
          <w:tcPr>
            <w:tcW w:w="325" w:type="pct"/>
            <w:vAlign w:val="center"/>
            <w:hideMark/>
          </w:tcPr>
          <w:p w14:paraId="40077F0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10,277</w:t>
            </w:r>
          </w:p>
        </w:tc>
        <w:tc>
          <w:tcPr>
            <w:tcW w:w="287" w:type="pct"/>
            <w:noWrap/>
            <w:vAlign w:val="center"/>
            <w:hideMark/>
          </w:tcPr>
          <w:p w14:paraId="7AA15608"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102,770</w:t>
            </w:r>
          </w:p>
        </w:tc>
        <w:tc>
          <w:tcPr>
            <w:tcW w:w="125" w:type="pct"/>
            <w:noWrap/>
            <w:vAlign w:val="center"/>
            <w:hideMark/>
          </w:tcPr>
          <w:p w14:paraId="1A6E6D71"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33</w:t>
            </w:r>
          </w:p>
        </w:tc>
      </w:tr>
      <w:tr w:rsidR="00C15440" w:rsidRPr="00A51E75" w14:paraId="4CA4AD73" w14:textId="77777777" w:rsidTr="004540C0">
        <w:trPr>
          <w:trHeight w:val="320"/>
        </w:trPr>
        <w:tc>
          <w:tcPr>
            <w:tcW w:w="640" w:type="pct"/>
            <w:vMerge/>
            <w:noWrap/>
            <w:vAlign w:val="center"/>
            <w:hideMark/>
          </w:tcPr>
          <w:p w14:paraId="747C82F4"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67B8CAFE" w14:textId="77777777" w:rsidR="00C15440" w:rsidRPr="00A51E75" w:rsidRDefault="00C15440" w:rsidP="00C15440">
            <w:pPr>
              <w:rPr>
                <w:sz w:val="16"/>
                <w:szCs w:val="16"/>
              </w:rPr>
            </w:pPr>
          </w:p>
        </w:tc>
        <w:tc>
          <w:tcPr>
            <w:tcW w:w="295" w:type="pct"/>
            <w:noWrap/>
            <w:hideMark/>
          </w:tcPr>
          <w:p w14:paraId="375051F5" w14:textId="72149BA1" w:rsidR="00C15440" w:rsidRPr="00A51E75" w:rsidRDefault="00C15440" w:rsidP="00C15440">
            <w:pPr>
              <w:rPr>
                <w:sz w:val="18"/>
                <w:szCs w:val="18"/>
              </w:rPr>
            </w:pPr>
            <w:r w:rsidRPr="00D802C5">
              <w:rPr>
                <w:rFonts w:ascii="Calibri" w:hAnsi="Calibri" w:cs="Calibri"/>
                <w:color w:val="000000"/>
                <w:sz w:val="18"/>
                <w:szCs w:val="18"/>
              </w:rPr>
              <w:t>PNUD</w:t>
            </w:r>
          </w:p>
        </w:tc>
        <w:tc>
          <w:tcPr>
            <w:tcW w:w="246" w:type="pct"/>
            <w:noWrap/>
            <w:vAlign w:val="center"/>
            <w:hideMark/>
          </w:tcPr>
          <w:p w14:paraId="1F64FC1F" w14:textId="211086D5"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0028FC1F" w14:textId="12115028"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3F5CCFFC"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75700</w:t>
            </w:r>
          </w:p>
        </w:tc>
        <w:tc>
          <w:tcPr>
            <w:tcW w:w="639" w:type="pct"/>
            <w:noWrap/>
            <w:vAlign w:val="center"/>
            <w:hideMark/>
          </w:tcPr>
          <w:p w14:paraId="66A3BC28"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Formación, talleres y conferencias</w:t>
            </w:r>
          </w:p>
        </w:tc>
        <w:tc>
          <w:tcPr>
            <w:tcW w:w="325" w:type="pct"/>
            <w:noWrap/>
            <w:vAlign w:val="center"/>
            <w:hideMark/>
          </w:tcPr>
          <w:p w14:paraId="327628F1"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27,236</w:t>
            </w:r>
          </w:p>
        </w:tc>
        <w:tc>
          <w:tcPr>
            <w:tcW w:w="325" w:type="pct"/>
            <w:noWrap/>
            <w:vAlign w:val="center"/>
            <w:hideMark/>
          </w:tcPr>
          <w:p w14:paraId="7A0D7A4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45,394</w:t>
            </w:r>
          </w:p>
        </w:tc>
        <w:tc>
          <w:tcPr>
            <w:tcW w:w="326" w:type="pct"/>
            <w:noWrap/>
            <w:vAlign w:val="center"/>
            <w:hideMark/>
          </w:tcPr>
          <w:p w14:paraId="721979C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45,394</w:t>
            </w:r>
          </w:p>
        </w:tc>
        <w:tc>
          <w:tcPr>
            <w:tcW w:w="325" w:type="pct"/>
            <w:noWrap/>
            <w:vAlign w:val="center"/>
            <w:hideMark/>
          </w:tcPr>
          <w:p w14:paraId="566245F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36,315</w:t>
            </w:r>
          </w:p>
        </w:tc>
        <w:tc>
          <w:tcPr>
            <w:tcW w:w="325" w:type="pct"/>
            <w:vAlign w:val="center"/>
            <w:hideMark/>
          </w:tcPr>
          <w:p w14:paraId="13234A9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27,236</w:t>
            </w:r>
          </w:p>
        </w:tc>
        <w:tc>
          <w:tcPr>
            <w:tcW w:w="287" w:type="pct"/>
            <w:noWrap/>
            <w:vAlign w:val="center"/>
            <w:hideMark/>
          </w:tcPr>
          <w:p w14:paraId="4BF109E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181,575</w:t>
            </w:r>
          </w:p>
        </w:tc>
        <w:tc>
          <w:tcPr>
            <w:tcW w:w="125" w:type="pct"/>
            <w:noWrap/>
            <w:vAlign w:val="center"/>
            <w:hideMark/>
          </w:tcPr>
          <w:p w14:paraId="7915993D"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34</w:t>
            </w:r>
          </w:p>
        </w:tc>
      </w:tr>
      <w:tr w:rsidR="001E40B9" w:rsidRPr="00A51E75" w14:paraId="4B217DC2" w14:textId="77777777" w:rsidTr="00B303D6">
        <w:trPr>
          <w:trHeight w:val="320"/>
        </w:trPr>
        <w:tc>
          <w:tcPr>
            <w:tcW w:w="640" w:type="pct"/>
            <w:vMerge/>
            <w:noWrap/>
            <w:vAlign w:val="center"/>
            <w:hideMark/>
          </w:tcPr>
          <w:p w14:paraId="649EEB05"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3FAAFB47" w14:textId="77777777" w:rsidR="001E40B9" w:rsidRPr="00A51E75" w:rsidRDefault="001E40B9" w:rsidP="00B303D6">
            <w:pPr>
              <w:rPr>
                <w:sz w:val="16"/>
                <w:szCs w:val="16"/>
              </w:rPr>
            </w:pPr>
          </w:p>
        </w:tc>
        <w:tc>
          <w:tcPr>
            <w:tcW w:w="295" w:type="pct"/>
            <w:noWrap/>
            <w:vAlign w:val="center"/>
            <w:hideMark/>
          </w:tcPr>
          <w:p w14:paraId="1D76B22E" w14:textId="7B5ABFF6"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6D9E4AF3"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6CAE4DFA" w14:textId="77777777" w:rsidR="001E40B9" w:rsidRPr="00A51E75" w:rsidRDefault="001E40B9" w:rsidP="00B303D6">
            <w:pPr>
              <w:rPr>
                <w:sz w:val="18"/>
                <w:szCs w:val="18"/>
              </w:rPr>
            </w:pPr>
          </w:p>
        </w:tc>
        <w:tc>
          <w:tcPr>
            <w:tcW w:w="246" w:type="pct"/>
            <w:noWrap/>
            <w:vAlign w:val="center"/>
            <w:hideMark/>
          </w:tcPr>
          <w:p w14:paraId="75F259D7" w14:textId="77777777" w:rsidR="001E40B9" w:rsidRPr="00A51E75" w:rsidRDefault="001E40B9" w:rsidP="00B303D6">
            <w:pPr>
              <w:rPr>
                <w:sz w:val="18"/>
                <w:szCs w:val="18"/>
              </w:rPr>
            </w:pPr>
          </w:p>
        </w:tc>
        <w:tc>
          <w:tcPr>
            <w:tcW w:w="639" w:type="pct"/>
            <w:noWrap/>
            <w:vAlign w:val="center"/>
            <w:hideMark/>
          </w:tcPr>
          <w:p w14:paraId="6D6D8E34" w14:textId="77777777" w:rsidR="001E40B9" w:rsidRPr="00A51E75" w:rsidRDefault="001E40B9" w:rsidP="00B303D6">
            <w:pPr>
              <w:rPr>
                <w:sz w:val="18"/>
                <w:szCs w:val="18"/>
              </w:rPr>
            </w:pPr>
          </w:p>
        </w:tc>
        <w:tc>
          <w:tcPr>
            <w:tcW w:w="325" w:type="pct"/>
            <w:noWrap/>
            <w:vAlign w:val="center"/>
            <w:hideMark/>
          </w:tcPr>
          <w:p w14:paraId="1EF55FE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196,303</w:t>
            </w:r>
          </w:p>
        </w:tc>
        <w:tc>
          <w:tcPr>
            <w:tcW w:w="325" w:type="pct"/>
            <w:noWrap/>
            <w:vAlign w:val="center"/>
            <w:hideMark/>
          </w:tcPr>
          <w:p w14:paraId="466CA98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366,912</w:t>
            </w:r>
          </w:p>
        </w:tc>
        <w:tc>
          <w:tcPr>
            <w:tcW w:w="326" w:type="pct"/>
            <w:noWrap/>
            <w:vAlign w:val="center"/>
            <w:hideMark/>
          </w:tcPr>
          <w:p w14:paraId="51B0C256"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366,912</w:t>
            </w:r>
          </w:p>
        </w:tc>
        <w:tc>
          <w:tcPr>
            <w:tcW w:w="325" w:type="pct"/>
            <w:noWrap/>
            <w:vAlign w:val="center"/>
            <w:hideMark/>
          </w:tcPr>
          <w:p w14:paraId="051C47B8"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268,293</w:t>
            </w:r>
          </w:p>
        </w:tc>
        <w:tc>
          <w:tcPr>
            <w:tcW w:w="325" w:type="pct"/>
            <w:noWrap/>
            <w:vAlign w:val="center"/>
            <w:hideMark/>
          </w:tcPr>
          <w:p w14:paraId="28F81598"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143,042</w:t>
            </w:r>
          </w:p>
        </w:tc>
        <w:tc>
          <w:tcPr>
            <w:tcW w:w="287" w:type="pct"/>
            <w:noWrap/>
            <w:vAlign w:val="center"/>
            <w:hideMark/>
          </w:tcPr>
          <w:p w14:paraId="50612117"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1,341,462</w:t>
            </w:r>
          </w:p>
        </w:tc>
        <w:tc>
          <w:tcPr>
            <w:tcW w:w="125" w:type="pct"/>
            <w:noWrap/>
            <w:vAlign w:val="center"/>
            <w:hideMark/>
          </w:tcPr>
          <w:p w14:paraId="393F4406" w14:textId="77777777" w:rsidR="001E40B9" w:rsidRPr="00A51E75" w:rsidRDefault="001E40B9" w:rsidP="00B303D6">
            <w:pPr>
              <w:jc w:val="center"/>
              <w:rPr>
                <w:rFonts w:ascii="Calibri" w:hAnsi="Calibri" w:cs="Calibri"/>
                <w:b/>
                <w:bCs/>
                <w:color w:val="000000"/>
                <w:sz w:val="16"/>
                <w:szCs w:val="16"/>
              </w:rPr>
            </w:pPr>
          </w:p>
        </w:tc>
      </w:tr>
      <w:tr w:rsidR="001E40B9" w:rsidRPr="00A51E75" w14:paraId="78684C2A" w14:textId="77777777" w:rsidTr="00B303D6">
        <w:trPr>
          <w:trHeight w:val="320"/>
        </w:trPr>
        <w:tc>
          <w:tcPr>
            <w:tcW w:w="640" w:type="pct"/>
            <w:vMerge/>
            <w:noWrap/>
            <w:vAlign w:val="center"/>
            <w:hideMark/>
          </w:tcPr>
          <w:p w14:paraId="5EE264AD" w14:textId="77777777" w:rsidR="001E40B9" w:rsidRPr="00A51E75" w:rsidRDefault="001E40B9" w:rsidP="00B303D6">
            <w:pPr>
              <w:rPr>
                <w:sz w:val="16"/>
                <w:szCs w:val="16"/>
              </w:rPr>
            </w:pPr>
          </w:p>
        </w:tc>
        <w:tc>
          <w:tcPr>
            <w:tcW w:w="945" w:type="pct"/>
            <w:gridSpan w:val="2"/>
            <w:noWrap/>
            <w:vAlign w:val="center"/>
            <w:hideMark/>
          </w:tcPr>
          <w:p w14:paraId="2E3D1B96"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Resultado total 4.1</w:t>
            </w:r>
          </w:p>
        </w:tc>
        <w:tc>
          <w:tcPr>
            <w:tcW w:w="246" w:type="pct"/>
            <w:noWrap/>
            <w:vAlign w:val="center"/>
            <w:hideMark/>
          </w:tcPr>
          <w:p w14:paraId="7958220E"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451F67C0" w14:textId="77777777" w:rsidR="001E40B9" w:rsidRPr="00A51E75" w:rsidRDefault="001E40B9" w:rsidP="00B303D6">
            <w:pPr>
              <w:rPr>
                <w:sz w:val="18"/>
                <w:szCs w:val="18"/>
              </w:rPr>
            </w:pPr>
          </w:p>
        </w:tc>
        <w:tc>
          <w:tcPr>
            <w:tcW w:w="246" w:type="pct"/>
            <w:noWrap/>
            <w:vAlign w:val="center"/>
            <w:hideMark/>
          </w:tcPr>
          <w:p w14:paraId="60DC038B" w14:textId="77777777" w:rsidR="001E40B9" w:rsidRPr="00A51E75" w:rsidRDefault="001E40B9" w:rsidP="00B303D6">
            <w:pPr>
              <w:rPr>
                <w:sz w:val="18"/>
                <w:szCs w:val="18"/>
              </w:rPr>
            </w:pPr>
          </w:p>
        </w:tc>
        <w:tc>
          <w:tcPr>
            <w:tcW w:w="639" w:type="pct"/>
            <w:noWrap/>
            <w:vAlign w:val="center"/>
            <w:hideMark/>
          </w:tcPr>
          <w:p w14:paraId="7380E0AE" w14:textId="77777777" w:rsidR="001E40B9" w:rsidRPr="00A51E75" w:rsidRDefault="001E40B9" w:rsidP="00B303D6">
            <w:pPr>
              <w:rPr>
                <w:sz w:val="18"/>
                <w:szCs w:val="18"/>
              </w:rPr>
            </w:pPr>
          </w:p>
        </w:tc>
        <w:tc>
          <w:tcPr>
            <w:tcW w:w="325" w:type="pct"/>
            <w:vAlign w:val="center"/>
            <w:hideMark/>
          </w:tcPr>
          <w:p w14:paraId="323876B6"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196,303</w:t>
            </w:r>
          </w:p>
        </w:tc>
        <w:tc>
          <w:tcPr>
            <w:tcW w:w="325" w:type="pct"/>
            <w:vAlign w:val="center"/>
            <w:hideMark/>
          </w:tcPr>
          <w:p w14:paraId="3B2EF591"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366,912</w:t>
            </w:r>
          </w:p>
        </w:tc>
        <w:tc>
          <w:tcPr>
            <w:tcW w:w="326" w:type="pct"/>
            <w:vAlign w:val="center"/>
            <w:hideMark/>
          </w:tcPr>
          <w:p w14:paraId="138F802A"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366,912</w:t>
            </w:r>
          </w:p>
        </w:tc>
        <w:tc>
          <w:tcPr>
            <w:tcW w:w="325" w:type="pct"/>
            <w:vAlign w:val="center"/>
            <w:hideMark/>
          </w:tcPr>
          <w:p w14:paraId="03347F7D"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268,293</w:t>
            </w:r>
          </w:p>
        </w:tc>
        <w:tc>
          <w:tcPr>
            <w:tcW w:w="325" w:type="pct"/>
            <w:vAlign w:val="center"/>
            <w:hideMark/>
          </w:tcPr>
          <w:p w14:paraId="100B82A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143,042</w:t>
            </w:r>
          </w:p>
        </w:tc>
        <w:tc>
          <w:tcPr>
            <w:tcW w:w="287" w:type="pct"/>
            <w:vAlign w:val="center"/>
            <w:hideMark/>
          </w:tcPr>
          <w:p w14:paraId="24A0FD65"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1,341,462</w:t>
            </w:r>
          </w:p>
        </w:tc>
        <w:tc>
          <w:tcPr>
            <w:tcW w:w="125" w:type="pct"/>
            <w:noWrap/>
            <w:vAlign w:val="center"/>
            <w:hideMark/>
          </w:tcPr>
          <w:p w14:paraId="4F25CE4D" w14:textId="77777777" w:rsidR="001E40B9" w:rsidRPr="00A51E75" w:rsidRDefault="001E40B9" w:rsidP="00B303D6">
            <w:pPr>
              <w:jc w:val="center"/>
              <w:rPr>
                <w:rFonts w:ascii="Calibri" w:hAnsi="Calibri" w:cs="Calibri"/>
                <w:b/>
                <w:bCs/>
                <w:color w:val="000000"/>
                <w:sz w:val="16"/>
                <w:szCs w:val="16"/>
              </w:rPr>
            </w:pPr>
          </w:p>
        </w:tc>
      </w:tr>
      <w:tr w:rsidR="001E40B9" w:rsidRPr="00A51E75" w14:paraId="23D8DAF0" w14:textId="77777777" w:rsidTr="00B303D6">
        <w:trPr>
          <w:trHeight w:val="320"/>
        </w:trPr>
        <w:tc>
          <w:tcPr>
            <w:tcW w:w="1290" w:type="pct"/>
            <w:gridSpan w:val="2"/>
            <w:noWrap/>
            <w:vAlign w:val="center"/>
            <w:hideMark/>
          </w:tcPr>
          <w:p w14:paraId="543EF28C"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Componente Total 4</w:t>
            </w:r>
          </w:p>
        </w:tc>
        <w:tc>
          <w:tcPr>
            <w:tcW w:w="295" w:type="pct"/>
            <w:noWrap/>
            <w:vAlign w:val="center"/>
            <w:hideMark/>
          </w:tcPr>
          <w:p w14:paraId="0DEBD87A"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2BDC7E36" w14:textId="77777777" w:rsidR="001E40B9" w:rsidRPr="00A51E75" w:rsidRDefault="001E40B9" w:rsidP="00B303D6">
            <w:pPr>
              <w:rPr>
                <w:sz w:val="18"/>
                <w:szCs w:val="18"/>
              </w:rPr>
            </w:pPr>
          </w:p>
        </w:tc>
        <w:tc>
          <w:tcPr>
            <w:tcW w:w="246" w:type="pct"/>
            <w:noWrap/>
            <w:vAlign w:val="center"/>
            <w:hideMark/>
          </w:tcPr>
          <w:p w14:paraId="44E2B8CE" w14:textId="77777777" w:rsidR="001E40B9" w:rsidRPr="00A51E75" w:rsidRDefault="001E40B9" w:rsidP="00B303D6">
            <w:pPr>
              <w:rPr>
                <w:sz w:val="18"/>
                <w:szCs w:val="18"/>
              </w:rPr>
            </w:pPr>
          </w:p>
        </w:tc>
        <w:tc>
          <w:tcPr>
            <w:tcW w:w="246" w:type="pct"/>
            <w:noWrap/>
            <w:vAlign w:val="center"/>
            <w:hideMark/>
          </w:tcPr>
          <w:p w14:paraId="48D892D9" w14:textId="77777777" w:rsidR="001E40B9" w:rsidRPr="00A51E75" w:rsidRDefault="001E40B9" w:rsidP="00B303D6">
            <w:pPr>
              <w:rPr>
                <w:sz w:val="18"/>
                <w:szCs w:val="18"/>
              </w:rPr>
            </w:pPr>
          </w:p>
        </w:tc>
        <w:tc>
          <w:tcPr>
            <w:tcW w:w="639" w:type="pct"/>
            <w:vAlign w:val="center"/>
            <w:hideMark/>
          </w:tcPr>
          <w:p w14:paraId="37866AC5" w14:textId="77777777" w:rsidR="001E40B9" w:rsidRPr="00A51E75" w:rsidRDefault="001E40B9" w:rsidP="00B303D6">
            <w:pPr>
              <w:rPr>
                <w:sz w:val="18"/>
                <w:szCs w:val="18"/>
              </w:rPr>
            </w:pPr>
          </w:p>
        </w:tc>
        <w:tc>
          <w:tcPr>
            <w:tcW w:w="325" w:type="pct"/>
            <w:noWrap/>
            <w:vAlign w:val="center"/>
            <w:hideMark/>
          </w:tcPr>
          <w:p w14:paraId="3ABADC8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196,303</w:t>
            </w:r>
          </w:p>
        </w:tc>
        <w:tc>
          <w:tcPr>
            <w:tcW w:w="325" w:type="pct"/>
            <w:noWrap/>
            <w:vAlign w:val="center"/>
            <w:hideMark/>
          </w:tcPr>
          <w:p w14:paraId="2DAB4CDC"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366,912</w:t>
            </w:r>
          </w:p>
        </w:tc>
        <w:tc>
          <w:tcPr>
            <w:tcW w:w="326" w:type="pct"/>
            <w:noWrap/>
            <w:vAlign w:val="center"/>
            <w:hideMark/>
          </w:tcPr>
          <w:p w14:paraId="1FB06CA4"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366,912</w:t>
            </w:r>
          </w:p>
        </w:tc>
        <w:tc>
          <w:tcPr>
            <w:tcW w:w="325" w:type="pct"/>
            <w:noWrap/>
            <w:vAlign w:val="center"/>
            <w:hideMark/>
          </w:tcPr>
          <w:p w14:paraId="4E448573"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268,293</w:t>
            </w:r>
          </w:p>
        </w:tc>
        <w:tc>
          <w:tcPr>
            <w:tcW w:w="325" w:type="pct"/>
            <w:noWrap/>
            <w:vAlign w:val="center"/>
            <w:hideMark/>
          </w:tcPr>
          <w:p w14:paraId="35C07D9F"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143,042</w:t>
            </w:r>
          </w:p>
        </w:tc>
        <w:tc>
          <w:tcPr>
            <w:tcW w:w="287" w:type="pct"/>
            <w:noWrap/>
            <w:vAlign w:val="center"/>
            <w:hideMark/>
          </w:tcPr>
          <w:p w14:paraId="34A0055E"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1,341,462</w:t>
            </w:r>
          </w:p>
        </w:tc>
        <w:tc>
          <w:tcPr>
            <w:tcW w:w="125" w:type="pct"/>
            <w:noWrap/>
            <w:vAlign w:val="center"/>
            <w:hideMark/>
          </w:tcPr>
          <w:p w14:paraId="79FAC15C" w14:textId="77777777" w:rsidR="001E40B9" w:rsidRPr="00A51E75" w:rsidRDefault="001E40B9" w:rsidP="00B303D6">
            <w:pPr>
              <w:jc w:val="center"/>
              <w:rPr>
                <w:rFonts w:ascii="Calibri" w:hAnsi="Calibri" w:cs="Calibri"/>
                <w:b/>
                <w:bCs/>
                <w:color w:val="000000"/>
                <w:sz w:val="16"/>
                <w:szCs w:val="16"/>
              </w:rPr>
            </w:pPr>
          </w:p>
        </w:tc>
      </w:tr>
      <w:tr w:rsidR="00C15440" w:rsidRPr="00A51E75" w14:paraId="33E53932" w14:textId="77777777" w:rsidTr="0080726D">
        <w:trPr>
          <w:trHeight w:val="640"/>
        </w:trPr>
        <w:tc>
          <w:tcPr>
            <w:tcW w:w="640" w:type="pct"/>
            <w:vMerge w:val="restart"/>
            <w:noWrap/>
            <w:vAlign w:val="center"/>
            <w:hideMark/>
          </w:tcPr>
          <w:p w14:paraId="5153EE0C" w14:textId="77777777" w:rsidR="00C15440" w:rsidRPr="00A51E75" w:rsidRDefault="00C15440" w:rsidP="00C15440">
            <w:pPr>
              <w:rPr>
                <w:rFonts w:ascii="Calibri" w:hAnsi="Calibri" w:cs="Calibri"/>
                <w:b/>
                <w:bCs/>
                <w:color w:val="000000"/>
                <w:sz w:val="16"/>
                <w:szCs w:val="16"/>
              </w:rPr>
            </w:pPr>
            <w:r w:rsidRPr="00A51E75">
              <w:rPr>
                <w:rFonts w:ascii="Calibri" w:hAnsi="Calibri" w:cs="Calibri"/>
                <w:b/>
                <w:bCs/>
                <w:color w:val="000000"/>
                <w:sz w:val="16"/>
                <w:szCs w:val="16"/>
              </w:rPr>
              <w:t>Componente 5: Seguimiento y Evaluación</w:t>
            </w:r>
          </w:p>
        </w:tc>
        <w:tc>
          <w:tcPr>
            <w:tcW w:w="650" w:type="pct"/>
            <w:vMerge w:val="restart"/>
            <w:noWrap/>
            <w:vAlign w:val="center"/>
            <w:hideMark/>
          </w:tcPr>
          <w:p w14:paraId="1BE0196E" w14:textId="77777777" w:rsidR="00C15440" w:rsidRPr="00D830D9" w:rsidRDefault="00C15440" w:rsidP="00C15440">
            <w:pPr>
              <w:rPr>
                <w:rFonts w:ascii="Calibri" w:hAnsi="Calibri" w:cs="Calibri"/>
                <w:b/>
                <w:bCs/>
                <w:color w:val="000000"/>
                <w:sz w:val="16"/>
                <w:szCs w:val="16"/>
                <w:lang w:val="es-EC"/>
              </w:rPr>
            </w:pPr>
            <w:r w:rsidRPr="00A51E75">
              <w:rPr>
                <w:rFonts w:ascii="Calibri" w:hAnsi="Calibri" w:cs="Calibri"/>
                <w:b/>
                <w:bCs/>
                <w:color w:val="000000"/>
                <w:sz w:val="16"/>
                <w:szCs w:val="16"/>
              </w:rPr>
              <w:t>Resultado 5.1: Seguimiento y evaluación de las actividades del proyecto y sus indicadores:</w:t>
            </w:r>
          </w:p>
        </w:tc>
        <w:tc>
          <w:tcPr>
            <w:tcW w:w="295" w:type="pct"/>
            <w:noWrap/>
            <w:hideMark/>
          </w:tcPr>
          <w:p w14:paraId="7F3C46FB" w14:textId="61F9799F" w:rsidR="00C15440" w:rsidRPr="00A51E75" w:rsidRDefault="00C15440" w:rsidP="00C15440">
            <w:pPr>
              <w:rPr>
                <w:rFonts w:ascii="Calibri" w:hAnsi="Calibri" w:cs="Calibri"/>
                <w:color w:val="000000"/>
                <w:sz w:val="18"/>
                <w:szCs w:val="18"/>
              </w:rPr>
            </w:pPr>
            <w:r w:rsidRPr="00765D73">
              <w:rPr>
                <w:rFonts w:ascii="Calibri" w:hAnsi="Calibri" w:cs="Calibri"/>
                <w:color w:val="000000"/>
                <w:sz w:val="18"/>
                <w:szCs w:val="18"/>
              </w:rPr>
              <w:t>PNUD</w:t>
            </w:r>
          </w:p>
        </w:tc>
        <w:tc>
          <w:tcPr>
            <w:tcW w:w="246" w:type="pct"/>
            <w:noWrap/>
            <w:vAlign w:val="center"/>
            <w:hideMark/>
          </w:tcPr>
          <w:p w14:paraId="467C09F6" w14:textId="2FDBA11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1F970919" w14:textId="30129D51"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0044B8B0"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vAlign w:val="center"/>
            <w:hideMark/>
          </w:tcPr>
          <w:p w14:paraId="676DD8AE"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7C1E7382"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20,488</w:t>
            </w:r>
          </w:p>
        </w:tc>
        <w:tc>
          <w:tcPr>
            <w:tcW w:w="325" w:type="pct"/>
            <w:noWrap/>
            <w:vAlign w:val="center"/>
            <w:hideMark/>
          </w:tcPr>
          <w:p w14:paraId="37424AD2"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40,898</w:t>
            </w:r>
          </w:p>
        </w:tc>
        <w:tc>
          <w:tcPr>
            <w:tcW w:w="326" w:type="pct"/>
            <w:noWrap/>
            <w:vAlign w:val="center"/>
            <w:hideMark/>
          </w:tcPr>
          <w:p w14:paraId="053D393A"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40,898</w:t>
            </w:r>
          </w:p>
        </w:tc>
        <w:tc>
          <w:tcPr>
            <w:tcW w:w="325" w:type="pct"/>
            <w:noWrap/>
            <w:vAlign w:val="center"/>
            <w:hideMark/>
          </w:tcPr>
          <w:p w14:paraId="18C91EDE"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27,213</w:t>
            </w:r>
          </w:p>
        </w:tc>
        <w:tc>
          <w:tcPr>
            <w:tcW w:w="325" w:type="pct"/>
            <w:noWrap/>
            <w:vAlign w:val="center"/>
            <w:hideMark/>
          </w:tcPr>
          <w:p w14:paraId="76B1F859" w14:textId="77777777" w:rsidR="00C15440" w:rsidRPr="00A51E75" w:rsidRDefault="00C15440" w:rsidP="00C15440">
            <w:pPr>
              <w:jc w:val="right"/>
              <w:rPr>
                <w:rFonts w:ascii="Aptos Narrow" w:hAnsi="Aptos Narrow"/>
                <w:color w:val="000000"/>
                <w:sz w:val="16"/>
                <w:szCs w:val="16"/>
              </w:rPr>
            </w:pPr>
            <w:r w:rsidRPr="00A51E75">
              <w:rPr>
                <w:rFonts w:ascii="Aptos Narrow" w:hAnsi="Aptos Narrow"/>
                <w:color w:val="000000"/>
                <w:sz w:val="16"/>
                <w:szCs w:val="16"/>
              </w:rPr>
              <w:t>6,803</w:t>
            </w:r>
          </w:p>
        </w:tc>
        <w:tc>
          <w:tcPr>
            <w:tcW w:w="287" w:type="pct"/>
            <w:noWrap/>
            <w:vAlign w:val="center"/>
            <w:hideMark/>
          </w:tcPr>
          <w:p w14:paraId="2491560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136,300</w:t>
            </w:r>
          </w:p>
        </w:tc>
        <w:tc>
          <w:tcPr>
            <w:tcW w:w="125" w:type="pct"/>
            <w:noWrap/>
            <w:vAlign w:val="center"/>
            <w:hideMark/>
          </w:tcPr>
          <w:p w14:paraId="769E59BA" w14:textId="77777777" w:rsidR="00C15440" w:rsidRPr="00A51E75" w:rsidRDefault="00C15440" w:rsidP="00C15440">
            <w:pPr>
              <w:jc w:val="center"/>
              <w:rPr>
                <w:rFonts w:ascii="Aptos Narrow" w:hAnsi="Aptos Narrow"/>
                <w:color w:val="000000"/>
                <w:sz w:val="16"/>
                <w:szCs w:val="16"/>
              </w:rPr>
            </w:pPr>
            <w:r w:rsidRPr="00A51E75">
              <w:rPr>
                <w:rFonts w:ascii="Aptos Narrow" w:hAnsi="Aptos Narrow"/>
                <w:color w:val="000000"/>
                <w:sz w:val="16"/>
                <w:szCs w:val="16"/>
              </w:rPr>
              <w:t>35</w:t>
            </w:r>
          </w:p>
        </w:tc>
      </w:tr>
      <w:tr w:rsidR="00C15440" w:rsidRPr="00A51E75" w14:paraId="6D213DA4" w14:textId="77777777" w:rsidTr="0080726D">
        <w:trPr>
          <w:trHeight w:val="300"/>
        </w:trPr>
        <w:tc>
          <w:tcPr>
            <w:tcW w:w="640" w:type="pct"/>
            <w:vMerge/>
            <w:noWrap/>
            <w:vAlign w:val="center"/>
            <w:hideMark/>
          </w:tcPr>
          <w:p w14:paraId="7BCFFA1E" w14:textId="77777777" w:rsidR="00C15440" w:rsidRPr="00A51E75" w:rsidRDefault="00C15440" w:rsidP="00C15440">
            <w:pPr>
              <w:rPr>
                <w:rFonts w:ascii="Aptos Narrow" w:hAnsi="Aptos Narrow"/>
                <w:color w:val="000000"/>
                <w:sz w:val="16"/>
                <w:szCs w:val="16"/>
              </w:rPr>
            </w:pPr>
          </w:p>
        </w:tc>
        <w:tc>
          <w:tcPr>
            <w:tcW w:w="650" w:type="pct"/>
            <w:vMerge/>
            <w:noWrap/>
            <w:vAlign w:val="center"/>
            <w:hideMark/>
          </w:tcPr>
          <w:p w14:paraId="74BB519F" w14:textId="77777777" w:rsidR="00C15440" w:rsidRPr="00A51E75" w:rsidRDefault="00C15440" w:rsidP="00C15440">
            <w:pPr>
              <w:rPr>
                <w:sz w:val="16"/>
                <w:szCs w:val="16"/>
              </w:rPr>
            </w:pPr>
          </w:p>
        </w:tc>
        <w:tc>
          <w:tcPr>
            <w:tcW w:w="295" w:type="pct"/>
            <w:noWrap/>
            <w:hideMark/>
          </w:tcPr>
          <w:p w14:paraId="5137435C" w14:textId="3ABBA79F" w:rsidR="00C15440" w:rsidRPr="00A51E75" w:rsidRDefault="00C15440" w:rsidP="00C15440">
            <w:pPr>
              <w:rPr>
                <w:sz w:val="18"/>
                <w:szCs w:val="18"/>
              </w:rPr>
            </w:pPr>
            <w:r w:rsidRPr="00765D73">
              <w:rPr>
                <w:rFonts w:ascii="Calibri" w:hAnsi="Calibri" w:cs="Calibri"/>
                <w:color w:val="000000"/>
                <w:sz w:val="18"/>
                <w:szCs w:val="18"/>
              </w:rPr>
              <w:t>PNUD</w:t>
            </w:r>
          </w:p>
        </w:tc>
        <w:tc>
          <w:tcPr>
            <w:tcW w:w="246" w:type="pct"/>
            <w:noWrap/>
            <w:vAlign w:val="center"/>
            <w:hideMark/>
          </w:tcPr>
          <w:p w14:paraId="50201157" w14:textId="5529F75A"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7946062D" w14:textId="46032A1C"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0E67E8CF"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71600</w:t>
            </w:r>
          </w:p>
        </w:tc>
        <w:tc>
          <w:tcPr>
            <w:tcW w:w="639" w:type="pct"/>
            <w:noWrap/>
            <w:vAlign w:val="center"/>
            <w:hideMark/>
          </w:tcPr>
          <w:p w14:paraId="435AF570"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Viajes</w:t>
            </w:r>
          </w:p>
        </w:tc>
        <w:tc>
          <w:tcPr>
            <w:tcW w:w="325" w:type="pct"/>
            <w:noWrap/>
            <w:vAlign w:val="center"/>
            <w:hideMark/>
          </w:tcPr>
          <w:p w14:paraId="138691E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11,600</w:t>
            </w:r>
          </w:p>
        </w:tc>
        <w:tc>
          <w:tcPr>
            <w:tcW w:w="325" w:type="pct"/>
            <w:noWrap/>
            <w:vAlign w:val="center"/>
            <w:hideMark/>
          </w:tcPr>
          <w:p w14:paraId="2C98C21C"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6,600</w:t>
            </w:r>
          </w:p>
        </w:tc>
        <w:tc>
          <w:tcPr>
            <w:tcW w:w="326" w:type="pct"/>
            <w:noWrap/>
            <w:vAlign w:val="center"/>
            <w:hideMark/>
          </w:tcPr>
          <w:p w14:paraId="7B5B6890"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6,600</w:t>
            </w:r>
          </w:p>
        </w:tc>
        <w:tc>
          <w:tcPr>
            <w:tcW w:w="325" w:type="pct"/>
            <w:noWrap/>
            <w:vAlign w:val="center"/>
            <w:hideMark/>
          </w:tcPr>
          <w:p w14:paraId="7CC7459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6,600</w:t>
            </w:r>
          </w:p>
        </w:tc>
        <w:tc>
          <w:tcPr>
            <w:tcW w:w="325" w:type="pct"/>
            <w:vAlign w:val="center"/>
            <w:hideMark/>
          </w:tcPr>
          <w:p w14:paraId="03C56D4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6,600</w:t>
            </w:r>
          </w:p>
        </w:tc>
        <w:tc>
          <w:tcPr>
            <w:tcW w:w="287" w:type="pct"/>
            <w:noWrap/>
            <w:vAlign w:val="center"/>
            <w:hideMark/>
          </w:tcPr>
          <w:p w14:paraId="47FDF1E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38,000</w:t>
            </w:r>
          </w:p>
        </w:tc>
        <w:tc>
          <w:tcPr>
            <w:tcW w:w="125" w:type="pct"/>
            <w:noWrap/>
            <w:vAlign w:val="center"/>
            <w:hideMark/>
          </w:tcPr>
          <w:p w14:paraId="743695E4"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36</w:t>
            </w:r>
          </w:p>
        </w:tc>
      </w:tr>
      <w:tr w:rsidR="00C15440" w:rsidRPr="00A51E75" w14:paraId="1BC761A9" w14:textId="77777777" w:rsidTr="0080726D">
        <w:trPr>
          <w:trHeight w:val="300"/>
        </w:trPr>
        <w:tc>
          <w:tcPr>
            <w:tcW w:w="640" w:type="pct"/>
            <w:vMerge/>
            <w:noWrap/>
            <w:vAlign w:val="center"/>
            <w:hideMark/>
          </w:tcPr>
          <w:p w14:paraId="2F46B97C" w14:textId="77777777" w:rsidR="00C15440" w:rsidRPr="00A51E75" w:rsidRDefault="00C15440" w:rsidP="00C15440">
            <w:pPr>
              <w:rPr>
                <w:rFonts w:ascii="Calibri" w:hAnsi="Calibri" w:cs="Calibri"/>
                <w:color w:val="000000"/>
                <w:sz w:val="16"/>
                <w:szCs w:val="16"/>
              </w:rPr>
            </w:pPr>
          </w:p>
        </w:tc>
        <w:tc>
          <w:tcPr>
            <w:tcW w:w="650" w:type="pct"/>
            <w:vMerge/>
            <w:noWrap/>
            <w:vAlign w:val="center"/>
            <w:hideMark/>
          </w:tcPr>
          <w:p w14:paraId="47469C18" w14:textId="77777777" w:rsidR="00C15440" w:rsidRPr="00A51E75" w:rsidRDefault="00C15440" w:rsidP="00C15440">
            <w:pPr>
              <w:rPr>
                <w:sz w:val="16"/>
                <w:szCs w:val="16"/>
              </w:rPr>
            </w:pPr>
          </w:p>
        </w:tc>
        <w:tc>
          <w:tcPr>
            <w:tcW w:w="295" w:type="pct"/>
            <w:noWrap/>
            <w:hideMark/>
          </w:tcPr>
          <w:p w14:paraId="7ADF1A95" w14:textId="4C1A56F4" w:rsidR="00C15440" w:rsidRPr="00A51E75" w:rsidRDefault="00C15440" w:rsidP="00C15440">
            <w:pPr>
              <w:rPr>
                <w:sz w:val="18"/>
                <w:szCs w:val="18"/>
              </w:rPr>
            </w:pPr>
            <w:r w:rsidRPr="00765D73">
              <w:rPr>
                <w:rFonts w:ascii="Calibri" w:hAnsi="Calibri" w:cs="Calibri"/>
                <w:color w:val="000000"/>
                <w:sz w:val="18"/>
                <w:szCs w:val="18"/>
              </w:rPr>
              <w:t>PNUD</w:t>
            </w:r>
          </w:p>
        </w:tc>
        <w:tc>
          <w:tcPr>
            <w:tcW w:w="246" w:type="pct"/>
            <w:noWrap/>
            <w:vAlign w:val="center"/>
            <w:hideMark/>
          </w:tcPr>
          <w:p w14:paraId="5C0BCC79" w14:textId="02735C07"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4BB03205" w14:textId="1E9E2295"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417BD184"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74200</w:t>
            </w:r>
          </w:p>
        </w:tc>
        <w:tc>
          <w:tcPr>
            <w:tcW w:w="639" w:type="pct"/>
            <w:noWrap/>
            <w:vAlign w:val="center"/>
            <w:hideMark/>
          </w:tcPr>
          <w:p w14:paraId="46219DC7" w14:textId="008DB774" w:rsidR="00C15440" w:rsidRPr="00895463" w:rsidRDefault="00AF6ED3" w:rsidP="00C15440">
            <w:pPr>
              <w:rPr>
                <w:rFonts w:ascii="Calibri" w:hAnsi="Calibri" w:cs="Calibri"/>
                <w:color w:val="000000"/>
                <w:sz w:val="18"/>
                <w:szCs w:val="18"/>
                <w:lang w:val="es-EC"/>
              </w:rPr>
            </w:pPr>
            <w:r>
              <w:rPr>
                <w:rFonts w:ascii="Calibri" w:hAnsi="Calibri" w:cs="Calibri"/>
                <w:color w:val="000000"/>
                <w:sz w:val="18"/>
                <w:szCs w:val="18"/>
              </w:rPr>
              <w:t>Costos</w:t>
            </w:r>
            <w:r w:rsidR="00C15440" w:rsidRPr="00A51E75">
              <w:rPr>
                <w:rFonts w:ascii="Calibri" w:hAnsi="Calibri" w:cs="Calibri"/>
                <w:color w:val="000000"/>
                <w:sz w:val="18"/>
                <w:szCs w:val="18"/>
              </w:rPr>
              <w:t xml:space="preserve"> de producción audiovisual e impresa</w:t>
            </w:r>
          </w:p>
        </w:tc>
        <w:tc>
          <w:tcPr>
            <w:tcW w:w="325" w:type="pct"/>
            <w:noWrap/>
            <w:vAlign w:val="center"/>
            <w:hideMark/>
          </w:tcPr>
          <w:p w14:paraId="12AEB98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4,090</w:t>
            </w:r>
          </w:p>
        </w:tc>
        <w:tc>
          <w:tcPr>
            <w:tcW w:w="325" w:type="pct"/>
            <w:noWrap/>
            <w:vAlign w:val="center"/>
            <w:hideMark/>
          </w:tcPr>
          <w:p w14:paraId="5411436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4,190</w:t>
            </w:r>
          </w:p>
        </w:tc>
        <w:tc>
          <w:tcPr>
            <w:tcW w:w="326" w:type="pct"/>
            <w:noWrap/>
            <w:vAlign w:val="center"/>
            <w:hideMark/>
          </w:tcPr>
          <w:p w14:paraId="3553461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4,190</w:t>
            </w:r>
          </w:p>
        </w:tc>
        <w:tc>
          <w:tcPr>
            <w:tcW w:w="325" w:type="pct"/>
            <w:noWrap/>
            <w:vAlign w:val="center"/>
            <w:hideMark/>
          </w:tcPr>
          <w:p w14:paraId="56B5D13A"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4,090</w:t>
            </w:r>
          </w:p>
        </w:tc>
        <w:tc>
          <w:tcPr>
            <w:tcW w:w="325" w:type="pct"/>
            <w:vAlign w:val="center"/>
            <w:hideMark/>
          </w:tcPr>
          <w:p w14:paraId="1828803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4,090</w:t>
            </w:r>
          </w:p>
        </w:tc>
        <w:tc>
          <w:tcPr>
            <w:tcW w:w="287" w:type="pct"/>
            <w:noWrap/>
            <w:vAlign w:val="center"/>
            <w:hideMark/>
          </w:tcPr>
          <w:p w14:paraId="64CC08F6"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20,650</w:t>
            </w:r>
          </w:p>
        </w:tc>
        <w:tc>
          <w:tcPr>
            <w:tcW w:w="125" w:type="pct"/>
            <w:noWrap/>
            <w:vAlign w:val="center"/>
            <w:hideMark/>
          </w:tcPr>
          <w:p w14:paraId="0280A1AF"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37</w:t>
            </w:r>
          </w:p>
        </w:tc>
      </w:tr>
      <w:tr w:rsidR="001E40B9" w:rsidRPr="00A51E75" w14:paraId="5DAD2C0E" w14:textId="77777777" w:rsidTr="00B303D6">
        <w:trPr>
          <w:trHeight w:val="300"/>
        </w:trPr>
        <w:tc>
          <w:tcPr>
            <w:tcW w:w="640" w:type="pct"/>
            <w:vMerge/>
            <w:noWrap/>
            <w:vAlign w:val="center"/>
            <w:hideMark/>
          </w:tcPr>
          <w:p w14:paraId="4AFA54E2"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00972D55" w14:textId="77777777" w:rsidR="001E40B9" w:rsidRPr="00A51E75" w:rsidRDefault="001E40B9" w:rsidP="00B303D6">
            <w:pPr>
              <w:rPr>
                <w:sz w:val="16"/>
                <w:szCs w:val="16"/>
              </w:rPr>
            </w:pPr>
          </w:p>
        </w:tc>
        <w:tc>
          <w:tcPr>
            <w:tcW w:w="295" w:type="pct"/>
            <w:noWrap/>
            <w:vAlign w:val="center"/>
            <w:hideMark/>
          </w:tcPr>
          <w:p w14:paraId="42B2D771" w14:textId="28B42FE4"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61FFE16B"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3077A33C" w14:textId="77777777" w:rsidR="001E40B9" w:rsidRPr="00A51E75" w:rsidRDefault="001E40B9" w:rsidP="00B303D6">
            <w:pPr>
              <w:rPr>
                <w:sz w:val="18"/>
                <w:szCs w:val="18"/>
              </w:rPr>
            </w:pPr>
          </w:p>
        </w:tc>
        <w:tc>
          <w:tcPr>
            <w:tcW w:w="246" w:type="pct"/>
            <w:noWrap/>
            <w:vAlign w:val="center"/>
            <w:hideMark/>
          </w:tcPr>
          <w:p w14:paraId="78BDF4B5" w14:textId="77777777" w:rsidR="001E40B9" w:rsidRPr="00A51E75" w:rsidRDefault="001E40B9" w:rsidP="00B303D6">
            <w:pPr>
              <w:rPr>
                <w:sz w:val="18"/>
                <w:szCs w:val="18"/>
              </w:rPr>
            </w:pPr>
          </w:p>
        </w:tc>
        <w:tc>
          <w:tcPr>
            <w:tcW w:w="639" w:type="pct"/>
            <w:noWrap/>
            <w:vAlign w:val="center"/>
            <w:hideMark/>
          </w:tcPr>
          <w:p w14:paraId="2A61C1A3" w14:textId="77777777" w:rsidR="001E40B9" w:rsidRPr="00A51E75" w:rsidRDefault="001E40B9" w:rsidP="00B303D6">
            <w:pPr>
              <w:rPr>
                <w:sz w:val="18"/>
                <w:szCs w:val="18"/>
              </w:rPr>
            </w:pPr>
          </w:p>
        </w:tc>
        <w:tc>
          <w:tcPr>
            <w:tcW w:w="325" w:type="pct"/>
            <w:noWrap/>
            <w:vAlign w:val="center"/>
            <w:hideMark/>
          </w:tcPr>
          <w:p w14:paraId="034E43B0"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36,178</w:t>
            </w:r>
          </w:p>
        </w:tc>
        <w:tc>
          <w:tcPr>
            <w:tcW w:w="325" w:type="pct"/>
            <w:noWrap/>
            <w:vAlign w:val="center"/>
            <w:hideMark/>
          </w:tcPr>
          <w:p w14:paraId="6C8776A0"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51,688</w:t>
            </w:r>
          </w:p>
        </w:tc>
        <w:tc>
          <w:tcPr>
            <w:tcW w:w="326" w:type="pct"/>
            <w:noWrap/>
            <w:vAlign w:val="center"/>
            <w:hideMark/>
          </w:tcPr>
          <w:p w14:paraId="23DEC11B"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51,688</w:t>
            </w:r>
          </w:p>
        </w:tc>
        <w:tc>
          <w:tcPr>
            <w:tcW w:w="325" w:type="pct"/>
            <w:noWrap/>
            <w:vAlign w:val="center"/>
            <w:hideMark/>
          </w:tcPr>
          <w:p w14:paraId="33A2DF48"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37,903</w:t>
            </w:r>
          </w:p>
        </w:tc>
        <w:tc>
          <w:tcPr>
            <w:tcW w:w="325" w:type="pct"/>
            <w:noWrap/>
            <w:vAlign w:val="center"/>
            <w:hideMark/>
          </w:tcPr>
          <w:p w14:paraId="0A5CA906"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17,493</w:t>
            </w:r>
          </w:p>
        </w:tc>
        <w:tc>
          <w:tcPr>
            <w:tcW w:w="287" w:type="pct"/>
            <w:noWrap/>
            <w:vAlign w:val="center"/>
            <w:hideMark/>
          </w:tcPr>
          <w:p w14:paraId="1FCCF2D2"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194,950</w:t>
            </w:r>
          </w:p>
        </w:tc>
        <w:tc>
          <w:tcPr>
            <w:tcW w:w="125" w:type="pct"/>
            <w:noWrap/>
            <w:vAlign w:val="center"/>
            <w:hideMark/>
          </w:tcPr>
          <w:p w14:paraId="148C1924" w14:textId="77777777" w:rsidR="001E40B9" w:rsidRPr="00A51E75" w:rsidRDefault="001E40B9" w:rsidP="00B303D6">
            <w:pPr>
              <w:jc w:val="center"/>
              <w:rPr>
                <w:rFonts w:ascii="Aptos Narrow" w:hAnsi="Aptos Narrow"/>
                <w:b/>
                <w:bCs/>
                <w:color w:val="000000"/>
                <w:sz w:val="16"/>
                <w:szCs w:val="16"/>
              </w:rPr>
            </w:pPr>
          </w:p>
        </w:tc>
      </w:tr>
      <w:tr w:rsidR="00C15440" w:rsidRPr="00A51E75" w14:paraId="00081167" w14:textId="77777777" w:rsidTr="00B303D6">
        <w:trPr>
          <w:trHeight w:val="300"/>
        </w:trPr>
        <w:tc>
          <w:tcPr>
            <w:tcW w:w="640" w:type="pct"/>
            <w:vMerge/>
            <w:noWrap/>
            <w:vAlign w:val="center"/>
            <w:hideMark/>
          </w:tcPr>
          <w:p w14:paraId="577FF4D8" w14:textId="77777777" w:rsidR="00C15440" w:rsidRPr="00A51E75" w:rsidRDefault="00C15440" w:rsidP="00C15440">
            <w:pPr>
              <w:rPr>
                <w:sz w:val="16"/>
                <w:szCs w:val="16"/>
              </w:rPr>
            </w:pPr>
          </w:p>
        </w:tc>
        <w:tc>
          <w:tcPr>
            <w:tcW w:w="650" w:type="pct"/>
            <w:vMerge/>
            <w:noWrap/>
            <w:vAlign w:val="center"/>
            <w:hideMark/>
          </w:tcPr>
          <w:p w14:paraId="62E0E18D" w14:textId="77777777" w:rsidR="00C15440" w:rsidRPr="00A51E75" w:rsidRDefault="00C15440" w:rsidP="00C15440">
            <w:pPr>
              <w:rPr>
                <w:sz w:val="16"/>
                <w:szCs w:val="16"/>
              </w:rPr>
            </w:pPr>
          </w:p>
        </w:tc>
        <w:tc>
          <w:tcPr>
            <w:tcW w:w="295" w:type="pct"/>
            <w:noWrap/>
            <w:vAlign w:val="center"/>
            <w:hideMark/>
          </w:tcPr>
          <w:p w14:paraId="6839CB51" w14:textId="4211716C" w:rsidR="00C15440" w:rsidRPr="00A51E75" w:rsidRDefault="00C15440" w:rsidP="00C15440">
            <w:pPr>
              <w:rPr>
                <w:sz w:val="18"/>
                <w:szCs w:val="18"/>
              </w:rPr>
            </w:pPr>
            <w:r w:rsidRPr="00765D73">
              <w:rPr>
                <w:rFonts w:ascii="Calibri" w:hAnsi="Calibri" w:cs="Calibri"/>
                <w:color w:val="000000"/>
                <w:sz w:val="18"/>
                <w:szCs w:val="18"/>
              </w:rPr>
              <w:t>PNUD</w:t>
            </w:r>
          </w:p>
        </w:tc>
        <w:tc>
          <w:tcPr>
            <w:tcW w:w="246" w:type="pct"/>
            <w:noWrap/>
            <w:vAlign w:val="center"/>
            <w:hideMark/>
          </w:tcPr>
          <w:p w14:paraId="0C39CE40" w14:textId="721AD4D3" w:rsidR="00C15440" w:rsidRPr="00A51E75" w:rsidRDefault="00C15440" w:rsidP="00C15440">
            <w:pPr>
              <w:rPr>
                <w:sz w:val="18"/>
                <w:szCs w:val="18"/>
              </w:rPr>
            </w:pPr>
            <w:r w:rsidRPr="00A51E75">
              <w:rPr>
                <w:rFonts w:ascii="Calibri" w:hAnsi="Calibri" w:cs="Calibri"/>
                <w:color w:val="000000"/>
                <w:sz w:val="18"/>
                <w:szCs w:val="18"/>
              </w:rPr>
              <w:t>62000</w:t>
            </w:r>
          </w:p>
        </w:tc>
        <w:tc>
          <w:tcPr>
            <w:tcW w:w="246" w:type="pct"/>
            <w:noWrap/>
            <w:vAlign w:val="center"/>
            <w:hideMark/>
          </w:tcPr>
          <w:p w14:paraId="20AA2F57" w14:textId="0A639A77"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3BE6D806"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71200</w:t>
            </w:r>
          </w:p>
        </w:tc>
        <w:tc>
          <w:tcPr>
            <w:tcW w:w="639" w:type="pct"/>
            <w:noWrap/>
            <w:vAlign w:val="center"/>
            <w:hideMark/>
          </w:tcPr>
          <w:p w14:paraId="21FA3998"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Consultores internacionales</w:t>
            </w:r>
          </w:p>
        </w:tc>
        <w:tc>
          <w:tcPr>
            <w:tcW w:w="325" w:type="pct"/>
            <w:vAlign w:val="center"/>
            <w:hideMark/>
          </w:tcPr>
          <w:p w14:paraId="178046C6" w14:textId="77777777" w:rsidR="00C15440" w:rsidRPr="00A51E75" w:rsidRDefault="00C15440" w:rsidP="00C15440">
            <w:pPr>
              <w:jc w:val="right"/>
              <w:rPr>
                <w:rFonts w:ascii="Calibri" w:hAnsi="Calibri" w:cs="Calibri"/>
                <w:color w:val="000000"/>
                <w:sz w:val="16"/>
                <w:szCs w:val="16"/>
              </w:rPr>
            </w:pPr>
          </w:p>
        </w:tc>
        <w:tc>
          <w:tcPr>
            <w:tcW w:w="325" w:type="pct"/>
            <w:noWrap/>
            <w:vAlign w:val="center"/>
            <w:hideMark/>
          </w:tcPr>
          <w:p w14:paraId="2F27E981" w14:textId="77777777" w:rsidR="00C15440" w:rsidRPr="00A51E75" w:rsidRDefault="00C15440" w:rsidP="00C15440">
            <w:pPr>
              <w:jc w:val="right"/>
              <w:rPr>
                <w:sz w:val="16"/>
                <w:szCs w:val="16"/>
              </w:rPr>
            </w:pPr>
          </w:p>
        </w:tc>
        <w:tc>
          <w:tcPr>
            <w:tcW w:w="326" w:type="pct"/>
            <w:noWrap/>
            <w:vAlign w:val="center"/>
            <w:hideMark/>
          </w:tcPr>
          <w:p w14:paraId="2935CFF5"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37,261</w:t>
            </w:r>
          </w:p>
        </w:tc>
        <w:tc>
          <w:tcPr>
            <w:tcW w:w="325" w:type="pct"/>
            <w:noWrap/>
            <w:vAlign w:val="center"/>
            <w:hideMark/>
          </w:tcPr>
          <w:p w14:paraId="1077B888" w14:textId="77777777" w:rsidR="00C15440" w:rsidRPr="00A51E75" w:rsidRDefault="00C15440" w:rsidP="00C15440">
            <w:pPr>
              <w:jc w:val="right"/>
              <w:rPr>
                <w:rFonts w:ascii="Calibri" w:hAnsi="Calibri" w:cs="Calibri"/>
                <w:color w:val="000000"/>
                <w:sz w:val="16"/>
                <w:szCs w:val="16"/>
              </w:rPr>
            </w:pPr>
          </w:p>
        </w:tc>
        <w:tc>
          <w:tcPr>
            <w:tcW w:w="325" w:type="pct"/>
            <w:noWrap/>
            <w:vAlign w:val="center"/>
            <w:hideMark/>
          </w:tcPr>
          <w:p w14:paraId="5BEEFAAB"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37,262</w:t>
            </w:r>
          </w:p>
        </w:tc>
        <w:tc>
          <w:tcPr>
            <w:tcW w:w="287" w:type="pct"/>
            <w:noWrap/>
            <w:vAlign w:val="center"/>
            <w:hideMark/>
          </w:tcPr>
          <w:p w14:paraId="7A1353F9"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74,523</w:t>
            </w:r>
          </w:p>
        </w:tc>
        <w:tc>
          <w:tcPr>
            <w:tcW w:w="125" w:type="pct"/>
            <w:noWrap/>
            <w:vAlign w:val="center"/>
            <w:hideMark/>
          </w:tcPr>
          <w:p w14:paraId="52898033" w14:textId="77777777" w:rsidR="00C15440" w:rsidRPr="00A51E75" w:rsidRDefault="00C15440" w:rsidP="00C15440">
            <w:pPr>
              <w:jc w:val="center"/>
              <w:rPr>
                <w:rFonts w:ascii="Aptos Narrow" w:hAnsi="Aptos Narrow"/>
                <w:color w:val="000000"/>
                <w:sz w:val="16"/>
                <w:szCs w:val="16"/>
              </w:rPr>
            </w:pPr>
            <w:r w:rsidRPr="00A51E75">
              <w:rPr>
                <w:rFonts w:ascii="Aptos Narrow" w:hAnsi="Aptos Narrow"/>
                <w:color w:val="000000"/>
                <w:sz w:val="16"/>
                <w:szCs w:val="16"/>
              </w:rPr>
              <w:t>38</w:t>
            </w:r>
          </w:p>
        </w:tc>
      </w:tr>
      <w:tr w:rsidR="001E40B9" w:rsidRPr="00A51E75" w14:paraId="73281C98" w14:textId="77777777" w:rsidTr="00B303D6">
        <w:trPr>
          <w:trHeight w:val="300"/>
        </w:trPr>
        <w:tc>
          <w:tcPr>
            <w:tcW w:w="640" w:type="pct"/>
            <w:vMerge/>
            <w:noWrap/>
            <w:vAlign w:val="center"/>
            <w:hideMark/>
          </w:tcPr>
          <w:p w14:paraId="50904CF9" w14:textId="77777777" w:rsidR="001E40B9" w:rsidRPr="00A51E75" w:rsidRDefault="001E40B9" w:rsidP="00B303D6">
            <w:pPr>
              <w:rPr>
                <w:rFonts w:ascii="Aptos Narrow" w:hAnsi="Aptos Narrow"/>
                <w:color w:val="000000"/>
                <w:sz w:val="16"/>
                <w:szCs w:val="16"/>
              </w:rPr>
            </w:pPr>
          </w:p>
        </w:tc>
        <w:tc>
          <w:tcPr>
            <w:tcW w:w="650" w:type="pct"/>
            <w:vMerge/>
            <w:noWrap/>
            <w:vAlign w:val="center"/>
            <w:hideMark/>
          </w:tcPr>
          <w:p w14:paraId="4AE5BAE8" w14:textId="77777777" w:rsidR="001E40B9" w:rsidRPr="00A51E75" w:rsidRDefault="001E40B9" w:rsidP="00B303D6">
            <w:pPr>
              <w:rPr>
                <w:sz w:val="16"/>
                <w:szCs w:val="16"/>
              </w:rPr>
            </w:pPr>
          </w:p>
        </w:tc>
        <w:tc>
          <w:tcPr>
            <w:tcW w:w="541" w:type="pct"/>
            <w:gridSpan w:val="2"/>
            <w:noWrap/>
            <w:vAlign w:val="center"/>
            <w:hideMark/>
          </w:tcPr>
          <w:p w14:paraId="6A404493"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RP total del PNUD</w:t>
            </w:r>
          </w:p>
        </w:tc>
        <w:tc>
          <w:tcPr>
            <w:tcW w:w="246" w:type="pct"/>
            <w:noWrap/>
            <w:vAlign w:val="center"/>
            <w:hideMark/>
          </w:tcPr>
          <w:p w14:paraId="3E93A3A1"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40F9245D" w14:textId="77777777" w:rsidR="001E40B9" w:rsidRPr="00A51E75" w:rsidRDefault="001E40B9" w:rsidP="00B303D6">
            <w:pPr>
              <w:rPr>
                <w:sz w:val="18"/>
                <w:szCs w:val="18"/>
              </w:rPr>
            </w:pPr>
          </w:p>
        </w:tc>
        <w:tc>
          <w:tcPr>
            <w:tcW w:w="639" w:type="pct"/>
            <w:noWrap/>
            <w:vAlign w:val="center"/>
            <w:hideMark/>
          </w:tcPr>
          <w:p w14:paraId="30F4EB90" w14:textId="77777777" w:rsidR="001E40B9" w:rsidRPr="00A51E75" w:rsidRDefault="001E40B9" w:rsidP="00B303D6">
            <w:pPr>
              <w:rPr>
                <w:sz w:val="18"/>
                <w:szCs w:val="18"/>
              </w:rPr>
            </w:pPr>
          </w:p>
        </w:tc>
        <w:tc>
          <w:tcPr>
            <w:tcW w:w="325" w:type="pct"/>
            <w:vAlign w:val="center"/>
            <w:hideMark/>
          </w:tcPr>
          <w:p w14:paraId="3EFDBCBE" w14:textId="77777777" w:rsidR="001E40B9" w:rsidRPr="00A51E75" w:rsidRDefault="001E40B9" w:rsidP="00B303D6">
            <w:pPr>
              <w:jc w:val="right"/>
              <w:rPr>
                <w:sz w:val="16"/>
                <w:szCs w:val="16"/>
              </w:rPr>
            </w:pPr>
          </w:p>
        </w:tc>
        <w:tc>
          <w:tcPr>
            <w:tcW w:w="325" w:type="pct"/>
            <w:noWrap/>
            <w:vAlign w:val="center"/>
            <w:hideMark/>
          </w:tcPr>
          <w:p w14:paraId="273E9F2A" w14:textId="77777777" w:rsidR="001E40B9" w:rsidRPr="00A51E75" w:rsidRDefault="001E40B9" w:rsidP="00B303D6">
            <w:pPr>
              <w:jc w:val="right"/>
              <w:rPr>
                <w:sz w:val="16"/>
                <w:szCs w:val="16"/>
              </w:rPr>
            </w:pPr>
          </w:p>
        </w:tc>
        <w:tc>
          <w:tcPr>
            <w:tcW w:w="326" w:type="pct"/>
            <w:noWrap/>
            <w:vAlign w:val="center"/>
            <w:hideMark/>
          </w:tcPr>
          <w:p w14:paraId="286CD571"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37,261</w:t>
            </w:r>
          </w:p>
        </w:tc>
        <w:tc>
          <w:tcPr>
            <w:tcW w:w="325" w:type="pct"/>
            <w:noWrap/>
            <w:vAlign w:val="center"/>
            <w:hideMark/>
          </w:tcPr>
          <w:p w14:paraId="724518F4" w14:textId="77777777" w:rsidR="001E40B9" w:rsidRPr="00A51E75" w:rsidRDefault="001E40B9" w:rsidP="00B303D6">
            <w:pPr>
              <w:jc w:val="right"/>
              <w:rPr>
                <w:rFonts w:ascii="Calibri" w:hAnsi="Calibri" w:cs="Calibri"/>
                <w:b/>
                <w:bCs/>
                <w:color w:val="000000"/>
                <w:sz w:val="16"/>
                <w:szCs w:val="16"/>
              </w:rPr>
            </w:pPr>
          </w:p>
        </w:tc>
        <w:tc>
          <w:tcPr>
            <w:tcW w:w="325" w:type="pct"/>
            <w:noWrap/>
            <w:vAlign w:val="center"/>
            <w:hideMark/>
          </w:tcPr>
          <w:p w14:paraId="5FDB3EBA"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37,262</w:t>
            </w:r>
          </w:p>
        </w:tc>
        <w:tc>
          <w:tcPr>
            <w:tcW w:w="287" w:type="pct"/>
            <w:noWrap/>
            <w:vAlign w:val="center"/>
            <w:hideMark/>
          </w:tcPr>
          <w:p w14:paraId="79024999" w14:textId="77777777" w:rsidR="001E40B9" w:rsidRPr="00A51E75" w:rsidRDefault="001E40B9" w:rsidP="00B303D6">
            <w:pPr>
              <w:jc w:val="right"/>
              <w:rPr>
                <w:rFonts w:ascii="Calibri" w:hAnsi="Calibri" w:cs="Calibri"/>
                <w:b/>
                <w:bCs/>
                <w:color w:val="000000"/>
                <w:sz w:val="16"/>
                <w:szCs w:val="16"/>
              </w:rPr>
            </w:pPr>
            <w:r w:rsidRPr="00A51E75">
              <w:rPr>
                <w:rFonts w:ascii="Calibri" w:hAnsi="Calibri" w:cs="Calibri"/>
                <w:b/>
                <w:bCs/>
                <w:color w:val="000000"/>
                <w:sz w:val="16"/>
                <w:szCs w:val="16"/>
              </w:rPr>
              <w:t>74,523</w:t>
            </w:r>
          </w:p>
        </w:tc>
        <w:tc>
          <w:tcPr>
            <w:tcW w:w="125" w:type="pct"/>
            <w:noWrap/>
            <w:vAlign w:val="center"/>
            <w:hideMark/>
          </w:tcPr>
          <w:p w14:paraId="67CE5F3A" w14:textId="77777777" w:rsidR="001E40B9" w:rsidRPr="00A51E75" w:rsidRDefault="001E40B9" w:rsidP="00B303D6">
            <w:pPr>
              <w:jc w:val="center"/>
              <w:rPr>
                <w:rFonts w:ascii="Calibri" w:hAnsi="Calibri" w:cs="Calibri"/>
                <w:b/>
                <w:bCs/>
                <w:color w:val="000000"/>
                <w:sz w:val="16"/>
                <w:szCs w:val="16"/>
              </w:rPr>
            </w:pPr>
          </w:p>
        </w:tc>
      </w:tr>
      <w:tr w:rsidR="001E40B9" w:rsidRPr="00A51E75" w14:paraId="7D722481" w14:textId="77777777" w:rsidTr="00B303D6">
        <w:trPr>
          <w:trHeight w:val="300"/>
        </w:trPr>
        <w:tc>
          <w:tcPr>
            <w:tcW w:w="640" w:type="pct"/>
            <w:vMerge/>
            <w:noWrap/>
            <w:vAlign w:val="center"/>
            <w:hideMark/>
          </w:tcPr>
          <w:p w14:paraId="64DDDBF7" w14:textId="77777777" w:rsidR="001E40B9" w:rsidRPr="00A51E75" w:rsidRDefault="001E40B9" w:rsidP="00B303D6">
            <w:pPr>
              <w:rPr>
                <w:sz w:val="16"/>
                <w:szCs w:val="16"/>
              </w:rPr>
            </w:pPr>
          </w:p>
        </w:tc>
        <w:tc>
          <w:tcPr>
            <w:tcW w:w="945" w:type="pct"/>
            <w:gridSpan w:val="2"/>
            <w:noWrap/>
            <w:vAlign w:val="center"/>
            <w:hideMark/>
          </w:tcPr>
          <w:p w14:paraId="2E4C9089"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Resultado total: 5.1</w:t>
            </w:r>
          </w:p>
        </w:tc>
        <w:tc>
          <w:tcPr>
            <w:tcW w:w="246" w:type="pct"/>
            <w:noWrap/>
            <w:vAlign w:val="center"/>
            <w:hideMark/>
          </w:tcPr>
          <w:p w14:paraId="4A51B0A2"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3AF22107" w14:textId="77777777" w:rsidR="001E40B9" w:rsidRPr="00A51E75" w:rsidRDefault="001E40B9" w:rsidP="00B303D6">
            <w:pPr>
              <w:rPr>
                <w:sz w:val="18"/>
                <w:szCs w:val="18"/>
              </w:rPr>
            </w:pPr>
          </w:p>
        </w:tc>
        <w:tc>
          <w:tcPr>
            <w:tcW w:w="246" w:type="pct"/>
            <w:noWrap/>
            <w:vAlign w:val="center"/>
            <w:hideMark/>
          </w:tcPr>
          <w:p w14:paraId="75E9CBC7" w14:textId="77777777" w:rsidR="001E40B9" w:rsidRPr="00A51E75" w:rsidRDefault="001E40B9" w:rsidP="00B303D6">
            <w:pPr>
              <w:rPr>
                <w:sz w:val="18"/>
                <w:szCs w:val="18"/>
              </w:rPr>
            </w:pPr>
          </w:p>
        </w:tc>
        <w:tc>
          <w:tcPr>
            <w:tcW w:w="639" w:type="pct"/>
            <w:noWrap/>
            <w:vAlign w:val="center"/>
            <w:hideMark/>
          </w:tcPr>
          <w:p w14:paraId="253B8103" w14:textId="77777777" w:rsidR="001E40B9" w:rsidRPr="00A51E75" w:rsidRDefault="001E40B9" w:rsidP="00B303D6">
            <w:pPr>
              <w:rPr>
                <w:sz w:val="18"/>
                <w:szCs w:val="18"/>
              </w:rPr>
            </w:pPr>
          </w:p>
        </w:tc>
        <w:tc>
          <w:tcPr>
            <w:tcW w:w="325" w:type="pct"/>
            <w:vAlign w:val="center"/>
            <w:hideMark/>
          </w:tcPr>
          <w:p w14:paraId="76D12355"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36,178</w:t>
            </w:r>
          </w:p>
        </w:tc>
        <w:tc>
          <w:tcPr>
            <w:tcW w:w="325" w:type="pct"/>
            <w:vAlign w:val="center"/>
            <w:hideMark/>
          </w:tcPr>
          <w:p w14:paraId="50456C83"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51,688</w:t>
            </w:r>
          </w:p>
        </w:tc>
        <w:tc>
          <w:tcPr>
            <w:tcW w:w="326" w:type="pct"/>
            <w:vAlign w:val="center"/>
            <w:hideMark/>
          </w:tcPr>
          <w:p w14:paraId="1260C884"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88,949</w:t>
            </w:r>
          </w:p>
        </w:tc>
        <w:tc>
          <w:tcPr>
            <w:tcW w:w="325" w:type="pct"/>
            <w:vAlign w:val="center"/>
            <w:hideMark/>
          </w:tcPr>
          <w:p w14:paraId="25F92B26"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37,903</w:t>
            </w:r>
          </w:p>
        </w:tc>
        <w:tc>
          <w:tcPr>
            <w:tcW w:w="325" w:type="pct"/>
            <w:vAlign w:val="center"/>
            <w:hideMark/>
          </w:tcPr>
          <w:p w14:paraId="62F9174F"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54,755</w:t>
            </w:r>
          </w:p>
        </w:tc>
        <w:tc>
          <w:tcPr>
            <w:tcW w:w="287" w:type="pct"/>
            <w:vAlign w:val="center"/>
            <w:hideMark/>
          </w:tcPr>
          <w:p w14:paraId="09002EFC"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269,473</w:t>
            </w:r>
          </w:p>
        </w:tc>
        <w:tc>
          <w:tcPr>
            <w:tcW w:w="125" w:type="pct"/>
            <w:noWrap/>
            <w:vAlign w:val="center"/>
            <w:hideMark/>
          </w:tcPr>
          <w:p w14:paraId="671721A2" w14:textId="77777777" w:rsidR="001E40B9" w:rsidRPr="00A51E75" w:rsidRDefault="001E40B9" w:rsidP="00B303D6">
            <w:pPr>
              <w:jc w:val="center"/>
              <w:rPr>
                <w:rFonts w:ascii="Aptos Narrow" w:hAnsi="Aptos Narrow"/>
                <w:b/>
                <w:bCs/>
                <w:color w:val="000000"/>
                <w:sz w:val="16"/>
                <w:szCs w:val="16"/>
              </w:rPr>
            </w:pPr>
          </w:p>
        </w:tc>
      </w:tr>
      <w:tr w:rsidR="001E40B9" w:rsidRPr="00A51E75" w14:paraId="683006C2" w14:textId="77777777" w:rsidTr="00B303D6">
        <w:trPr>
          <w:trHeight w:val="300"/>
        </w:trPr>
        <w:tc>
          <w:tcPr>
            <w:tcW w:w="1290" w:type="pct"/>
            <w:gridSpan w:val="2"/>
            <w:noWrap/>
            <w:vAlign w:val="center"/>
            <w:hideMark/>
          </w:tcPr>
          <w:p w14:paraId="1EEF7535"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Componente total 5.</w:t>
            </w:r>
          </w:p>
        </w:tc>
        <w:tc>
          <w:tcPr>
            <w:tcW w:w="295" w:type="pct"/>
            <w:noWrap/>
            <w:vAlign w:val="center"/>
            <w:hideMark/>
          </w:tcPr>
          <w:p w14:paraId="63702DF8"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61A07A61" w14:textId="77777777" w:rsidR="001E40B9" w:rsidRPr="00A51E75" w:rsidRDefault="001E40B9" w:rsidP="00B303D6">
            <w:pPr>
              <w:rPr>
                <w:sz w:val="18"/>
                <w:szCs w:val="18"/>
              </w:rPr>
            </w:pPr>
          </w:p>
        </w:tc>
        <w:tc>
          <w:tcPr>
            <w:tcW w:w="246" w:type="pct"/>
            <w:noWrap/>
            <w:vAlign w:val="center"/>
            <w:hideMark/>
          </w:tcPr>
          <w:p w14:paraId="6483BBAB" w14:textId="77777777" w:rsidR="001E40B9" w:rsidRPr="00A51E75" w:rsidRDefault="001E40B9" w:rsidP="00B303D6">
            <w:pPr>
              <w:rPr>
                <w:sz w:val="18"/>
                <w:szCs w:val="18"/>
              </w:rPr>
            </w:pPr>
          </w:p>
        </w:tc>
        <w:tc>
          <w:tcPr>
            <w:tcW w:w="246" w:type="pct"/>
            <w:noWrap/>
            <w:vAlign w:val="center"/>
            <w:hideMark/>
          </w:tcPr>
          <w:p w14:paraId="2CC3868F" w14:textId="77777777" w:rsidR="001E40B9" w:rsidRPr="00A51E75" w:rsidRDefault="001E40B9" w:rsidP="00B303D6">
            <w:pPr>
              <w:rPr>
                <w:sz w:val="18"/>
                <w:szCs w:val="18"/>
              </w:rPr>
            </w:pPr>
          </w:p>
        </w:tc>
        <w:tc>
          <w:tcPr>
            <w:tcW w:w="639" w:type="pct"/>
            <w:vAlign w:val="center"/>
            <w:hideMark/>
          </w:tcPr>
          <w:p w14:paraId="640DE3F4" w14:textId="77777777" w:rsidR="001E40B9" w:rsidRPr="00A51E75" w:rsidRDefault="001E40B9" w:rsidP="00B303D6">
            <w:pPr>
              <w:rPr>
                <w:sz w:val="18"/>
                <w:szCs w:val="18"/>
              </w:rPr>
            </w:pPr>
          </w:p>
        </w:tc>
        <w:tc>
          <w:tcPr>
            <w:tcW w:w="325" w:type="pct"/>
            <w:noWrap/>
            <w:vAlign w:val="center"/>
            <w:hideMark/>
          </w:tcPr>
          <w:p w14:paraId="03EEF6D7"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36,178</w:t>
            </w:r>
          </w:p>
        </w:tc>
        <w:tc>
          <w:tcPr>
            <w:tcW w:w="325" w:type="pct"/>
            <w:noWrap/>
            <w:vAlign w:val="center"/>
            <w:hideMark/>
          </w:tcPr>
          <w:p w14:paraId="01803880"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51,688</w:t>
            </w:r>
          </w:p>
        </w:tc>
        <w:tc>
          <w:tcPr>
            <w:tcW w:w="326" w:type="pct"/>
            <w:noWrap/>
            <w:vAlign w:val="center"/>
            <w:hideMark/>
          </w:tcPr>
          <w:p w14:paraId="2F04484A"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88,949</w:t>
            </w:r>
          </w:p>
        </w:tc>
        <w:tc>
          <w:tcPr>
            <w:tcW w:w="325" w:type="pct"/>
            <w:noWrap/>
            <w:vAlign w:val="center"/>
            <w:hideMark/>
          </w:tcPr>
          <w:p w14:paraId="525604CB"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37,903</w:t>
            </w:r>
          </w:p>
        </w:tc>
        <w:tc>
          <w:tcPr>
            <w:tcW w:w="325" w:type="pct"/>
            <w:noWrap/>
            <w:vAlign w:val="center"/>
            <w:hideMark/>
          </w:tcPr>
          <w:p w14:paraId="4902B0C8"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54,755</w:t>
            </w:r>
          </w:p>
        </w:tc>
        <w:tc>
          <w:tcPr>
            <w:tcW w:w="287" w:type="pct"/>
            <w:noWrap/>
            <w:vAlign w:val="center"/>
            <w:hideMark/>
          </w:tcPr>
          <w:p w14:paraId="0744C053"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269,473</w:t>
            </w:r>
          </w:p>
        </w:tc>
        <w:tc>
          <w:tcPr>
            <w:tcW w:w="125" w:type="pct"/>
            <w:noWrap/>
            <w:vAlign w:val="center"/>
            <w:hideMark/>
          </w:tcPr>
          <w:p w14:paraId="7392F78E" w14:textId="77777777" w:rsidR="001E40B9" w:rsidRPr="00A51E75" w:rsidRDefault="001E40B9" w:rsidP="00B303D6">
            <w:pPr>
              <w:jc w:val="center"/>
              <w:rPr>
                <w:rFonts w:ascii="Aptos Narrow" w:hAnsi="Aptos Narrow"/>
                <w:b/>
                <w:bCs/>
                <w:color w:val="000000"/>
                <w:sz w:val="16"/>
                <w:szCs w:val="16"/>
              </w:rPr>
            </w:pPr>
          </w:p>
        </w:tc>
      </w:tr>
      <w:tr w:rsidR="001E40B9" w:rsidRPr="00A51E75" w14:paraId="510C3AA5" w14:textId="77777777" w:rsidTr="00B303D6">
        <w:trPr>
          <w:trHeight w:val="640"/>
        </w:trPr>
        <w:tc>
          <w:tcPr>
            <w:tcW w:w="640" w:type="pct"/>
            <w:vMerge w:val="restart"/>
            <w:noWrap/>
            <w:vAlign w:val="center"/>
            <w:hideMark/>
          </w:tcPr>
          <w:p w14:paraId="15802A34"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PMC</w:t>
            </w:r>
          </w:p>
        </w:tc>
        <w:tc>
          <w:tcPr>
            <w:tcW w:w="650" w:type="pct"/>
            <w:vMerge w:val="restart"/>
            <w:noWrap/>
            <w:vAlign w:val="center"/>
            <w:hideMark/>
          </w:tcPr>
          <w:p w14:paraId="70DFCBAE" w14:textId="77777777" w:rsidR="001E40B9" w:rsidRPr="00A51E75" w:rsidRDefault="001E40B9" w:rsidP="00B303D6">
            <w:pPr>
              <w:rPr>
                <w:rFonts w:ascii="Calibri" w:hAnsi="Calibri" w:cs="Calibri"/>
                <w:b/>
                <w:bCs/>
                <w:color w:val="000000"/>
                <w:sz w:val="16"/>
                <w:szCs w:val="16"/>
              </w:rPr>
            </w:pPr>
            <w:r w:rsidRPr="00A51E75">
              <w:rPr>
                <w:rFonts w:ascii="Calibri" w:hAnsi="Calibri" w:cs="Calibri"/>
                <w:b/>
                <w:bCs/>
                <w:color w:val="000000"/>
                <w:sz w:val="16"/>
                <w:szCs w:val="16"/>
              </w:rPr>
              <w:t>PMC</w:t>
            </w:r>
          </w:p>
        </w:tc>
        <w:tc>
          <w:tcPr>
            <w:tcW w:w="295" w:type="pct"/>
            <w:noWrap/>
            <w:vAlign w:val="center"/>
            <w:hideMark/>
          </w:tcPr>
          <w:p w14:paraId="5495B44B" w14:textId="682E5425" w:rsidR="001E40B9" w:rsidRPr="00A51E75" w:rsidRDefault="00C15440" w:rsidP="00B303D6">
            <w:pPr>
              <w:rPr>
                <w:rFonts w:ascii="Calibri" w:hAnsi="Calibri" w:cs="Calibri"/>
                <w:color w:val="000000"/>
                <w:sz w:val="18"/>
                <w:szCs w:val="18"/>
              </w:rPr>
            </w:pPr>
            <w:r>
              <w:rPr>
                <w:rFonts w:ascii="Calibri" w:hAnsi="Calibri" w:cs="Calibri"/>
                <w:color w:val="000000"/>
                <w:sz w:val="18"/>
                <w:szCs w:val="18"/>
              </w:rPr>
              <w:t>PNUD</w:t>
            </w:r>
          </w:p>
        </w:tc>
        <w:tc>
          <w:tcPr>
            <w:tcW w:w="246" w:type="pct"/>
            <w:noWrap/>
            <w:vAlign w:val="center"/>
            <w:hideMark/>
          </w:tcPr>
          <w:p w14:paraId="0E32723F"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40559BED"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10003</w:t>
            </w:r>
          </w:p>
        </w:tc>
        <w:tc>
          <w:tcPr>
            <w:tcW w:w="246" w:type="pct"/>
            <w:noWrap/>
            <w:vAlign w:val="center"/>
            <w:hideMark/>
          </w:tcPr>
          <w:p w14:paraId="2F4BA00D" w14:textId="77777777" w:rsidR="001E40B9" w:rsidRPr="00A51E75" w:rsidRDefault="001E40B9" w:rsidP="00B303D6">
            <w:pPr>
              <w:rPr>
                <w:rFonts w:ascii="Calibri" w:hAnsi="Calibri" w:cs="Calibri"/>
                <w:b/>
                <w:bCs/>
                <w:color w:val="000000"/>
                <w:sz w:val="18"/>
                <w:szCs w:val="18"/>
              </w:rPr>
            </w:pPr>
            <w:r w:rsidRPr="00A51E75">
              <w:rPr>
                <w:rFonts w:ascii="Calibri" w:hAnsi="Calibri" w:cs="Calibri"/>
                <w:b/>
                <w:bCs/>
                <w:color w:val="000000"/>
                <w:sz w:val="18"/>
                <w:szCs w:val="18"/>
              </w:rPr>
              <w:t>71400</w:t>
            </w:r>
          </w:p>
        </w:tc>
        <w:tc>
          <w:tcPr>
            <w:tcW w:w="639" w:type="pct"/>
            <w:vAlign w:val="center"/>
            <w:hideMark/>
          </w:tcPr>
          <w:p w14:paraId="0347DB1B" w14:textId="77777777"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Servicios contractuales - Particulares</w:t>
            </w:r>
          </w:p>
        </w:tc>
        <w:tc>
          <w:tcPr>
            <w:tcW w:w="325" w:type="pct"/>
            <w:noWrap/>
            <w:vAlign w:val="center"/>
            <w:hideMark/>
          </w:tcPr>
          <w:p w14:paraId="76AD601D" w14:textId="77777777" w:rsidR="001E40B9" w:rsidRPr="00A51E75" w:rsidRDefault="001E40B9" w:rsidP="00B303D6">
            <w:pPr>
              <w:jc w:val="right"/>
              <w:rPr>
                <w:rFonts w:ascii="Aptos Narrow" w:hAnsi="Aptos Narrow"/>
                <w:color w:val="000000"/>
                <w:sz w:val="16"/>
                <w:szCs w:val="16"/>
              </w:rPr>
            </w:pPr>
            <w:r w:rsidRPr="00A51E75">
              <w:rPr>
                <w:rFonts w:ascii="Aptos Narrow" w:hAnsi="Aptos Narrow"/>
                <w:color w:val="000000"/>
                <w:sz w:val="16"/>
                <w:szCs w:val="16"/>
              </w:rPr>
              <w:t>74,736</w:t>
            </w:r>
          </w:p>
        </w:tc>
        <w:tc>
          <w:tcPr>
            <w:tcW w:w="325" w:type="pct"/>
            <w:noWrap/>
            <w:vAlign w:val="center"/>
            <w:hideMark/>
          </w:tcPr>
          <w:p w14:paraId="744D3969" w14:textId="77777777" w:rsidR="001E40B9" w:rsidRPr="00A51E75" w:rsidRDefault="001E40B9" w:rsidP="00B303D6">
            <w:pPr>
              <w:jc w:val="right"/>
              <w:rPr>
                <w:rFonts w:ascii="Aptos Narrow" w:hAnsi="Aptos Narrow"/>
                <w:color w:val="000000"/>
                <w:sz w:val="16"/>
                <w:szCs w:val="16"/>
              </w:rPr>
            </w:pPr>
            <w:r w:rsidRPr="00A51E75">
              <w:rPr>
                <w:rFonts w:ascii="Aptos Narrow" w:hAnsi="Aptos Narrow"/>
                <w:color w:val="000000"/>
                <w:sz w:val="16"/>
                <w:szCs w:val="16"/>
              </w:rPr>
              <w:t>74,736</w:t>
            </w:r>
          </w:p>
        </w:tc>
        <w:tc>
          <w:tcPr>
            <w:tcW w:w="326" w:type="pct"/>
            <w:noWrap/>
            <w:vAlign w:val="center"/>
            <w:hideMark/>
          </w:tcPr>
          <w:p w14:paraId="51A0723F" w14:textId="77777777" w:rsidR="001E40B9" w:rsidRPr="00A51E75" w:rsidRDefault="001E40B9" w:rsidP="00B303D6">
            <w:pPr>
              <w:jc w:val="right"/>
              <w:rPr>
                <w:rFonts w:ascii="Aptos Narrow" w:hAnsi="Aptos Narrow"/>
                <w:color w:val="000000"/>
                <w:sz w:val="16"/>
                <w:szCs w:val="16"/>
              </w:rPr>
            </w:pPr>
            <w:r w:rsidRPr="00A51E75">
              <w:rPr>
                <w:rFonts w:ascii="Aptos Narrow" w:hAnsi="Aptos Narrow"/>
                <w:color w:val="000000"/>
                <w:sz w:val="16"/>
                <w:szCs w:val="16"/>
              </w:rPr>
              <w:t>74,736</w:t>
            </w:r>
          </w:p>
        </w:tc>
        <w:tc>
          <w:tcPr>
            <w:tcW w:w="325" w:type="pct"/>
            <w:noWrap/>
            <w:vAlign w:val="center"/>
            <w:hideMark/>
          </w:tcPr>
          <w:p w14:paraId="134BB388" w14:textId="77777777" w:rsidR="001E40B9" w:rsidRPr="00A51E75" w:rsidRDefault="001E40B9" w:rsidP="00B303D6">
            <w:pPr>
              <w:jc w:val="right"/>
              <w:rPr>
                <w:rFonts w:ascii="Aptos Narrow" w:hAnsi="Aptos Narrow"/>
                <w:color w:val="000000"/>
                <w:sz w:val="16"/>
                <w:szCs w:val="16"/>
              </w:rPr>
            </w:pPr>
            <w:r w:rsidRPr="00A51E75">
              <w:rPr>
                <w:rFonts w:ascii="Aptos Narrow" w:hAnsi="Aptos Narrow"/>
                <w:color w:val="000000"/>
                <w:sz w:val="16"/>
                <w:szCs w:val="16"/>
              </w:rPr>
              <w:t>74,736</w:t>
            </w:r>
          </w:p>
        </w:tc>
        <w:tc>
          <w:tcPr>
            <w:tcW w:w="325" w:type="pct"/>
            <w:noWrap/>
            <w:vAlign w:val="center"/>
            <w:hideMark/>
          </w:tcPr>
          <w:p w14:paraId="5A33174F" w14:textId="77777777" w:rsidR="001E40B9" w:rsidRPr="00A51E75" w:rsidRDefault="001E40B9" w:rsidP="00B303D6">
            <w:pPr>
              <w:jc w:val="right"/>
              <w:rPr>
                <w:rFonts w:ascii="Aptos Narrow" w:hAnsi="Aptos Narrow"/>
                <w:color w:val="000000"/>
                <w:sz w:val="16"/>
                <w:szCs w:val="16"/>
              </w:rPr>
            </w:pPr>
            <w:r w:rsidRPr="00A51E75">
              <w:rPr>
                <w:rFonts w:ascii="Aptos Narrow" w:hAnsi="Aptos Narrow"/>
                <w:color w:val="000000"/>
                <w:sz w:val="16"/>
                <w:szCs w:val="16"/>
              </w:rPr>
              <w:t>74,736</w:t>
            </w:r>
          </w:p>
        </w:tc>
        <w:tc>
          <w:tcPr>
            <w:tcW w:w="287" w:type="pct"/>
            <w:noWrap/>
            <w:vAlign w:val="center"/>
            <w:hideMark/>
          </w:tcPr>
          <w:p w14:paraId="751226A9" w14:textId="77777777" w:rsidR="001E40B9" w:rsidRPr="00A51E75" w:rsidRDefault="001E40B9" w:rsidP="00B303D6">
            <w:pPr>
              <w:jc w:val="right"/>
              <w:rPr>
                <w:rFonts w:ascii="Calibri" w:hAnsi="Calibri" w:cs="Calibri"/>
                <w:color w:val="000000"/>
                <w:sz w:val="16"/>
                <w:szCs w:val="16"/>
              </w:rPr>
            </w:pPr>
            <w:r w:rsidRPr="00A51E75">
              <w:rPr>
                <w:rFonts w:ascii="Calibri" w:hAnsi="Calibri" w:cs="Calibri"/>
                <w:color w:val="000000"/>
                <w:sz w:val="16"/>
                <w:szCs w:val="16"/>
              </w:rPr>
              <w:t>373,680</w:t>
            </w:r>
          </w:p>
        </w:tc>
        <w:tc>
          <w:tcPr>
            <w:tcW w:w="125" w:type="pct"/>
            <w:noWrap/>
            <w:vAlign w:val="center"/>
            <w:hideMark/>
          </w:tcPr>
          <w:p w14:paraId="54620FFD" w14:textId="77777777" w:rsidR="001E40B9" w:rsidRPr="00A51E75" w:rsidRDefault="001E40B9" w:rsidP="00B303D6">
            <w:pPr>
              <w:jc w:val="center"/>
              <w:rPr>
                <w:rFonts w:ascii="Calibri" w:hAnsi="Calibri" w:cs="Calibri"/>
                <w:color w:val="000000"/>
                <w:sz w:val="16"/>
                <w:szCs w:val="16"/>
              </w:rPr>
            </w:pPr>
            <w:r w:rsidRPr="00A51E75">
              <w:rPr>
                <w:rFonts w:ascii="Calibri" w:hAnsi="Calibri" w:cs="Calibri"/>
                <w:color w:val="000000"/>
                <w:sz w:val="16"/>
                <w:szCs w:val="16"/>
              </w:rPr>
              <w:t>39</w:t>
            </w:r>
          </w:p>
        </w:tc>
      </w:tr>
      <w:tr w:rsidR="001E40B9" w:rsidRPr="00A51E75" w14:paraId="7B86990C" w14:textId="77777777" w:rsidTr="00B303D6">
        <w:trPr>
          <w:trHeight w:val="300"/>
        </w:trPr>
        <w:tc>
          <w:tcPr>
            <w:tcW w:w="640" w:type="pct"/>
            <w:vMerge/>
            <w:noWrap/>
            <w:vAlign w:val="center"/>
            <w:hideMark/>
          </w:tcPr>
          <w:p w14:paraId="5D32AEB2"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7C64CBEF" w14:textId="77777777" w:rsidR="001E40B9" w:rsidRPr="00A51E75" w:rsidRDefault="001E40B9" w:rsidP="00B303D6">
            <w:pPr>
              <w:rPr>
                <w:sz w:val="16"/>
                <w:szCs w:val="16"/>
              </w:rPr>
            </w:pPr>
          </w:p>
        </w:tc>
        <w:tc>
          <w:tcPr>
            <w:tcW w:w="295" w:type="pct"/>
            <w:noWrap/>
            <w:vAlign w:val="center"/>
            <w:hideMark/>
          </w:tcPr>
          <w:p w14:paraId="41F097E5" w14:textId="540597F6"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PNUD total</w:t>
            </w:r>
          </w:p>
        </w:tc>
        <w:tc>
          <w:tcPr>
            <w:tcW w:w="246" w:type="pct"/>
            <w:noWrap/>
            <w:vAlign w:val="center"/>
            <w:hideMark/>
          </w:tcPr>
          <w:p w14:paraId="460000A3"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09253BE5" w14:textId="77777777" w:rsidR="001E40B9" w:rsidRPr="00A51E75" w:rsidRDefault="001E40B9" w:rsidP="00B303D6">
            <w:pPr>
              <w:rPr>
                <w:sz w:val="18"/>
                <w:szCs w:val="18"/>
              </w:rPr>
            </w:pPr>
          </w:p>
        </w:tc>
        <w:tc>
          <w:tcPr>
            <w:tcW w:w="246" w:type="pct"/>
            <w:noWrap/>
            <w:vAlign w:val="center"/>
            <w:hideMark/>
          </w:tcPr>
          <w:p w14:paraId="74776906" w14:textId="77777777" w:rsidR="001E40B9" w:rsidRPr="00A51E75" w:rsidRDefault="001E40B9" w:rsidP="00B303D6">
            <w:pPr>
              <w:rPr>
                <w:sz w:val="18"/>
                <w:szCs w:val="18"/>
              </w:rPr>
            </w:pPr>
          </w:p>
        </w:tc>
        <w:tc>
          <w:tcPr>
            <w:tcW w:w="639" w:type="pct"/>
            <w:noWrap/>
            <w:vAlign w:val="center"/>
            <w:hideMark/>
          </w:tcPr>
          <w:p w14:paraId="24050B29" w14:textId="77777777" w:rsidR="001E40B9" w:rsidRPr="00A51E75" w:rsidRDefault="001E40B9" w:rsidP="00B303D6">
            <w:pPr>
              <w:rPr>
                <w:sz w:val="18"/>
                <w:szCs w:val="18"/>
              </w:rPr>
            </w:pPr>
          </w:p>
        </w:tc>
        <w:tc>
          <w:tcPr>
            <w:tcW w:w="325" w:type="pct"/>
            <w:noWrap/>
            <w:vAlign w:val="center"/>
            <w:hideMark/>
          </w:tcPr>
          <w:p w14:paraId="7089E0A9"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74,736</w:t>
            </w:r>
          </w:p>
        </w:tc>
        <w:tc>
          <w:tcPr>
            <w:tcW w:w="325" w:type="pct"/>
            <w:noWrap/>
            <w:vAlign w:val="center"/>
            <w:hideMark/>
          </w:tcPr>
          <w:p w14:paraId="747C9925"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74,736</w:t>
            </w:r>
          </w:p>
        </w:tc>
        <w:tc>
          <w:tcPr>
            <w:tcW w:w="326" w:type="pct"/>
            <w:noWrap/>
            <w:vAlign w:val="center"/>
            <w:hideMark/>
          </w:tcPr>
          <w:p w14:paraId="6B0C140E"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74,736</w:t>
            </w:r>
          </w:p>
        </w:tc>
        <w:tc>
          <w:tcPr>
            <w:tcW w:w="325" w:type="pct"/>
            <w:noWrap/>
            <w:vAlign w:val="center"/>
            <w:hideMark/>
          </w:tcPr>
          <w:p w14:paraId="496A416A"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74,736</w:t>
            </w:r>
          </w:p>
        </w:tc>
        <w:tc>
          <w:tcPr>
            <w:tcW w:w="325" w:type="pct"/>
            <w:noWrap/>
            <w:vAlign w:val="center"/>
            <w:hideMark/>
          </w:tcPr>
          <w:p w14:paraId="0C5C61BE"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74,736</w:t>
            </w:r>
          </w:p>
        </w:tc>
        <w:tc>
          <w:tcPr>
            <w:tcW w:w="287" w:type="pct"/>
            <w:noWrap/>
            <w:vAlign w:val="center"/>
            <w:hideMark/>
          </w:tcPr>
          <w:p w14:paraId="4F1E6E85"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373,680</w:t>
            </w:r>
          </w:p>
        </w:tc>
        <w:tc>
          <w:tcPr>
            <w:tcW w:w="125" w:type="pct"/>
            <w:noWrap/>
            <w:vAlign w:val="center"/>
            <w:hideMark/>
          </w:tcPr>
          <w:p w14:paraId="5D82BC81" w14:textId="77777777" w:rsidR="001E40B9" w:rsidRPr="00A51E75" w:rsidRDefault="001E40B9" w:rsidP="00B303D6">
            <w:pPr>
              <w:jc w:val="center"/>
              <w:rPr>
                <w:rFonts w:ascii="Aptos Narrow" w:hAnsi="Aptos Narrow"/>
                <w:b/>
                <w:bCs/>
                <w:color w:val="000000"/>
                <w:sz w:val="16"/>
                <w:szCs w:val="16"/>
              </w:rPr>
            </w:pPr>
          </w:p>
        </w:tc>
      </w:tr>
      <w:tr w:rsidR="00C15440" w:rsidRPr="00A51E75" w14:paraId="39A2D9A2" w14:textId="77777777" w:rsidTr="00B303D6">
        <w:trPr>
          <w:trHeight w:val="300"/>
        </w:trPr>
        <w:tc>
          <w:tcPr>
            <w:tcW w:w="640" w:type="pct"/>
            <w:vMerge/>
            <w:noWrap/>
            <w:vAlign w:val="center"/>
            <w:hideMark/>
          </w:tcPr>
          <w:p w14:paraId="75AA48AF" w14:textId="77777777" w:rsidR="00C15440" w:rsidRPr="00A51E75" w:rsidRDefault="00C15440" w:rsidP="00C15440">
            <w:pPr>
              <w:rPr>
                <w:sz w:val="16"/>
                <w:szCs w:val="16"/>
              </w:rPr>
            </w:pPr>
          </w:p>
        </w:tc>
        <w:tc>
          <w:tcPr>
            <w:tcW w:w="650" w:type="pct"/>
            <w:vMerge/>
            <w:noWrap/>
            <w:vAlign w:val="center"/>
            <w:hideMark/>
          </w:tcPr>
          <w:p w14:paraId="20B34DFF" w14:textId="77777777" w:rsidR="00C15440" w:rsidRPr="00A51E75" w:rsidRDefault="00C15440" w:rsidP="00C15440">
            <w:pPr>
              <w:rPr>
                <w:sz w:val="16"/>
                <w:szCs w:val="16"/>
              </w:rPr>
            </w:pPr>
          </w:p>
        </w:tc>
        <w:tc>
          <w:tcPr>
            <w:tcW w:w="295" w:type="pct"/>
            <w:noWrap/>
            <w:vAlign w:val="center"/>
            <w:hideMark/>
          </w:tcPr>
          <w:p w14:paraId="19C4032F" w14:textId="32390B0F"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 xml:space="preserve">PNUD </w:t>
            </w:r>
          </w:p>
        </w:tc>
        <w:tc>
          <w:tcPr>
            <w:tcW w:w="246" w:type="pct"/>
            <w:noWrap/>
            <w:vAlign w:val="center"/>
            <w:hideMark/>
          </w:tcPr>
          <w:p w14:paraId="0FBAE9DC" w14:textId="58B8F8F2"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62000</w:t>
            </w:r>
          </w:p>
        </w:tc>
        <w:tc>
          <w:tcPr>
            <w:tcW w:w="246" w:type="pct"/>
            <w:noWrap/>
            <w:vAlign w:val="center"/>
            <w:hideMark/>
          </w:tcPr>
          <w:p w14:paraId="10AA50DA" w14:textId="4B333424" w:rsidR="00C15440" w:rsidRPr="00A51E75" w:rsidRDefault="00C15440" w:rsidP="00C15440">
            <w:pPr>
              <w:rPr>
                <w:sz w:val="18"/>
                <w:szCs w:val="18"/>
              </w:rPr>
            </w:pPr>
            <w:r w:rsidRPr="00A51E75">
              <w:rPr>
                <w:rFonts w:ascii="Calibri" w:hAnsi="Calibri" w:cs="Calibri"/>
                <w:color w:val="000000"/>
                <w:sz w:val="18"/>
                <w:szCs w:val="18"/>
              </w:rPr>
              <w:t>10003</w:t>
            </w:r>
          </w:p>
        </w:tc>
        <w:tc>
          <w:tcPr>
            <w:tcW w:w="246" w:type="pct"/>
            <w:noWrap/>
            <w:vAlign w:val="center"/>
            <w:hideMark/>
          </w:tcPr>
          <w:p w14:paraId="70EC69F3" w14:textId="77777777" w:rsidR="00C15440" w:rsidRPr="00A51E75" w:rsidRDefault="00C15440" w:rsidP="00C15440">
            <w:pPr>
              <w:rPr>
                <w:rFonts w:ascii="Calibri" w:hAnsi="Calibri" w:cs="Calibri"/>
                <w:b/>
                <w:bCs/>
                <w:color w:val="000000"/>
                <w:sz w:val="18"/>
                <w:szCs w:val="18"/>
              </w:rPr>
            </w:pPr>
            <w:r w:rsidRPr="00A51E75">
              <w:rPr>
                <w:rFonts w:ascii="Calibri" w:hAnsi="Calibri" w:cs="Calibri"/>
                <w:b/>
                <w:bCs/>
                <w:color w:val="000000"/>
                <w:sz w:val="18"/>
                <w:szCs w:val="18"/>
              </w:rPr>
              <w:t>74100</w:t>
            </w:r>
          </w:p>
        </w:tc>
        <w:tc>
          <w:tcPr>
            <w:tcW w:w="639" w:type="pct"/>
            <w:noWrap/>
            <w:vAlign w:val="center"/>
            <w:hideMark/>
          </w:tcPr>
          <w:p w14:paraId="38A9764E" w14:textId="77777777" w:rsidR="00C15440" w:rsidRPr="00A51E75" w:rsidRDefault="00C15440" w:rsidP="00C15440">
            <w:pPr>
              <w:rPr>
                <w:rFonts w:ascii="Calibri" w:hAnsi="Calibri" w:cs="Calibri"/>
                <w:color w:val="000000"/>
                <w:sz w:val="18"/>
                <w:szCs w:val="18"/>
              </w:rPr>
            </w:pPr>
            <w:r w:rsidRPr="00A51E75">
              <w:rPr>
                <w:rFonts w:ascii="Calibri" w:hAnsi="Calibri" w:cs="Calibri"/>
                <w:color w:val="000000"/>
                <w:sz w:val="18"/>
                <w:szCs w:val="18"/>
              </w:rPr>
              <w:t>Servicios profesionales</w:t>
            </w:r>
          </w:p>
        </w:tc>
        <w:tc>
          <w:tcPr>
            <w:tcW w:w="325" w:type="pct"/>
            <w:noWrap/>
            <w:vAlign w:val="center"/>
            <w:hideMark/>
          </w:tcPr>
          <w:p w14:paraId="582C5EE2"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10,004</w:t>
            </w:r>
          </w:p>
        </w:tc>
        <w:tc>
          <w:tcPr>
            <w:tcW w:w="325" w:type="pct"/>
            <w:vAlign w:val="center"/>
            <w:hideMark/>
          </w:tcPr>
          <w:p w14:paraId="3940E80E"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10,006</w:t>
            </w:r>
          </w:p>
        </w:tc>
        <w:tc>
          <w:tcPr>
            <w:tcW w:w="326" w:type="pct"/>
            <w:noWrap/>
            <w:vAlign w:val="center"/>
            <w:hideMark/>
          </w:tcPr>
          <w:p w14:paraId="0A1346C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10,006</w:t>
            </w:r>
          </w:p>
        </w:tc>
        <w:tc>
          <w:tcPr>
            <w:tcW w:w="325" w:type="pct"/>
            <w:noWrap/>
            <w:vAlign w:val="center"/>
            <w:hideMark/>
          </w:tcPr>
          <w:p w14:paraId="208E9357"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10,004</w:t>
            </w:r>
          </w:p>
        </w:tc>
        <w:tc>
          <w:tcPr>
            <w:tcW w:w="325" w:type="pct"/>
            <w:noWrap/>
            <w:vAlign w:val="center"/>
            <w:hideMark/>
          </w:tcPr>
          <w:p w14:paraId="18B724AF"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10,004</w:t>
            </w:r>
          </w:p>
        </w:tc>
        <w:tc>
          <w:tcPr>
            <w:tcW w:w="287" w:type="pct"/>
            <w:noWrap/>
            <w:vAlign w:val="center"/>
            <w:hideMark/>
          </w:tcPr>
          <w:p w14:paraId="45070A44" w14:textId="77777777" w:rsidR="00C15440" w:rsidRPr="00A51E75" w:rsidRDefault="00C15440" w:rsidP="00C15440">
            <w:pPr>
              <w:jc w:val="right"/>
              <w:rPr>
                <w:rFonts w:ascii="Calibri" w:hAnsi="Calibri" w:cs="Calibri"/>
                <w:color w:val="000000"/>
                <w:sz w:val="16"/>
                <w:szCs w:val="16"/>
              </w:rPr>
            </w:pPr>
            <w:r w:rsidRPr="00A51E75">
              <w:rPr>
                <w:rFonts w:ascii="Calibri" w:hAnsi="Calibri" w:cs="Calibri"/>
                <w:color w:val="000000"/>
                <w:sz w:val="16"/>
                <w:szCs w:val="16"/>
              </w:rPr>
              <w:t>50,024</w:t>
            </w:r>
          </w:p>
        </w:tc>
        <w:tc>
          <w:tcPr>
            <w:tcW w:w="125" w:type="pct"/>
            <w:noWrap/>
            <w:vAlign w:val="center"/>
            <w:hideMark/>
          </w:tcPr>
          <w:p w14:paraId="3A21B17D" w14:textId="77777777" w:rsidR="00C15440" w:rsidRPr="00A51E75" w:rsidRDefault="00C15440" w:rsidP="00C15440">
            <w:pPr>
              <w:jc w:val="center"/>
              <w:rPr>
                <w:rFonts w:ascii="Calibri" w:hAnsi="Calibri" w:cs="Calibri"/>
                <w:color w:val="000000"/>
                <w:sz w:val="16"/>
                <w:szCs w:val="16"/>
              </w:rPr>
            </w:pPr>
            <w:r w:rsidRPr="00A51E75">
              <w:rPr>
                <w:rFonts w:ascii="Calibri" w:hAnsi="Calibri" w:cs="Calibri"/>
                <w:color w:val="000000"/>
                <w:sz w:val="16"/>
                <w:szCs w:val="16"/>
              </w:rPr>
              <w:t>40</w:t>
            </w:r>
          </w:p>
        </w:tc>
      </w:tr>
      <w:tr w:rsidR="001E40B9" w:rsidRPr="00A51E75" w14:paraId="43DBB44E" w14:textId="77777777" w:rsidTr="00B303D6">
        <w:trPr>
          <w:trHeight w:val="300"/>
        </w:trPr>
        <w:tc>
          <w:tcPr>
            <w:tcW w:w="640" w:type="pct"/>
            <w:vMerge/>
            <w:noWrap/>
            <w:vAlign w:val="center"/>
            <w:hideMark/>
          </w:tcPr>
          <w:p w14:paraId="3783F1CC" w14:textId="77777777" w:rsidR="001E40B9" w:rsidRPr="00A51E75" w:rsidRDefault="001E40B9" w:rsidP="00B303D6">
            <w:pPr>
              <w:rPr>
                <w:rFonts w:ascii="Calibri" w:hAnsi="Calibri" w:cs="Calibri"/>
                <w:color w:val="000000"/>
                <w:sz w:val="16"/>
                <w:szCs w:val="16"/>
              </w:rPr>
            </w:pPr>
          </w:p>
        </w:tc>
        <w:tc>
          <w:tcPr>
            <w:tcW w:w="650" w:type="pct"/>
            <w:vMerge/>
            <w:noWrap/>
            <w:vAlign w:val="center"/>
            <w:hideMark/>
          </w:tcPr>
          <w:p w14:paraId="5BDFDFB2" w14:textId="77777777" w:rsidR="001E40B9" w:rsidRPr="00A51E75" w:rsidRDefault="001E40B9" w:rsidP="00B303D6">
            <w:pPr>
              <w:rPr>
                <w:sz w:val="16"/>
                <w:szCs w:val="16"/>
              </w:rPr>
            </w:pPr>
          </w:p>
        </w:tc>
        <w:tc>
          <w:tcPr>
            <w:tcW w:w="541" w:type="pct"/>
            <w:gridSpan w:val="2"/>
            <w:noWrap/>
            <w:vAlign w:val="center"/>
            <w:hideMark/>
          </w:tcPr>
          <w:p w14:paraId="36959F88" w14:textId="516A1B96" w:rsidR="001E40B9" w:rsidRPr="00A51E75" w:rsidRDefault="001E40B9" w:rsidP="00B303D6">
            <w:pPr>
              <w:rPr>
                <w:rFonts w:ascii="Calibri" w:hAnsi="Calibri" w:cs="Calibri"/>
                <w:color w:val="000000"/>
                <w:sz w:val="18"/>
                <w:szCs w:val="18"/>
              </w:rPr>
            </w:pPr>
            <w:r w:rsidRPr="00A51E75">
              <w:rPr>
                <w:rFonts w:ascii="Calibri" w:hAnsi="Calibri" w:cs="Calibri"/>
                <w:color w:val="000000"/>
                <w:sz w:val="18"/>
                <w:szCs w:val="18"/>
              </w:rPr>
              <w:t xml:space="preserve">PNUD total </w:t>
            </w:r>
          </w:p>
        </w:tc>
        <w:tc>
          <w:tcPr>
            <w:tcW w:w="246" w:type="pct"/>
            <w:noWrap/>
            <w:vAlign w:val="center"/>
            <w:hideMark/>
          </w:tcPr>
          <w:p w14:paraId="25160584" w14:textId="77777777" w:rsidR="001E40B9" w:rsidRPr="00A51E75" w:rsidRDefault="001E40B9" w:rsidP="00B303D6">
            <w:pPr>
              <w:rPr>
                <w:rFonts w:ascii="Calibri" w:hAnsi="Calibri" w:cs="Calibri"/>
                <w:color w:val="000000"/>
                <w:sz w:val="18"/>
                <w:szCs w:val="18"/>
              </w:rPr>
            </w:pPr>
          </w:p>
        </w:tc>
        <w:tc>
          <w:tcPr>
            <w:tcW w:w="246" w:type="pct"/>
            <w:noWrap/>
            <w:vAlign w:val="center"/>
            <w:hideMark/>
          </w:tcPr>
          <w:p w14:paraId="58DE5C03" w14:textId="77777777" w:rsidR="001E40B9" w:rsidRPr="00A51E75" w:rsidRDefault="001E40B9" w:rsidP="00B303D6">
            <w:pPr>
              <w:rPr>
                <w:sz w:val="18"/>
                <w:szCs w:val="18"/>
              </w:rPr>
            </w:pPr>
          </w:p>
        </w:tc>
        <w:tc>
          <w:tcPr>
            <w:tcW w:w="639" w:type="pct"/>
            <w:noWrap/>
            <w:vAlign w:val="center"/>
            <w:hideMark/>
          </w:tcPr>
          <w:p w14:paraId="657CCEBB" w14:textId="77777777" w:rsidR="001E40B9" w:rsidRPr="00A51E75" w:rsidRDefault="001E40B9" w:rsidP="00B303D6">
            <w:pPr>
              <w:rPr>
                <w:sz w:val="18"/>
                <w:szCs w:val="18"/>
              </w:rPr>
            </w:pPr>
          </w:p>
        </w:tc>
        <w:tc>
          <w:tcPr>
            <w:tcW w:w="325" w:type="pct"/>
            <w:noWrap/>
            <w:vAlign w:val="center"/>
            <w:hideMark/>
          </w:tcPr>
          <w:p w14:paraId="0013CE81"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10,004</w:t>
            </w:r>
          </w:p>
        </w:tc>
        <w:tc>
          <w:tcPr>
            <w:tcW w:w="325" w:type="pct"/>
            <w:noWrap/>
            <w:vAlign w:val="center"/>
            <w:hideMark/>
          </w:tcPr>
          <w:p w14:paraId="12E5D3ED"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10,006</w:t>
            </w:r>
          </w:p>
        </w:tc>
        <w:tc>
          <w:tcPr>
            <w:tcW w:w="326" w:type="pct"/>
            <w:noWrap/>
            <w:vAlign w:val="center"/>
            <w:hideMark/>
          </w:tcPr>
          <w:p w14:paraId="15FFF342"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10,006</w:t>
            </w:r>
          </w:p>
        </w:tc>
        <w:tc>
          <w:tcPr>
            <w:tcW w:w="325" w:type="pct"/>
            <w:noWrap/>
            <w:vAlign w:val="center"/>
            <w:hideMark/>
          </w:tcPr>
          <w:p w14:paraId="1723E90A"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10,004</w:t>
            </w:r>
          </w:p>
        </w:tc>
        <w:tc>
          <w:tcPr>
            <w:tcW w:w="325" w:type="pct"/>
            <w:noWrap/>
            <w:vAlign w:val="center"/>
            <w:hideMark/>
          </w:tcPr>
          <w:p w14:paraId="57AFDF8B"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10,004</w:t>
            </w:r>
          </w:p>
        </w:tc>
        <w:tc>
          <w:tcPr>
            <w:tcW w:w="287" w:type="pct"/>
            <w:noWrap/>
            <w:vAlign w:val="center"/>
            <w:hideMark/>
          </w:tcPr>
          <w:p w14:paraId="111FC703"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50,024</w:t>
            </w:r>
          </w:p>
        </w:tc>
        <w:tc>
          <w:tcPr>
            <w:tcW w:w="125" w:type="pct"/>
            <w:noWrap/>
            <w:vAlign w:val="center"/>
            <w:hideMark/>
          </w:tcPr>
          <w:p w14:paraId="0B22747E" w14:textId="77777777" w:rsidR="001E40B9" w:rsidRPr="00A51E75" w:rsidRDefault="001E40B9" w:rsidP="00B303D6">
            <w:pPr>
              <w:jc w:val="center"/>
              <w:rPr>
                <w:rFonts w:ascii="Aptos Narrow" w:hAnsi="Aptos Narrow"/>
                <w:b/>
                <w:bCs/>
                <w:color w:val="000000"/>
                <w:sz w:val="16"/>
                <w:szCs w:val="16"/>
              </w:rPr>
            </w:pPr>
          </w:p>
        </w:tc>
      </w:tr>
      <w:tr w:rsidR="001E40B9" w:rsidRPr="00A51E75" w14:paraId="326AA8C6" w14:textId="77777777" w:rsidTr="00B303D6">
        <w:trPr>
          <w:trHeight w:val="300"/>
        </w:trPr>
        <w:tc>
          <w:tcPr>
            <w:tcW w:w="640" w:type="pct"/>
            <w:vMerge/>
            <w:noWrap/>
            <w:vAlign w:val="center"/>
            <w:hideMark/>
          </w:tcPr>
          <w:p w14:paraId="5EA0E675" w14:textId="77777777" w:rsidR="001E40B9" w:rsidRPr="00A51E75" w:rsidRDefault="001E40B9" w:rsidP="00B303D6">
            <w:pPr>
              <w:rPr>
                <w:sz w:val="16"/>
                <w:szCs w:val="16"/>
              </w:rPr>
            </w:pPr>
          </w:p>
        </w:tc>
        <w:tc>
          <w:tcPr>
            <w:tcW w:w="650" w:type="pct"/>
            <w:noWrap/>
            <w:vAlign w:val="center"/>
            <w:hideMark/>
          </w:tcPr>
          <w:p w14:paraId="5DB5F357" w14:textId="77777777" w:rsidR="001E40B9" w:rsidRPr="00A51E75" w:rsidRDefault="001E40B9" w:rsidP="00B303D6">
            <w:pPr>
              <w:rPr>
                <w:rFonts w:ascii="Calibri" w:hAnsi="Calibri" w:cs="Calibri"/>
                <w:b/>
                <w:bCs/>
                <w:color w:val="000000"/>
                <w:sz w:val="16"/>
                <w:szCs w:val="16"/>
              </w:rPr>
            </w:pPr>
            <w:proofErr w:type="gramStart"/>
            <w:r w:rsidRPr="00A51E75">
              <w:rPr>
                <w:rFonts w:ascii="Calibri" w:hAnsi="Calibri" w:cs="Calibri"/>
                <w:b/>
                <w:bCs/>
                <w:color w:val="000000"/>
                <w:sz w:val="16"/>
                <w:szCs w:val="16"/>
              </w:rPr>
              <w:t>Total</w:t>
            </w:r>
            <w:proofErr w:type="gramEnd"/>
            <w:r w:rsidRPr="00A51E75">
              <w:rPr>
                <w:rFonts w:ascii="Calibri" w:hAnsi="Calibri" w:cs="Calibri"/>
                <w:b/>
                <w:bCs/>
                <w:color w:val="000000"/>
                <w:sz w:val="16"/>
                <w:szCs w:val="16"/>
              </w:rPr>
              <w:t xml:space="preserve"> PMC</w:t>
            </w:r>
          </w:p>
        </w:tc>
        <w:tc>
          <w:tcPr>
            <w:tcW w:w="295" w:type="pct"/>
            <w:noWrap/>
            <w:vAlign w:val="center"/>
            <w:hideMark/>
          </w:tcPr>
          <w:p w14:paraId="28452C78" w14:textId="77777777" w:rsidR="001E40B9" w:rsidRPr="00A51E75" w:rsidRDefault="001E40B9" w:rsidP="00B303D6">
            <w:pPr>
              <w:rPr>
                <w:rFonts w:ascii="Calibri" w:hAnsi="Calibri" w:cs="Calibri"/>
                <w:b/>
                <w:bCs/>
                <w:color w:val="000000"/>
                <w:sz w:val="18"/>
                <w:szCs w:val="18"/>
              </w:rPr>
            </w:pPr>
          </w:p>
        </w:tc>
        <w:tc>
          <w:tcPr>
            <w:tcW w:w="246" w:type="pct"/>
            <w:noWrap/>
            <w:vAlign w:val="center"/>
            <w:hideMark/>
          </w:tcPr>
          <w:p w14:paraId="00C7C599" w14:textId="77777777" w:rsidR="001E40B9" w:rsidRPr="00A51E75" w:rsidRDefault="001E40B9" w:rsidP="00B303D6">
            <w:pPr>
              <w:rPr>
                <w:sz w:val="18"/>
                <w:szCs w:val="18"/>
              </w:rPr>
            </w:pPr>
          </w:p>
        </w:tc>
        <w:tc>
          <w:tcPr>
            <w:tcW w:w="246" w:type="pct"/>
            <w:noWrap/>
            <w:vAlign w:val="center"/>
            <w:hideMark/>
          </w:tcPr>
          <w:p w14:paraId="0AF4356F" w14:textId="77777777" w:rsidR="001E40B9" w:rsidRPr="00A51E75" w:rsidRDefault="001E40B9" w:rsidP="00B303D6">
            <w:pPr>
              <w:rPr>
                <w:sz w:val="18"/>
                <w:szCs w:val="18"/>
              </w:rPr>
            </w:pPr>
          </w:p>
        </w:tc>
        <w:tc>
          <w:tcPr>
            <w:tcW w:w="246" w:type="pct"/>
            <w:noWrap/>
            <w:vAlign w:val="center"/>
            <w:hideMark/>
          </w:tcPr>
          <w:p w14:paraId="55B2954D" w14:textId="77777777" w:rsidR="001E40B9" w:rsidRPr="00A51E75" w:rsidRDefault="001E40B9" w:rsidP="00B303D6">
            <w:pPr>
              <w:rPr>
                <w:sz w:val="18"/>
                <w:szCs w:val="18"/>
              </w:rPr>
            </w:pPr>
          </w:p>
        </w:tc>
        <w:tc>
          <w:tcPr>
            <w:tcW w:w="639" w:type="pct"/>
            <w:noWrap/>
            <w:vAlign w:val="center"/>
            <w:hideMark/>
          </w:tcPr>
          <w:p w14:paraId="3F16963C" w14:textId="77777777" w:rsidR="001E40B9" w:rsidRPr="00A51E75" w:rsidRDefault="001E40B9" w:rsidP="00B303D6">
            <w:pPr>
              <w:rPr>
                <w:sz w:val="18"/>
                <w:szCs w:val="18"/>
              </w:rPr>
            </w:pPr>
          </w:p>
        </w:tc>
        <w:tc>
          <w:tcPr>
            <w:tcW w:w="325" w:type="pct"/>
            <w:vAlign w:val="center"/>
            <w:hideMark/>
          </w:tcPr>
          <w:p w14:paraId="608E4320"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84,740</w:t>
            </w:r>
          </w:p>
        </w:tc>
        <w:tc>
          <w:tcPr>
            <w:tcW w:w="325" w:type="pct"/>
            <w:vAlign w:val="center"/>
            <w:hideMark/>
          </w:tcPr>
          <w:p w14:paraId="4CB21FD4"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84,742</w:t>
            </w:r>
          </w:p>
        </w:tc>
        <w:tc>
          <w:tcPr>
            <w:tcW w:w="326" w:type="pct"/>
            <w:vAlign w:val="center"/>
            <w:hideMark/>
          </w:tcPr>
          <w:p w14:paraId="687BF5DC"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84,742</w:t>
            </w:r>
          </w:p>
        </w:tc>
        <w:tc>
          <w:tcPr>
            <w:tcW w:w="325" w:type="pct"/>
            <w:vAlign w:val="center"/>
            <w:hideMark/>
          </w:tcPr>
          <w:p w14:paraId="7693DDB3"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84,740</w:t>
            </w:r>
          </w:p>
        </w:tc>
        <w:tc>
          <w:tcPr>
            <w:tcW w:w="325" w:type="pct"/>
            <w:vAlign w:val="center"/>
            <w:hideMark/>
          </w:tcPr>
          <w:p w14:paraId="21AD01A2"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84,740</w:t>
            </w:r>
          </w:p>
        </w:tc>
        <w:tc>
          <w:tcPr>
            <w:tcW w:w="287" w:type="pct"/>
            <w:vAlign w:val="center"/>
            <w:hideMark/>
          </w:tcPr>
          <w:p w14:paraId="05246305"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423,704</w:t>
            </w:r>
          </w:p>
        </w:tc>
        <w:tc>
          <w:tcPr>
            <w:tcW w:w="125" w:type="pct"/>
            <w:noWrap/>
            <w:vAlign w:val="center"/>
            <w:hideMark/>
          </w:tcPr>
          <w:p w14:paraId="5FF76F03" w14:textId="77777777" w:rsidR="001E40B9" w:rsidRPr="00A51E75" w:rsidRDefault="001E40B9" w:rsidP="00B303D6">
            <w:pPr>
              <w:jc w:val="center"/>
              <w:rPr>
                <w:rFonts w:ascii="Aptos Narrow" w:hAnsi="Aptos Narrow"/>
                <w:b/>
                <w:bCs/>
                <w:color w:val="000000"/>
                <w:sz w:val="16"/>
                <w:szCs w:val="16"/>
              </w:rPr>
            </w:pPr>
          </w:p>
        </w:tc>
      </w:tr>
      <w:tr w:rsidR="001E40B9" w:rsidRPr="00A51E75" w14:paraId="1731C57F" w14:textId="77777777" w:rsidTr="00B303D6">
        <w:trPr>
          <w:trHeight w:val="300"/>
        </w:trPr>
        <w:tc>
          <w:tcPr>
            <w:tcW w:w="640" w:type="pct"/>
            <w:noWrap/>
            <w:vAlign w:val="center"/>
            <w:hideMark/>
          </w:tcPr>
          <w:p w14:paraId="40D96FDF" w14:textId="77777777" w:rsidR="001E40B9" w:rsidRPr="00A51E75" w:rsidRDefault="001E40B9" w:rsidP="00B303D6">
            <w:pPr>
              <w:rPr>
                <w:rFonts w:ascii="Calibri" w:hAnsi="Calibri" w:cs="Calibri"/>
                <w:b/>
                <w:bCs/>
                <w:color w:val="000000"/>
                <w:sz w:val="16"/>
                <w:szCs w:val="16"/>
              </w:rPr>
            </w:pPr>
            <w:proofErr w:type="gramStart"/>
            <w:r w:rsidRPr="00A51E75">
              <w:rPr>
                <w:rFonts w:ascii="Calibri" w:hAnsi="Calibri" w:cs="Calibri"/>
                <w:b/>
                <w:bCs/>
                <w:color w:val="000000"/>
                <w:sz w:val="16"/>
                <w:szCs w:val="16"/>
              </w:rPr>
              <w:t>Total</w:t>
            </w:r>
            <w:proofErr w:type="gramEnd"/>
            <w:r w:rsidRPr="00A51E75">
              <w:rPr>
                <w:rFonts w:ascii="Calibri" w:hAnsi="Calibri" w:cs="Calibri"/>
                <w:b/>
                <w:bCs/>
                <w:color w:val="000000"/>
                <w:sz w:val="16"/>
                <w:szCs w:val="16"/>
              </w:rPr>
              <w:t xml:space="preserve"> PMC</w:t>
            </w:r>
          </w:p>
        </w:tc>
        <w:tc>
          <w:tcPr>
            <w:tcW w:w="650" w:type="pct"/>
            <w:noWrap/>
            <w:vAlign w:val="center"/>
            <w:hideMark/>
          </w:tcPr>
          <w:p w14:paraId="70A5A3D6" w14:textId="77777777" w:rsidR="001E40B9" w:rsidRPr="00A51E75" w:rsidRDefault="001E40B9" w:rsidP="00B303D6">
            <w:pPr>
              <w:rPr>
                <w:rFonts w:ascii="Calibri" w:hAnsi="Calibri" w:cs="Calibri"/>
                <w:b/>
                <w:bCs/>
                <w:color w:val="000000"/>
                <w:sz w:val="16"/>
                <w:szCs w:val="16"/>
              </w:rPr>
            </w:pPr>
          </w:p>
        </w:tc>
        <w:tc>
          <w:tcPr>
            <w:tcW w:w="295" w:type="pct"/>
            <w:noWrap/>
            <w:vAlign w:val="center"/>
            <w:hideMark/>
          </w:tcPr>
          <w:p w14:paraId="1D8B432D" w14:textId="77777777" w:rsidR="001E40B9" w:rsidRPr="00A51E75" w:rsidRDefault="001E40B9" w:rsidP="00B303D6">
            <w:pPr>
              <w:rPr>
                <w:sz w:val="18"/>
                <w:szCs w:val="18"/>
              </w:rPr>
            </w:pPr>
          </w:p>
        </w:tc>
        <w:tc>
          <w:tcPr>
            <w:tcW w:w="246" w:type="pct"/>
            <w:noWrap/>
            <w:vAlign w:val="center"/>
            <w:hideMark/>
          </w:tcPr>
          <w:p w14:paraId="029CE7B3" w14:textId="77777777" w:rsidR="001E40B9" w:rsidRPr="00A51E75" w:rsidRDefault="001E40B9" w:rsidP="00B303D6">
            <w:pPr>
              <w:rPr>
                <w:sz w:val="18"/>
                <w:szCs w:val="18"/>
              </w:rPr>
            </w:pPr>
          </w:p>
        </w:tc>
        <w:tc>
          <w:tcPr>
            <w:tcW w:w="246" w:type="pct"/>
            <w:noWrap/>
            <w:vAlign w:val="center"/>
            <w:hideMark/>
          </w:tcPr>
          <w:p w14:paraId="5871630A" w14:textId="77777777" w:rsidR="001E40B9" w:rsidRPr="00A51E75" w:rsidRDefault="001E40B9" w:rsidP="00B303D6">
            <w:pPr>
              <w:rPr>
                <w:sz w:val="18"/>
                <w:szCs w:val="18"/>
              </w:rPr>
            </w:pPr>
          </w:p>
        </w:tc>
        <w:tc>
          <w:tcPr>
            <w:tcW w:w="246" w:type="pct"/>
            <w:noWrap/>
            <w:vAlign w:val="center"/>
            <w:hideMark/>
          </w:tcPr>
          <w:p w14:paraId="10F16C80" w14:textId="77777777" w:rsidR="001E40B9" w:rsidRPr="00A51E75" w:rsidRDefault="001E40B9" w:rsidP="00B303D6">
            <w:pPr>
              <w:rPr>
                <w:sz w:val="18"/>
                <w:szCs w:val="18"/>
              </w:rPr>
            </w:pPr>
          </w:p>
        </w:tc>
        <w:tc>
          <w:tcPr>
            <w:tcW w:w="639" w:type="pct"/>
            <w:vAlign w:val="center"/>
            <w:hideMark/>
          </w:tcPr>
          <w:p w14:paraId="18DC2A44" w14:textId="77777777" w:rsidR="001E40B9" w:rsidRPr="00A51E75" w:rsidRDefault="001E40B9" w:rsidP="00B303D6">
            <w:pPr>
              <w:rPr>
                <w:sz w:val="18"/>
                <w:szCs w:val="18"/>
              </w:rPr>
            </w:pPr>
          </w:p>
        </w:tc>
        <w:tc>
          <w:tcPr>
            <w:tcW w:w="325" w:type="pct"/>
            <w:noWrap/>
            <w:vAlign w:val="center"/>
            <w:hideMark/>
          </w:tcPr>
          <w:p w14:paraId="514E3C48"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84,740</w:t>
            </w:r>
          </w:p>
        </w:tc>
        <w:tc>
          <w:tcPr>
            <w:tcW w:w="325" w:type="pct"/>
            <w:noWrap/>
            <w:vAlign w:val="center"/>
            <w:hideMark/>
          </w:tcPr>
          <w:p w14:paraId="416B7E3B"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84,742</w:t>
            </w:r>
          </w:p>
        </w:tc>
        <w:tc>
          <w:tcPr>
            <w:tcW w:w="326" w:type="pct"/>
            <w:noWrap/>
            <w:vAlign w:val="center"/>
            <w:hideMark/>
          </w:tcPr>
          <w:p w14:paraId="53D682BC"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84,742</w:t>
            </w:r>
          </w:p>
        </w:tc>
        <w:tc>
          <w:tcPr>
            <w:tcW w:w="325" w:type="pct"/>
            <w:noWrap/>
            <w:vAlign w:val="center"/>
            <w:hideMark/>
          </w:tcPr>
          <w:p w14:paraId="67625650"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84,740</w:t>
            </w:r>
          </w:p>
        </w:tc>
        <w:tc>
          <w:tcPr>
            <w:tcW w:w="325" w:type="pct"/>
            <w:noWrap/>
            <w:vAlign w:val="center"/>
            <w:hideMark/>
          </w:tcPr>
          <w:p w14:paraId="42962A1B"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84,740</w:t>
            </w:r>
          </w:p>
        </w:tc>
        <w:tc>
          <w:tcPr>
            <w:tcW w:w="287" w:type="pct"/>
            <w:noWrap/>
            <w:vAlign w:val="center"/>
            <w:hideMark/>
          </w:tcPr>
          <w:p w14:paraId="15DA2EFE"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423,704</w:t>
            </w:r>
          </w:p>
        </w:tc>
        <w:tc>
          <w:tcPr>
            <w:tcW w:w="125" w:type="pct"/>
            <w:noWrap/>
            <w:vAlign w:val="center"/>
            <w:hideMark/>
          </w:tcPr>
          <w:p w14:paraId="6E49904D" w14:textId="77777777" w:rsidR="001E40B9" w:rsidRPr="00A51E75" w:rsidRDefault="001E40B9" w:rsidP="00B303D6">
            <w:pPr>
              <w:jc w:val="center"/>
              <w:rPr>
                <w:rFonts w:ascii="Aptos Narrow" w:hAnsi="Aptos Narrow"/>
                <w:b/>
                <w:bCs/>
                <w:color w:val="000000"/>
                <w:sz w:val="16"/>
                <w:szCs w:val="16"/>
              </w:rPr>
            </w:pPr>
          </w:p>
        </w:tc>
      </w:tr>
      <w:tr w:rsidR="001E40B9" w:rsidRPr="00A51E75" w14:paraId="5A97A088" w14:textId="77777777" w:rsidTr="00B303D6">
        <w:trPr>
          <w:trHeight w:val="300"/>
        </w:trPr>
        <w:tc>
          <w:tcPr>
            <w:tcW w:w="640" w:type="pct"/>
            <w:shd w:val="clear" w:color="auto" w:fill="BDD6EE" w:themeFill="accent5" w:themeFillTint="66"/>
            <w:noWrap/>
            <w:vAlign w:val="center"/>
            <w:hideMark/>
          </w:tcPr>
          <w:p w14:paraId="6B7265C9" w14:textId="77777777" w:rsidR="001E40B9" w:rsidRPr="00A51E75" w:rsidRDefault="001E40B9" w:rsidP="00B303D6">
            <w:pPr>
              <w:rPr>
                <w:rFonts w:ascii="Calibri" w:hAnsi="Calibri" w:cs="Calibri"/>
                <w:b/>
                <w:bCs/>
                <w:color w:val="000000"/>
                <w:sz w:val="16"/>
                <w:szCs w:val="16"/>
              </w:rPr>
            </w:pPr>
            <w:proofErr w:type="gramStart"/>
            <w:r w:rsidRPr="00A51E75">
              <w:rPr>
                <w:rFonts w:ascii="Calibri" w:hAnsi="Calibri" w:cs="Calibri"/>
                <w:b/>
                <w:bCs/>
                <w:color w:val="000000"/>
                <w:sz w:val="16"/>
                <w:szCs w:val="16"/>
              </w:rPr>
              <w:t>Total</w:t>
            </w:r>
            <w:proofErr w:type="gramEnd"/>
            <w:r w:rsidRPr="00A51E75">
              <w:rPr>
                <w:rFonts w:ascii="Calibri" w:hAnsi="Calibri" w:cs="Calibri"/>
                <w:b/>
                <w:bCs/>
                <w:color w:val="000000"/>
                <w:sz w:val="16"/>
                <w:szCs w:val="16"/>
              </w:rPr>
              <w:t xml:space="preserve"> general</w:t>
            </w:r>
          </w:p>
        </w:tc>
        <w:tc>
          <w:tcPr>
            <w:tcW w:w="650" w:type="pct"/>
            <w:shd w:val="clear" w:color="auto" w:fill="BDD6EE" w:themeFill="accent5" w:themeFillTint="66"/>
            <w:noWrap/>
            <w:vAlign w:val="center"/>
            <w:hideMark/>
          </w:tcPr>
          <w:p w14:paraId="1EB7C942" w14:textId="77777777" w:rsidR="001E40B9" w:rsidRPr="00A51E75" w:rsidRDefault="001E40B9" w:rsidP="00B303D6">
            <w:pPr>
              <w:rPr>
                <w:rFonts w:ascii="Calibri" w:hAnsi="Calibri" w:cs="Calibri"/>
                <w:b/>
                <w:bCs/>
                <w:color w:val="000000"/>
                <w:sz w:val="16"/>
                <w:szCs w:val="16"/>
              </w:rPr>
            </w:pPr>
          </w:p>
        </w:tc>
        <w:tc>
          <w:tcPr>
            <w:tcW w:w="295" w:type="pct"/>
            <w:shd w:val="clear" w:color="auto" w:fill="BDD6EE" w:themeFill="accent5" w:themeFillTint="66"/>
            <w:noWrap/>
            <w:vAlign w:val="center"/>
            <w:hideMark/>
          </w:tcPr>
          <w:p w14:paraId="0BB0988F" w14:textId="77777777" w:rsidR="001E40B9" w:rsidRPr="00A51E75" w:rsidRDefault="001E40B9" w:rsidP="00B303D6">
            <w:pPr>
              <w:rPr>
                <w:sz w:val="18"/>
                <w:szCs w:val="18"/>
              </w:rPr>
            </w:pPr>
          </w:p>
        </w:tc>
        <w:tc>
          <w:tcPr>
            <w:tcW w:w="246" w:type="pct"/>
            <w:shd w:val="clear" w:color="auto" w:fill="BDD6EE" w:themeFill="accent5" w:themeFillTint="66"/>
            <w:noWrap/>
            <w:vAlign w:val="center"/>
            <w:hideMark/>
          </w:tcPr>
          <w:p w14:paraId="10D9668A" w14:textId="77777777" w:rsidR="001E40B9" w:rsidRPr="00A51E75" w:rsidRDefault="001E40B9" w:rsidP="00B303D6">
            <w:pPr>
              <w:rPr>
                <w:sz w:val="18"/>
                <w:szCs w:val="18"/>
              </w:rPr>
            </w:pPr>
          </w:p>
        </w:tc>
        <w:tc>
          <w:tcPr>
            <w:tcW w:w="246" w:type="pct"/>
            <w:shd w:val="clear" w:color="auto" w:fill="BDD6EE" w:themeFill="accent5" w:themeFillTint="66"/>
            <w:noWrap/>
            <w:vAlign w:val="center"/>
            <w:hideMark/>
          </w:tcPr>
          <w:p w14:paraId="7F3F85A2" w14:textId="77777777" w:rsidR="001E40B9" w:rsidRPr="00A51E75" w:rsidRDefault="001E40B9" w:rsidP="00B303D6">
            <w:pPr>
              <w:rPr>
                <w:sz w:val="18"/>
                <w:szCs w:val="18"/>
              </w:rPr>
            </w:pPr>
          </w:p>
        </w:tc>
        <w:tc>
          <w:tcPr>
            <w:tcW w:w="246" w:type="pct"/>
            <w:shd w:val="clear" w:color="auto" w:fill="BDD6EE" w:themeFill="accent5" w:themeFillTint="66"/>
            <w:noWrap/>
            <w:vAlign w:val="center"/>
            <w:hideMark/>
          </w:tcPr>
          <w:p w14:paraId="42F69F52" w14:textId="77777777" w:rsidR="001E40B9" w:rsidRPr="00A51E75" w:rsidRDefault="001E40B9" w:rsidP="00B303D6">
            <w:pPr>
              <w:rPr>
                <w:sz w:val="18"/>
                <w:szCs w:val="18"/>
              </w:rPr>
            </w:pPr>
          </w:p>
        </w:tc>
        <w:tc>
          <w:tcPr>
            <w:tcW w:w="639" w:type="pct"/>
            <w:shd w:val="clear" w:color="auto" w:fill="BDD6EE" w:themeFill="accent5" w:themeFillTint="66"/>
            <w:vAlign w:val="center"/>
            <w:hideMark/>
          </w:tcPr>
          <w:p w14:paraId="0A4AF637" w14:textId="77777777" w:rsidR="001E40B9" w:rsidRPr="00A51E75" w:rsidRDefault="001E40B9" w:rsidP="00B303D6">
            <w:pPr>
              <w:rPr>
                <w:sz w:val="18"/>
                <w:szCs w:val="18"/>
              </w:rPr>
            </w:pPr>
          </w:p>
        </w:tc>
        <w:tc>
          <w:tcPr>
            <w:tcW w:w="325" w:type="pct"/>
            <w:shd w:val="clear" w:color="auto" w:fill="BDD6EE" w:themeFill="accent5" w:themeFillTint="66"/>
            <w:noWrap/>
            <w:vAlign w:val="center"/>
            <w:hideMark/>
          </w:tcPr>
          <w:p w14:paraId="78D46542"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1,131,015</w:t>
            </w:r>
          </w:p>
        </w:tc>
        <w:tc>
          <w:tcPr>
            <w:tcW w:w="325" w:type="pct"/>
            <w:shd w:val="clear" w:color="auto" w:fill="BDD6EE" w:themeFill="accent5" w:themeFillTint="66"/>
            <w:noWrap/>
            <w:vAlign w:val="center"/>
            <w:hideMark/>
          </w:tcPr>
          <w:p w14:paraId="073D878C"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3,043,436</w:t>
            </w:r>
          </w:p>
        </w:tc>
        <w:tc>
          <w:tcPr>
            <w:tcW w:w="326" w:type="pct"/>
            <w:shd w:val="clear" w:color="auto" w:fill="BDD6EE" w:themeFill="accent5" w:themeFillTint="66"/>
            <w:noWrap/>
            <w:vAlign w:val="center"/>
            <w:hideMark/>
          </w:tcPr>
          <w:p w14:paraId="5E85AEFE"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2,649,497</w:t>
            </w:r>
          </w:p>
        </w:tc>
        <w:tc>
          <w:tcPr>
            <w:tcW w:w="325" w:type="pct"/>
            <w:shd w:val="clear" w:color="auto" w:fill="BDD6EE" w:themeFill="accent5" w:themeFillTint="66"/>
            <w:noWrap/>
            <w:vAlign w:val="center"/>
            <w:hideMark/>
          </w:tcPr>
          <w:p w14:paraId="49973BC3"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1,520,261</w:t>
            </w:r>
          </w:p>
        </w:tc>
        <w:tc>
          <w:tcPr>
            <w:tcW w:w="325" w:type="pct"/>
            <w:shd w:val="clear" w:color="auto" w:fill="BDD6EE" w:themeFill="accent5" w:themeFillTint="66"/>
            <w:noWrap/>
            <w:vAlign w:val="center"/>
            <w:hideMark/>
          </w:tcPr>
          <w:p w14:paraId="49DC7A7C"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638,211</w:t>
            </w:r>
          </w:p>
        </w:tc>
        <w:tc>
          <w:tcPr>
            <w:tcW w:w="287" w:type="pct"/>
            <w:shd w:val="clear" w:color="auto" w:fill="BDD6EE" w:themeFill="accent5" w:themeFillTint="66"/>
            <w:noWrap/>
            <w:vAlign w:val="center"/>
            <w:hideMark/>
          </w:tcPr>
          <w:p w14:paraId="2A53CE4D" w14:textId="77777777" w:rsidR="001E40B9" w:rsidRPr="00A51E75" w:rsidRDefault="001E40B9" w:rsidP="00B303D6">
            <w:pPr>
              <w:jc w:val="right"/>
              <w:rPr>
                <w:rFonts w:ascii="Aptos Narrow" w:hAnsi="Aptos Narrow"/>
                <w:b/>
                <w:bCs/>
                <w:color w:val="000000"/>
                <w:sz w:val="16"/>
                <w:szCs w:val="16"/>
              </w:rPr>
            </w:pPr>
            <w:r w:rsidRPr="00A51E75">
              <w:rPr>
                <w:rFonts w:ascii="Aptos Narrow" w:hAnsi="Aptos Narrow"/>
                <w:b/>
                <w:bCs/>
                <w:color w:val="000000"/>
                <w:sz w:val="16"/>
                <w:szCs w:val="16"/>
              </w:rPr>
              <w:t>8,982,420</w:t>
            </w:r>
          </w:p>
        </w:tc>
        <w:tc>
          <w:tcPr>
            <w:tcW w:w="125" w:type="pct"/>
            <w:shd w:val="clear" w:color="auto" w:fill="BDD6EE" w:themeFill="accent5" w:themeFillTint="66"/>
            <w:noWrap/>
            <w:vAlign w:val="center"/>
            <w:hideMark/>
          </w:tcPr>
          <w:p w14:paraId="6C1E1EFC" w14:textId="77777777" w:rsidR="001E40B9" w:rsidRPr="00A51E75" w:rsidRDefault="001E40B9" w:rsidP="00B303D6">
            <w:pPr>
              <w:jc w:val="center"/>
              <w:rPr>
                <w:rFonts w:ascii="Aptos Narrow" w:hAnsi="Aptos Narrow"/>
                <w:b/>
                <w:bCs/>
                <w:color w:val="000000"/>
                <w:sz w:val="16"/>
                <w:szCs w:val="16"/>
              </w:rPr>
            </w:pPr>
          </w:p>
        </w:tc>
      </w:tr>
    </w:tbl>
    <w:p w14:paraId="78E4D9C9" w14:textId="77777777" w:rsidR="001E40B9" w:rsidRPr="00A51E75" w:rsidRDefault="001E40B9"/>
    <w:p w14:paraId="23602CF2" w14:textId="77777777" w:rsidR="001E40B9" w:rsidRPr="00A51E75" w:rsidRDefault="001E40B9"/>
    <w:p w14:paraId="4E73497A" w14:textId="02FDC165" w:rsidR="1D9DC7A6" w:rsidRPr="00A51E75" w:rsidRDefault="1D9DC7A6" w:rsidP="1D9DC7A6"/>
    <w:p w14:paraId="493D9C72" w14:textId="2A66CE3C" w:rsidR="1D9DC7A6" w:rsidRPr="00A51E75" w:rsidRDefault="69DEDD43" w:rsidP="005F74E6">
      <w:pPr>
        <w:pStyle w:val="Descripcin"/>
        <w:keepNext/>
        <w:jc w:val="center"/>
        <w:rPr>
          <w:rFonts w:asciiTheme="minorHAnsi" w:eastAsia="SimSun" w:hAnsiTheme="minorHAnsi" w:cstheme="minorBidi"/>
        </w:rPr>
      </w:pPr>
      <w:bookmarkStart w:id="60" w:name="_Toc201073157"/>
      <w:r w:rsidRPr="00A51E75">
        <w:t xml:space="preserve">Tabla </w:t>
      </w:r>
      <w:r w:rsidRPr="00A51E75">
        <w:fldChar w:fldCharType="begin"/>
      </w:r>
      <w:r w:rsidRPr="00A51E75">
        <w:instrText xml:space="preserve"> SEQ Tabla \* ARABIC </w:instrText>
      </w:r>
      <w:r w:rsidRPr="00A51E75">
        <w:fldChar w:fldCharType="separate"/>
      </w:r>
      <w:r w:rsidR="33B33FB5" w:rsidRPr="00A51E75">
        <w:rPr>
          <w:noProof/>
        </w:rPr>
        <w:t>12</w:t>
      </w:r>
      <w:r w:rsidRPr="00A51E75">
        <w:fldChar w:fldCharType="end"/>
      </w:r>
      <w:r w:rsidRPr="00A51E75">
        <w:t>: Notas del Presupuesto Total</w:t>
      </w:r>
      <w:bookmarkEnd w:id="60"/>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691"/>
        <w:gridCol w:w="13699"/>
      </w:tblGrid>
      <w:tr w:rsidR="001E40B9" w:rsidRPr="00A51E75" w14:paraId="5FA04834"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BA0C229"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Nota</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01456E2C"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Descripción</w:t>
            </w:r>
          </w:p>
        </w:tc>
      </w:tr>
      <w:tr w:rsidR="001E40B9" w:rsidRPr="00A51E75" w14:paraId="0E40B15F"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2FED1E7" w14:textId="77777777" w:rsidR="001E40B9" w:rsidRPr="00A51E75" w:rsidRDefault="001E40B9" w:rsidP="00B303D6">
            <w:pPr>
              <w:contextualSpacing/>
              <w:jc w:val="center"/>
              <w:rPr>
                <w:rFonts w:asciiTheme="minorHAnsi" w:eastAsiaTheme="minorEastAsia" w:hAnsiTheme="minorHAnsi" w:cstheme="minorHAnsi"/>
                <w:sz w:val="20"/>
                <w:szCs w:val="20"/>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4C75626" w14:textId="77777777" w:rsidR="001E40B9" w:rsidRPr="00D1515D" w:rsidRDefault="001E40B9" w:rsidP="00B303D6">
            <w:pPr>
              <w:contextualSpacing/>
              <w:rPr>
                <w:rFonts w:asciiTheme="minorHAnsi" w:eastAsiaTheme="minorEastAsia" w:hAnsiTheme="minorHAnsi" w:cstheme="minorHAnsi"/>
                <w:b/>
                <w:bCs/>
                <w:sz w:val="20"/>
                <w:szCs w:val="20"/>
              </w:rPr>
            </w:pPr>
            <w:r w:rsidRPr="00D1515D">
              <w:rPr>
                <w:rFonts w:asciiTheme="minorHAnsi" w:eastAsiaTheme="minorEastAsia" w:hAnsiTheme="minorHAnsi" w:cstheme="minorHAnsi"/>
                <w:b/>
                <w:bCs/>
                <w:sz w:val="20"/>
                <w:szCs w:val="20"/>
              </w:rPr>
              <w:t>Componente 1</w:t>
            </w:r>
          </w:p>
        </w:tc>
      </w:tr>
      <w:tr w:rsidR="001E40B9" w:rsidRPr="007D4F41" w14:paraId="7D639220"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2E13A83"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58EABD9" w14:textId="7417C4F4" w:rsidR="001E40B9" w:rsidRPr="00D830D9" w:rsidRDefault="001E40B9" w:rsidP="00B303D6">
            <w:pPr>
              <w:contextualSpacing/>
              <w:rPr>
                <w:rFonts w:asciiTheme="minorHAnsi" w:eastAsiaTheme="minorEastAsia" w:hAnsiTheme="minorHAnsi" w:cstheme="minorHAnsi"/>
                <w:sz w:val="20"/>
                <w:szCs w:val="20"/>
                <w:lang w:val="es-EC"/>
              </w:rPr>
            </w:pPr>
            <w:r w:rsidRPr="00A51E75">
              <w:rPr>
                <w:rFonts w:asciiTheme="minorHAnsi" w:eastAsiaTheme="minorEastAsia" w:hAnsiTheme="minorHAnsi" w:cstheme="minorHAnsi"/>
                <w:sz w:val="20"/>
                <w:szCs w:val="20"/>
              </w:rPr>
              <w:t xml:space="preserve">Consultoría Internacional – </w:t>
            </w:r>
            <w:r w:rsidR="00DF5BFB" w:rsidRPr="00DF5BFB">
              <w:rPr>
                <w:rFonts w:asciiTheme="minorHAnsi" w:eastAsiaTheme="minorEastAsia" w:hAnsiTheme="minorHAnsi" w:cstheme="minorHAnsi"/>
                <w:sz w:val="20"/>
                <w:szCs w:val="20"/>
              </w:rPr>
              <w:t>Evaluación de Impacto Social y Ambiental</w:t>
            </w:r>
            <w:r w:rsidR="00DF5BFB">
              <w:rPr>
                <w:rFonts w:asciiTheme="minorHAnsi" w:eastAsiaTheme="minorEastAsia" w:hAnsiTheme="minorHAnsi" w:cstheme="minorHAnsi"/>
                <w:sz w:val="20"/>
                <w:szCs w:val="20"/>
              </w:rPr>
              <w:t xml:space="preserve"> (</w:t>
            </w:r>
            <w:r w:rsidRPr="00A51E75">
              <w:rPr>
                <w:rFonts w:asciiTheme="minorHAnsi" w:eastAsiaTheme="minorEastAsia" w:hAnsiTheme="minorHAnsi" w:cstheme="minorHAnsi"/>
                <w:sz w:val="20"/>
                <w:szCs w:val="20"/>
              </w:rPr>
              <w:t>ESIA</w:t>
            </w:r>
            <w:r w:rsidR="00D1515D">
              <w:rPr>
                <w:rFonts w:asciiTheme="minorHAnsi" w:eastAsiaTheme="minorEastAsia" w:hAnsiTheme="minorHAnsi" w:cstheme="minorHAnsi"/>
                <w:sz w:val="20"/>
                <w:szCs w:val="20"/>
              </w:rPr>
              <w:t xml:space="preserve"> por sigla en inglés)</w:t>
            </w:r>
            <w:r w:rsidRPr="00A51E75">
              <w:rPr>
                <w:rFonts w:asciiTheme="minorHAnsi" w:eastAsiaTheme="minorEastAsia" w:hAnsiTheme="minorHAnsi" w:cstheme="minorHAnsi"/>
                <w:sz w:val="20"/>
                <w:szCs w:val="20"/>
              </w:rPr>
              <w:t xml:space="preserve">. Un equipo de consultoría (Anexo 7 </w:t>
            </w:r>
            <w:r w:rsidR="00356E75">
              <w:rPr>
                <w:rFonts w:asciiTheme="minorHAnsi" w:eastAsiaTheme="minorEastAsia" w:hAnsiTheme="minorHAnsi" w:cstheme="minorHAnsi"/>
                <w:sz w:val="20"/>
                <w:szCs w:val="20"/>
              </w:rPr>
              <w:t>TDR</w:t>
            </w:r>
            <w:r w:rsidRPr="00A51E75">
              <w:rPr>
                <w:rFonts w:asciiTheme="minorHAnsi" w:eastAsiaTheme="minorEastAsia" w:hAnsiTheme="minorHAnsi" w:cstheme="minorHAnsi"/>
                <w:sz w:val="20"/>
                <w:szCs w:val="20"/>
              </w:rPr>
              <w:t xml:space="preserve"> #26) para realizar Evaluaciones de Impacto Ambiental y Social (ESIA), total: USD 13.151 (Año 1). </w:t>
            </w:r>
          </w:p>
        </w:tc>
      </w:tr>
      <w:tr w:rsidR="001E40B9" w:rsidRPr="00A51E75" w14:paraId="791F57EF"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FE9BDD9"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5252125"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Personal Técnico – Política, Coordinación Territorial y Facilitación. Contratación de:</w:t>
            </w:r>
          </w:p>
          <w:p w14:paraId="2C757743" w14:textId="1F2A6594" w:rsidR="001E40B9" w:rsidRPr="00A51E75" w:rsidRDefault="001E40B9" w:rsidP="00EC2CBE">
            <w:pPr>
              <w:pStyle w:val="Prrafodelista"/>
              <w:numPr>
                <w:ilvl w:val="0"/>
                <w:numId w:val="93"/>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Coordinador de Política Ambiental y Regulación (36 meses, 2.412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#3</w:t>
            </w:r>
          </w:p>
          <w:p w14:paraId="316D11B1" w14:textId="486BD35F" w:rsidR="001E40B9" w:rsidRPr="00A51E75" w:rsidRDefault="1F7FA275" w:rsidP="00EC2CBE">
            <w:pPr>
              <w:pStyle w:val="Prrafodelista"/>
              <w:numPr>
                <w:ilvl w:val="0"/>
                <w:numId w:val="93"/>
              </w:numPr>
              <w:rPr>
                <w:rFonts w:asciiTheme="minorHAnsi" w:eastAsiaTheme="minorEastAsia" w:hAnsiTheme="minorHAnsi" w:cstheme="minorBidi"/>
              </w:rPr>
            </w:pPr>
            <w:r w:rsidRPr="00A51E75">
              <w:rPr>
                <w:rFonts w:asciiTheme="minorHAnsi" w:eastAsiaTheme="minorEastAsia" w:hAnsiTheme="minorHAnsi" w:cstheme="minorBidi"/>
                <w:sz w:val="20"/>
                <w:szCs w:val="20"/>
              </w:rPr>
              <w:t xml:space="preserve">Asistente de Coordinación para Articulación Interinstitucional y Político-Técnico – Quito (18 meses, 1.795 USD/mes). </w:t>
            </w:r>
            <w:r w:rsidR="253673C7" w:rsidRPr="00A51E75">
              <w:rPr>
                <w:rFonts w:asciiTheme="minorHAnsi" w:eastAsiaTheme="minorEastAsia" w:hAnsiTheme="minorHAnsi" w:cstheme="minorBidi"/>
                <w:i/>
                <w:iCs/>
                <w:sz w:val="20"/>
                <w:szCs w:val="20"/>
              </w:rPr>
              <w:t xml:space="preserve">Anexo 7 </w:t>
            </w:r>
            <w:r w:rsidR="00356E75">
              <w:rPr>
                <w:rFonts w:asciiTheme="minorHAnsi" w:eastAsiaTheme="minorEastAsia" w:hAnsiTheme="minorHAnsi" w:cstheme="minorBidi"/>
                <w:i/>
                <w:iCs/>
                <w:sz w:val="20"/>
                <w:szCs w:val="20"/>
              </w:rPr>
              <w:t>TDR</w:t>
            </w:r>
            <w:r w:rsidR="253673C7" w:rsidRPr="00A51E75">
              <w:rPr>
                <w:rFonts w:asciiTheme="minorHAnsi" w:eastAsiaTheme="minorEastAsia" w:hAnsiTheme="minorHAnsi" w:cstheme="minorBidi"/>
                <w:i/>
                <w:iCs/>
                <w:sz w:val="20"/>
                <w:szCs w:val="20"/>
              </w:rPr>
              <w:t xml:space="preserve"> #4</w:t>
            </w:r>
          </w:p>
          <w:p w14:paraId="404C90A9" w14:textId="5C54A67F" w:rsidR="001E40B9" w:rsidRPr="00A51E75" w:rsidRDefault="001E40B9" w:rsidP="00EC2CBE">
            <w:pPr>
              <w:pStyle w:val="Prrafodelista"/>
              <w:numPr>
                <w:ilvl w:val="0"/>
                <w:numId w:val="93"/>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3 Facilitadores Técnicos – Soluciones de Unidades Hidrográficas (12 meses cada una,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#5</w:t>
            </w:r>
          </w:p>
          <w:p w14:paraId="545689AC" w14:textId="0B677682" w:rsidR="001E40B9" w:rsidRPr="00A51E75" w:rsidRDefault="001E40B9" w:rsidP="00EC2CBE">
            <w:pPr>
              <w:pStyle w:val="Prrafodelista"/>
              <w:numPr>
                <w:ilvl w:val="0"/>
                <w:numId w:val="93"/>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Coordinadores Territoriales (48 meses cada uno, 2.500 USD al 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#6</w:t>
            </w:r>
          </w:p>
          <w:p w14:paraId="16EC6301" w14:textId="1E8D157A" w:rsidR="001E40B9" w:rsidRPr="00A51E75" w:rsidRDefault="001E40B9" w:rsidP="00EC2CBE">
            <w:pPr>
              <w:pStyle w:val="Prrafodelista"/>
              <w:numPr>
                <w:ilvl w:val="0"/>
                <w:numId w:val="93"/>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facilitadores comunitarios y enlaces de comunicación local (54 meses cada uno, 1.167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#7</w:t>
            </w:r>
          </w:p>
          <w:p w14:paraId="059ED6D6" w14:textId="6122B6B1" w:rsidR="001E40B9" w:rsidRPr="00A51E75" w:rsidRDefault="001E40B9" w:rsidP="00EC2CBE">
            <w:pPr>
              <w:pStyle w:val="Prrafodelista"/>
              <w:numPr>
                <w:ilvl w:val="0"/>
                <w:numId w:val="93"/>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Especialista en Diseño de Proyectos y Movilización de Recursos (18 meses, 1.795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#8</w:t>
            </w:r>
          </w:p>
          <w:p w14:paraId="39A48F6F"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Total: USD 569.580 (años 1–5).</w:t>
            </w:r>
          </w:p>
        </w:tc>
      </w:tr>
      <w:tr w:rsidR="001E40B9" w:rsidRPr="00A51E75" w14:paraId="5BD81890"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27D5805"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DA69CBE"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hAnsiTheme="minorHAnsi" w:cstheme="minorHAnsi"/>
                <w:sz w:val="20"/>
                <w:szCs w:val="20"/>
              </w:rPr>
              <w:t>Misiones Técnicas para la Validación Territorial de la Planificación y la Gobernanza (Resultado 1.1). Cada misión tendrá una duración estimada de tres días y está alineada con los Indicadores 6 y 7. Total: USD 60.594</w:t>
            </w:r>
          </w:p>
        </w:tc>
      </w:tr>
      <w:tr w:rsidR="001E40B9" w:rsidRPr="007D4F41" w14:paraId="37E85377"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0C33299A"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4</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1CFB1E5" w14:textId="1F877536" w:rsidR="001E40B9" w:rsidRPr="00356E75" w:rsidRDefault="001E40B9" w:rsidP="00B303D6">
            <w:pPr>
              <w:contextualSpacing/>
              <w:rPr>
                <w:rFonts w:asciiTheme="minorHAnsi" w:eastAsiaTheme="minorEastAsia" w:hAnsiTheme="minorHAnsi" w:cstheme="minorHAnsi"/>
                <w:sz w:val="20"/>
                <w:szCs w:val="20"/>
                <w:lang w:val="es-EC"/>
              </w:rPr>
            </w:pPr>
            <w:r w:rsidRPr="00A51E75">
              <w:rPr>
                <w:rFonts w:asciiTheme="minorHAnsi" w:eastAsiaTheme="minorEastAsia" w:hAnsiTheme="minorHAnsi" w:cstheme="minorHAnsi"/>
                <w:sz w:val="20"/>
                <w:szCs w:val="20"/>
              </w:rPr>
              <w:t xml:space="preserve">Servicios contractuales – Empresas. Diseño e implementación de un programa de formación en gestión y gobernanza territorial con enfoque en género y planificación participativa. </w:t>
            </w:r>
            <w:r w:rsidR="00356E75">
              <w:rPr>
                <w:rFonts w:asciiTheme="minorHAnsi" w:eastAsiaTheme="minorEastAsia" w:hAnsiTheme="minorHAnsi" w:cstheme="minorHAnsi"/>
                <w:sz w:val="20"/>
                <w:szCs w:val="20"/>
              </w:rPr>
              <w:t>El contratista</w:t>
            </w:r>
            <w:r w:rsidRPr="00A51E75">
              <w:rPr>
                <w:rFonts w:asciiTheme="minorHAnsi" w:eastAsiaTheme="minorEastAsia" w:hAnsiTheme="minorHAnsi" w:cstheme="minorHAnsi"/>
                <w:sz w:val="20"/>
                <w:szCs w:val="20"/>
              </w:rPr>
              <w:t xml:space="preserve"> ofrecerá al menos 16 eventos presenciales. Total: USD 146.245 (años 1–5).</w:t>
            </w:r>
          </w:p>
        </w:tc>
      </w:tr>
      <w:tr w:rsidR="001E40B9" w:rsidRPr="00A51E75" w14:paraId="109CF0CF"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6D6DBB0" w14:textId="77777777" w:rsidR="001E40B9" w:rsidRPr="00356E75" w:rsidRDefault="001E40B9" w:rsidP="00B303D6">
            <w:pPr>
              <w:contextualSpacing/>
              <w:jc w:val="center"/>
              <w:rPr>
                <w:rFonts w:asciiTheme="minorHAnsi" w:eastAsiaTheme="minorEastAsia" w:hAnsiTheme="minorHAnsi" w:cstheme="minorHAnsi"/>
                <w:sz w:val="20"/>
                <w:szCs w:val="20"/>
                <w:lang w:val="es-EC"/>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BB6D883" w14:textId="77777777" w:rsidR="001E40B9" w:rsidRPr="00D1515D" w:rsidRDefault="001E40B9" w:rsidP="00B303D6">
            <w:pPr>
              <w:contextualSpacing/>
              <w:rPr>
                <w:rFonts w:asciiTheme="minorHAnsi" w:eastAsiaTheme="minorEastAsia" w:hAnsiTheme="minorHAnsi" w:cstheme="minorHAnsi"/>
                <w:b/>
                <w:bCs/>
                <w:sz w:val="20"/>
                <w:szCs w:val="20"/>
              </w:rPr>
            </w:pPr>
            <w:r w:rsidRPr="00D1515D">
              <w:rPr>
                <w:rFonts w:asciiTheme="minorHAnsi" w:eastAsiaTheme="minorEastAsia" w:hAnsiTheme="minorHAnsi" w:cstheme="minorHAnsi"/>
                <w:b/>
                <w:bCs/>
                <w:sz w:val="20"/>
                <w:szCs w:val="20"/>
              </w:rPr>
              <w:t>Componente 2 – Resultado 2.1</w:t>
            </w:r>
          </w:p>
        </w:tc>
      </w:tr>
      <w:tr w:rsidR="001E40B9" w:rsidRPr="00A51E75" w14:paraId="1FA6F5CE"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FCEF928"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5</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2396A11"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Consultores – Planes de Gestión de Áreas de Protección del Agua. Cuatro consultores locales para desarrollar, actualizar y proporcionar soporte técnico para ocho planes de gestión en territorios prioritarios de la cuenca del río Napo. Total: USD 233.366 (años 1–5).</w:t>
            </w:r>
          </w:p>
        </w:tc>
      </w:tr>
      <w:tr w:rsidR="001E40B9" w:rsidRPr="00A51E75" w14:paraId="35780615"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3309B67"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6</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AC6A7C4"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Personal Técnico – Gestión Forestal, Agua y Territorial. Contratación de:</w:t>
            </w:r>
          </w:p>
          <w:p w14:paraId="121EF2E2" w14:textId="001972ED" w:rsidR="001E40B9" w:rsidRPr="00A51E75" w:rsidRDefault="001E40B9" w:rsidP="00EC2CBE">
            <w:pPr>
              <w:pStyle w:val="Prrafodelista"/>
              <w:numPr>
                <w:ilvl w:val="0"/>
                <w:numId w:val="92"/>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lastRenderedPageBreak/>
              <w:t xml:space="preserve">Especialista Senior – Gestión Sostenible de Bosques y Cuencas (36 meses, USD 2.412/mes).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#11</w:t>
            </w:r>
          </w:p>
          <w:p w14:paraId="48587210" w14:textId="0DF2A1B8" w:rsidR="001E40B9" w:rsidRPr="00A51E75" w:rsidRDefault="001E40B9" w:rsidP="00EC2CBE">
            <w:pPr>
              <w:pStyle w:val="Prrafodelista"/>
              <w:numPr>
                <w:ilvl w:val="0"/>
                <w:numId w:val="92"/>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Asistente Técnico – </w:t>
            </w:r>
            <w:r w:rsidR="00E26F5E">
              <w:rPr>
                <w:rFonts w:asciiTheme="minorHAnsi" w:eastAsiaTheme="minorEastAsia" w:hAnsiTheme="minorHAnsi" w:cstheme="minorHAnsi"/>
                <w:sz w:val="20"/>
                <w:szCs w:val="20"/>
              </w:rPr>
              <w:t>MFS</w:t>
            </w:r>
            <w:r w:rsidRPr="00A51E75">
              <w:rPr>
                <w:rFonts w:asciiTheme="minorHAnsi" w:eastAsiaTheme="minorEastAsia" w:hAnsiTheme="minorHAnsi" w:cstheme="minorHAnsi"/>
                <w:sz w:val="20"/>
                <w:szCs w:val="20"/>
              </w:rPr>
              <w:t xml:space="preserve"> y Recursos Hídricos (54 meses,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#12</w:t>
            </w:r>
          </w:p>
          <w:p w14:paraId="041C9EDE" w14:textId="2692F16E" w:rsidR="001E40B9" w:rsidRPr="00A51E75" w:rsidRDefault="001E40B9" w:rsidP="00EC2CBE">
            <w:pPr>
              <w:pStyle w:val="Prrafodelista"/>
              <w:numPr>
                <w:ilvl w:val="0"/>
                <w:numId w:val="92"/>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Asistentes Técnicos – Restauración Productiva y Gestión Territorial (54 meses cada uno, 1.795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#13</w:t>
            </w:r>
          </w:p>
          <w:p w14:paraId="59074FF6" w14:textId="5EBB9DD3" w:rsidR="001E40B9" w:rsidRPr="00A51E75" w:rsidRDefault="001E40B9" w:rsidP="00EC2CBE">
            <w:pPr>
              <w:pStyle w:val="Prrafodelista"/>
              <w:numPr>
                <w:ilvl w:val="0"/>
                <w:numId w:val="92"/>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técnicos locales – Recursos hídricos y soporte cartográfico (54 meses cada uno, 1.795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#14</w:t>
            </w:r>
          </w:p>
          <w:p w14:paraId="08937BBE" w14:textId="1AB9172C" w:rsidR="001E40B9" w:rsidRPr="00A51E75" w:rsidRDefault="001E40B9" w:rsidP="00EC2CBE">
            <w:pPr>
              <w:pStyle w:val="Prrafodelista"/>
              <w:numPr>
                <w:ilvl w:val="0"/>
                <w:numId w:val="92"/>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Facilitador Técnico – Implementación de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(54 meses,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TDR</w:t>
            </w:r>
            <w:r w:rsidRPr="00A51E75">
              <w:rPr>
                <w:rFonts w:asciiTheme="minorHAnsi" w:eastAsiaTheme="minorEastAsia" w:hAnsiTheme="minorHAnsi" w:cstheme="minorHAnsi"/>
                <w:i/>
                <w:iCs/>
                <w:sz w:val="20"/>
                <w:szCs w:val="20"/>
              </w:rPr>
              <w:t xml:space="preserve"> #16</w:t>
            </w:r>
          </w:p>
          <w:p w14:paraId="1CFEE6AA" w14:textId="7FDA0F6F" w:rsidR="001E40B9" w:rsidRPr="00A51E75" w:rsidRDefault="001E40B9" w:rsidP="00EC2CBE">
            <w:pPr>
              <w:pStyle w:val="Prrafodelista"/>
              <w:numPr>
                <w:ilvl w:val="0"/>
                <w:numId w:val="92"/>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Promotores Territoriales – Apoyo Comunitario (54 meses cada uno, 1.167 USD/mes). </w:t>
            </w:r>
            <w:r w:rsidRPr="00A51E75">
              <w:rPr>
                <w:rFonts w:asciiTheme="minorHAnsi" w:eastAsiaTheme="minorEastAsia" w:hAnsiTheme="minorHAnsi" w:cstheme="minorHAnsi"/>
                <w:i/>
                <w:iCs/>
                <w:sz w:val="20"/>
                <w:szCs w:val="20"/>
              </w:rPr>
              <w:t>Anexo 7</w:t>
            </w:r>
            <w:r w:rsidR="00356E75">
              <w:rPr>
                <w:rFonts w:asciiTheme="minorHAnsi" w:eastAsiaTheme="minorEastAsia" w:hAnsiTheme="minorHAnsi" w:cstheme="minorHAnsi"/>
                <w:i/>
                <w:iCs/>
                <w:sz w:val="20"/>
                <w:szCs w:val="20"/>
              </w:rPr>
              <w:t xml:space="preserve"> TdR </w:t>
            </w:r>
            <w:r w:rsidRPr="00A51E75">
              <w:rPr>
                <w:rFonts w:asciiTheme="minorHAnsi" w:eastAsiaTheme="minorEastAsia" w:hAnsiTheme="minorHAnsi" w:cstheme="minorHAnsi"/>
                <w:i/>
                <w:iCs/>
                <w:sz w:val="20"/>
                <w:szCs w:val="20"/>
              </w:rPr>
              <w:t>#17</w:t>
            </w:r>
          </w:p>
          <w:p w14:paraId="79E3DBE6"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Total: USD 756.854 (años 1–5).</w:t>
            </w:r>
          </w:p>
        </w:tc>
      </w:tr>
      <w:tr w:rsidR="001E40B9" w:rsidRPr="00A51E75" w14:paraId="0F90EF59"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88E3376"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lastRenderedPageBreak/>
              <w:t>7</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2591BEB"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hAnsiTheme="minorHAnsi" w:cstheme="minorHAnsi"/>
                <w:sz w:val="20"/>
                <w:szCs w:val="20"/>
              </w:rPr>
              <w:t>Viajes técnicos para monitorización, restauración y formación in situ. Garantiza cobertura operativa continua en comunidades rurales e intervenciones directas en los Indicadores 2, 3 y 10. Total: 145.690 USD.</w:t>
            </w:r>
          </w:p>
        </w:tc>
      </w:tr>
      <w:tr w:rsidR="001E40B9" w:rsidRPr="00A51E75" w14:paraId="41E5159D"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63AEF2A"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8</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DF6032F"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Vehículos – Operaciones de campo. Adquisición de dos vehículos 4x4 de doble cabina para apoyar la restauración, el seguimiento y la logística en los territorios prioritarios. Los vehículos servirán al equipo técnico para acceder a comunidades remotas y transportar materiales, asegurando la eficacia de las actividades bajo los Resultados 1.1, 2.1, 2.2, 3.1 y 4.1. Total: USD 109.812 (Año 1).</w:t>
            </w:r>
          </w:p>
        </w:tc>
      </w:tr>
      <w:tr w:rsidR="001E40B9" w:rsidRPr="00A51E75" w14:paraId="09926CB9"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0C7B0553"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9</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687FA19" w14:textId="7F99FBDA"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Suministros y materiales – Restauración y Supervisión Comunitaria. Adquisición de herramientas, materiales y suministros para la restauración ecológica, monitoreo participativo del agua y la biodiversidad, y bioempresas </w:t>
            </w:r>
            <w:r w:rsidR="00414574">
              <w:rPr>
                <w:rFonts w:asciiTheme="minorHAnsi" w:eastAsiaTheme="minorEastAsia" w:hAnsiTheme="minorHAnsi" w:cstheme="minorHAnsi"/>
                <w:sz w:val="20"/>
                <w:szCs w:val="20"/>
              </w:rPr>
              <w:t>PFNM</w:t>
            </w:r>
            <w:r w:rsidRPr="00A51E75">
              <w:rPr>
                <w:rFonts w:asciiTheme="minorHAnsi" w:eastAsiaTheme="minorEastAsia" w:hAnsiTheme="minorHAnsi" w:cstheme="minorHAnsi"/>
                <w:sz w:val="20"/>
                <w:szCs w:val="20"/>
              </w:rPr>
              <w:t>. Total: USD 42.107 (años 1–5).</w:t>
            </w:r>
          </w:p>
        </w:tc>
      </w:tr>
      <w:tr w:rsidR="001E40B9" w:rsidRPr="00A51E75" w14:paraId="693D3713"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161AE4D"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10</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B68A98C" w14:textId="421FCFEE"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Subvenciones de bajo valor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para iniciativas lideradas por la comunidad. Apoyar iniciativas comunitarias en restauración ecológica y monitoreo participativo del agua. Se otorgarán al menos 56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(USD 15,000–25,000 cada uno) durante los años 1–5, priorizando a mujeres, jóvenes y pueblos indígenas. Las subvenciones se administrarán conforme a las políticas del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del PNUD para garantizar la transparencia y la sostenibilidad. Total: 1.133.905 USD.</w:t>
            </w:r>
          </w:p>
        </w:tc>
      </w:tr>
      <w:tr w:rsidR="001E40B9" w:rsidRPr="00A51E75" w14:paraId="388D3D26"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C76BE39"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11</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26C873F" w14:textId="74F2E085"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Alquiler y mantenimiento de otros equipos: Esta línea presupuestaria cubrirá el alquiler, mantenimiento y apoyo operativo de equipos técnicos </w:t>
            </w:r>
            <w:r w:rsidR="00D1515D" w:rsidRPr="00A51E75">
              <w:rPr>
                <w:rFonts w:asciiTheme="minorHAnsi" w:eastAsiaTheme="minorEastAsia" w:hAnsiTheme="minorHAnsi" w:cstheme="minorHAnsi"/>
                <w:sz w:val="20"/>
                <w:szCs w:val="20"/>
              </w:rPr>
              <w:t>claves utilizados</w:t>
            </w:r>
            <w:r w:rsidRPr="00A51E75">
              <w:rPr>
                <w:rFonts w:asciiTheme="minorHAnsi" w:eastAsiaTheme="minorEastAsia" w:hAnsiTheme="minorHAnsi" w:cstheme="minorHAnsi"/>
                <w:sz w:val="20"/>
                <w:szCs w:val="20"/>
              </w:rPr>
              <w:t xml:space="preserve"> en la monitorización ambiental, la restauración ecológica y la gestión participativa de recursos hídricos. Incluye tabletas, dispositivos GPS, estaciones portátiles de monitorización y kits de análisis de agua y suelo. Coste total: USD 29.186 (</w:t>
            </w:r>
          </w:p>
        </w:tc>
      </w:tr>
      <w:tr w:rsidR="001E40B9" w:rsidRPr="00A51E75" w14:paraId="027075BB"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D6FBCAA"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12</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2A581C6"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Alquiler, mantenimiento y operación de vehículos: Esta línea presupuestaria también incluye el mantenimiento preventivo y correctivo de los dos vehículos 4x4 asignados al proyecto, incluyendo seguros, repuestos, combustible y gastos operativos relacionados. Coste total: USD 19.458 </w:t>
            </w:r>
          </w:p>
        </w:tc>
      </w:tr>
      <w:tr w:rsidR="001E40B9" w:rsidRPr="00A51E75" w14:paraId="16536BC1"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F613085"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13</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3E8F30E4"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Formación – Escuelas de Campo para Agricultores (FFS). Implementación de FFS en seis comunidades con módulos sobre restauración, supervisión, planificación de gestión y gobernanza forestal, utilizando metodologías inclusivas para mujeres, jóvenes y actores diversos. Total: 40.000 USD (años 2–5).</w:t>
            </w:r>
          </w:p>
        </w:tc>
      </w:tr>
      <w:tr w:rsidR="001E40B9" w:rsidRPr="00A51E75" w14:paraId="1D6BD2D0"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959852F" w14:textId="77777777" w:rsidR="001E40B9" w:rsidRPr="00A51E75" w:rsidRDefault="001E40B9" w:rsidP="00B303D6">
            <w:pPr>
              <w:contextualSpacing/>
              <w:jc w:val="center"/>
              <w:rPr>
                <w:rFonts w:asciiTheme="minorHAnsi" w:eastAsiaTheme="minorEastAsia" w:hAnsiTheme="minorHAnsi" w:cstheme="minorHAnsi"/>
                <w:sz w:val="20"/>
                <w:szCs w:val="20"/>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A572D26" w14:textId="77777777" w:rsidR="001E40B9" w:rsidRPr="00D1515D" w:rsidRDefault="001E40B9" w:rsidP="00B303D6">
            <w:pPr>
              <w:contextualSpacing/>
              <w:rPr>
                <w:rFonts w:asciiTheme="minorHAnsi" w:eastAsiaTheme="minorEastAsia" w:hAnsiTheme="minorHAnsi" w:cstheme="minorHAnsi"/>
                <w:b/>
                <w:bCs/>
                <w:sz w:val="20"/>
                <w:szCs w:val="20"/>
              </w:rPr>
            </w:pPr>
            <w:r w:rsidRPr="00D1515D">
              <w:rPr>
                <w:rFonts w:asciiTheme="minorHAnsi" w:eastAsiaTheme="minorEastAsia" w:hAnsiTheme="minorHAnsi" w:cstheme="minorHAnsi"/>
                <w:b/>
                <w:bCs/>
                <w:sz w:val="20"/>
                <w:szCs w:val="20"/>
              </w:rPr>
              <w:t>Componente 2: Resultado 2.2</w:t>
            </w:r>
          </w:p>
        </w:tc>
      </w:tr>
      <w:tr w:rsidR="001E40B9" w:rsidRPr="00A51E75" w14:paraId="44002295"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C833E64"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14</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1FD7172" w14:textId="77777777" w:rsidR="001E40B9" w:rsidRPr="00D830D9" w:rsidRDefault="001E40B9" w:rsidP="00B303D6">
            <w:pPr>
              <w:contextualSpacing/>
              <w:rPr>
                <w:rFonts w:asciiTheme="minorHAnsi" w:eastAsiaTheme="minorEastAsia" w:hAnsiTheme="minorHAnsi" w:cstheme="minorHAnsi"/>
                <w:sz w:val="20"/>
                <w:szCs w:val="20"/>
                <w:lang w:val="es-EC"/>
              </w:rPr>
            </w:pPr>
            <w:r w:rsidRPr="00A51E75">
              <w:rPr>
                <w:rFonts w:asciiTheme="minorHAnsi" w:eastAsiaTheme="minorEastAsia" w:hAnsiTheme="minorHAnsi" w:cstheme="minorHAnsi"/>
                <w:sz w:val="20"/>
                <w:szCs w:val="20"/>
              </w:rPr>
              <w:t>Consultores – Metodología de trazabilidad. Dos consultores locales para diseñar, validar e implementar un sistema de trazabilidad en tres centros piloto de recogida, integrando producción sostenible, control de recursos y perspectiva de género.</w:t>
            </w:r>
          </w:p>
          <w:p w14:paraId="52F60A90"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Total: USD 156.621 (Años 1–3).</w:t>
            </w:r>
          </w:p>
        </w:tc>
      </w:tr>
      <w:tr w:rsidR="001E40B9" w:rsidRPr="00A51E75" w14:paraId="737E7757"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43B9A06"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15</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0D90C79A"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Personal Técnico – Bioeconomía, Restauración y Gestión del Territorio. Contratación de:</w:t>
            </w:r>
          </w:p>
          <w:p w14:paraId="0646163F" w14:textId="1BDDE885" w:rsidR="001E40B9" w:rsidRPr="00A51E75" w:rsidRDefault="001E40B9" w:rsidP="00EC2CBE">
            <w:pPr>
              <w:pStyle w:val="Prrafodelista"/>
              <w:numPr>
                <w:ilvl w:val="0"/>
                <w:numId w:val="91"/>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Especialista Senior – Bioeconomía y Producción Responsable (36 meses, 2.412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#9</w:t>
            </w:r>
          </w:p>
          <w:p w14:paraId="49D0244F" w14:textId="1DC4C785" w:rsidR="001E40B9" w:rsidRPr="00A51E75" w:rsidRDefault="001E40B9" w:rsidP="00EC2CBE">
            <w:pPr>
              <w:pStyle w:val="Prrafodelista"/>
              <w:numPr>
                <w:ilvl w:val="0"/>
                <w:numId w:val="91"/>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Asistentes Técnicos – Restauración Productiva y Gestión Territorial (54 meses cada uno, 1.795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#10</w:t>
            </w:r>
          </w:p>
          <w:p w14:paraId="510DD818" w14:textId="710B8EBD" w:rsidR="001E40B9" w:rsidRPr="00A51E75" w:rsidRDefault="001E40B9" w:rsidP="00EC2CBE">
            <w:pPr>
              <w:pStyle w:val="Prrafodelista"/>
              <w:numPr>
                <w:ilvl w:val="0"/>
                <w:numId w:val="91"/>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técnicos locales – Gestión sostenible de tierras y producción (54 meses cada uno,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#13</w:t>
            </w:r>
          </w:p>
          <w:p w14:paraId="1B27F20E" w14:textId="549ED68D" w:rsidR="001E40B9" w:rsidRPr="00A51E75" w:rsidRDefault="001E40B9" w:rsidP="00EC2CBE">
            <w:pPr>
              <w:pStyle w:val="Prrafodelista"/>
              <w:numPr>
                <w:ilvl w:val="0"/>
                <w:numId w:val="91"/>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Asociado Técnico – Producción Sostenible y Bioeconomía (42 meses,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#15</w:t>
            </w:r>
          </w:p>
          <w:p w14:paraId="667DB4B0" w14:textId="635CE9F4" w:rsidR="001E40B9" w:rsidRPr="00A51E75" w:rsidRDefault="001E40B9" w:rsidP="00EC2CBE">
            <w:pPr>
              <w:pStyle w:val="Prrafodelista"/>
              <w:numPr>
                <w:ilvl w:val="0"/>
                <w:numId w:val="91"/>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Facilitador Técnico – Implementación de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(54 meses,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#16</w:t>
            </w:r>
          </w:p>
          <w:p w14:paraId="7F89A737" w14:textId="468CDEEC" w:rsidR="001E40B9" w:rsidRPr="00A51E75" w:rsidRDefault="001E40B9" w:rsidP="00EC2CBE">
            <w:pPr>
              <w:pStyle w:val="Prrafodelista"/>
              <w:numPr>
                <w:ilvl w:val="0"/>
                <w:numId w:val="91"/>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2 promotores comunitarios territoriales (54 meses cada uno, 1.167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#17</w:t>
            </w:r>
          </w:p>
          <w:p w14:paraId="5EE0DCAB"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 Total: USD 701.916 (años 1–5).</w:t>
            </w:r>
          </w:p>
        </w:tc>
      </w:tr>
      <w:tr w:rsidR="001E40B9" w:rsidRPr="00A51E75" w14:paraId="663DD830"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5B54209"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16</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5B32FCF" w14:textId="77777777" w:rsidR="001E40B9" w:rsidRPr="00A51E75" w:rsidRDefault="001E40B9" w:rsidP="00B303D6">
            <w:pPr>
              <w:contextualSpacing/>
              <w:rPr>
                <w:rFonts w:asciiTheme="minorHAnsi" w:eastAsiaTheme="minorEastAsia" w:hAnsiTheme="minorHAnsi" w:cstheme="minorHAnsi"/>
                <w:sz w:val="20"/>
                <w:szCs w:val="20"/>
              </w:rPr>
            </w:pPr>
            <w:r w:rsidRPr="00A51E75">
              <w:rPr>
                <w:rStyle w:val="normaltextrun"/>
                <w:rFonts w:asciiTheme="minorHAnsi" w:hAnsiTheme="minorHAnsi" w:cstheme="minorHAnsi"/>
                <w:sz w:val="20"/>
                <w:szCs w:val="20"/>
              </w:rPr>
              <w:t>Misiones de Campo para Restauración Ecológica y Asistencia Técnica (Resultado 2.2) Gastos asociados al despliegue de equipos técnicos en al menos 60 misiones de campo en 20 comunidades priorizadas. Total: 214.614 USD.</w:t>
            </w:r>
          </w:p>
        </w:tc>
      </w:tr>
      <w:tr w:rsidR="001E40B9" w:rsidRPr="00A51E75" w14:paraId="3EE0AFD7"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D9B87EB"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lastRenderedPageBreak/>
              <w:t>17</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02BA4473" w14:textId="1C01501E"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Suministros y Equipos – Restauración y Producción Sostenible. Adquisición de herramientas, insumos, semillas y materiales para implementar la restauración y la producción sostenible en comunidades priorizadas. Total: 711.077 USD </w:t>
            </w:r>
          </w:p>
        </w:tc>
      </w:tr>
      <w:tr w:rsidR="001E40B9" w:rsidRPr="00A51E75" w14:paraId="58354E3B"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CC6B08F"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18</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D704C8A" w14:textId="796B4B23"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Subvenciones Pequeñas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para empresas comunitarias. Alrededor de 22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(USD 15.000–25.000 cada uno) apoyarán a empresas lideradas por mujeres, jóvenes e indígenas en áreas de restauración ecológica. Las subvenciones se administrarán conforme a las políticas del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del PNUD para garantizar la transparencia y la sostenibilidad. Total: USD 455.018 </w:t>
            </w:r>
          </w:p>
        </w:tc>
      </w:tr>
      <w:tr w:rsidR="001E40B9" w:rsidRPr="00A51E75" w14:paraId="17F393B8"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0071044"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19</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A07CA94"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Producción audiovisual e impresa – Materiales pedagógicos. Producción de 10 productos audiovisuales que documentan las experiencias comunitarias en agricultura sostenible, restauración y trazabilidad, con enfoque en género e interculturalidad (Resultado 2.2). Total: USD 41.108 </w:t>
            </w:r>
          </w:p>
        </w:tc>
      </w:tr>
      <w:tr w:rsidR="001E40B9" w:rsidRPr="00A51E75" w14:paraId="72FEDF78"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676A85F"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20</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1263CFF"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Formación – Agroecología, Bioinsumos y Liderazgo. Al menos 40 eventos de formación en territorios prioritarios para empresas comunitarias, clubes agroecológicos y áreas de restauración. Total: USD 323.149 </w:t>
            </w:r>
          </w:p>
        </w:tc>
      </w:tr>
      <w:tr w:rsidR="001E40B9" w:rsidRPr="00A51E75" w14:paraId="25E721D6"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36D000D2" w14:textId="77777777" w:rsidR="001E40B9" w:rsidRPr="00A51E75" w:rsidRDefault="001E40B9" w:rsidP="00B303D6">
            <w:pPr>
              <w:contextualSpacing/>
              <w:jc w:val="center"/>
              <w:rPr>
                <w:rFonts w:asciiTheme="minorHAnsi" w:eastAsiaTheme="minorEastAsia" w:hAnsiTheme="minorHAnsi" w:cstheme="minorHAnsi"/>
                <w:sz w:val="20"/>
                <w:szCs w:val="20"/>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4BC4670"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Componente 3:</w:t>
            </w:r>
          </w:p>
        </w:tc>
      </w:tr>
      <w:tr w:rsidR="001E40B9" w:rsidRPr="00A51E75" w14:paraId="05BB6514"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F09DED8"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21</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8B6BE9D" w14:textId="2A68210B"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Especialista – Financiación climática y mercados sostenibles. Contratación de un especialista (36 meses, 2.412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#18</w:t>
            </w:r>
            <w:r w:rsidRPr="00A51E75">
              <w:rPr>
                <w:rFonts w:asciiTheme="minorHAnsi" w:eastAsiaTheme="minorEastAsia" w:hAnsiTheme="minorHAnsi" w:cstheme="minorHAnsi"/>
                <w:sz w:val="20"/>
                <w:szCs w:val="20"/>
              </w:rPr>
              <w:t xml:space="preserve"> Responsable de vincular acciones territoriales con instrumentos financieros verdes, incentivos, cadenas de valor y financiación basada en la naturaleza para apoyar la conservación de la biodiversidad y la restauración de ecosistemas. Total: USD 86.832 </w:t>
            </w:r>
          </w:p>
        </w:tc>
      </w:tr>
      <w:tr w:rsidR="001E40B9" w:rsidRPr="00A51E75" w14:paraId="56ADB91C"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01217428"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22</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B71C55F" w14:textId="77777777" w:rsidR="001E40B9" w:rsidRPr="00A51E75" w:rsidRDefault="001E40B9" w:rsidP="00B303D6">
            <w:pPr>
              <w:contextualSpacing/>
              <w:rPr>
                <w:rFonts w:asciiTheme="minorHAnsi" w:eastAsiaTheme="minorEastAsia" w:hAnsiTheme="minorHAnsi" w:cstheme="minorHAnsi"/>
                <w:sz w:val="20"/>
                <w:szCs w:val="20"/>
              </w:rPr>
            </w:pPr>
            <w:r w:rsidRPr="00A51E75">
              <w:rPr>
                <w:rStyle w:val="normaltextrun"/>
                <w:rFonts w:asciiTheme="minorHAnsi" w:hAnsiTheme="minorHAnsi" w:cstheme="minorHAnsi"/>
                <w:sz w:val="20"/>
                <w:szCs w:val="20"/>
              </w:rPr>
              <w:t>Transporte y logística para los participantes en talleres de educación financiera. Gastos relacionados con el transporte de participantes a ocho (8) talleres locales y dos (2) reuniones nacionales sobre inclusión financiera con un enfoque intercultural. Incluye transporte terrestre y fluvial, dietas diarias, alojamiento y logística asociada. Total: 72.845 USD.</w:t>
            </w:r>
          </w:p>
        </w:tc>
      </w:tr>
      <w:tr w:rsidR="001E40B9" w:rsidRPr="00A51E75" w14:paraId="3D7FC394"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1A34641"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23</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FCB18B5"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Servicios Especializados – Finanzas Sostenibles y Movilización de Recursos. Consultorías para diseñar y validar instrumentos financieros innovadores y fortalecer las capacidades de movilización de recursos en la cuenca del río Napo. Total: USD 305.321</w:t>
            </w:r>
          </w:p>
        </w:tc>
      </w:tr>
      <w:tr w:rsidR="001E40B9" w:rsidRPr="00A51E75" w14:paraId="643DA43B"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97EC6DA"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24</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3F9F7AFA" w14:textId="36301752"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Subvenciones para proyectos productivos liderados por indígenas. Al menos 7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apoyarán iniciativas productivas lideradas por pueblos indígenas y nacionalidades en la cuenca del río Napo. Las subvenciones se administrarán conforme a las políticas </w:t>
            </w:r>
            <w:r w:rsidR="00CB0C5A">
              <w:rPr>
                <w:rFonts w:asciiTheme="minorHAnsi" w:eastAsiaTheme="minorEastAsia" w:hAnsiTheme="minorHAnsi" w:cstheme="minorHAnsi"/>
                <w:sz w:val="20"/>
                <w:szCs w:val="20"/>
              </w:rPr>
              <w:t>SBV</w:t>
            </w:r>
            <w:r w:rsidRPr="00A51E75">
              <w:rPr>
                <w:rFonts w:asciiTheme="minorHAnsi" w:eastAsiaTheme="minorEastAsia" w:hAnsiTheme="minorHAnsi" w:cstheme="minorHAnsi"/>
                <w:sz w:val="20"/>
                <w:szCs w:val="20"/>
              </w:rPr>
              <w:t xml:space="preserve"> del PNUD para garantizar la transparencia y la sostenibilidad. Total: 336.085 USD</w:t>
            </w:r>
          </w:p>
        </w:tc>
      </w:tr>
      <w:tr w:rsidR="001E40B9" w:rsidRPr="00A51E75" w14:paraId="35030529"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BD25C5A"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25</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02DB845"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Producción audiovisual e impresa – Empresas sostenibles. Producción de 15 materiales de comunicación para promover empresas lideradas por mujeres, jóvenes e indígenas (Output 2.2.3). Total: USD 61.662 </w:t>
            </w:r>
          </w:p>
        </w:tc>
      </w:tr>
      <w:tr w:rsidR="001E40B9" w:rsidRPr="007D4F41" w14:paraId="5081FDFE"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FE9C46B"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26</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621247F" w14:textId="77777777" w:rsidR="001E40B9" w:rsidRPr="00A51E75" w:rsidRDefault="001E40B9" w:rsidP="00B303D6">
            <w:pPr>
              <w:contextualSpacing/>
              <w:rPr>
                <w:rFonts w:asciiTheme="minorHAnsi" w:eastAsiaTheme="minorEastAsia" w:hAnsiTheme="minorHAnsi" w:cstheme="minorHAnsi"/>
                <w:sz w:val="20"/>
                <w:szCs w:val="20"/>
                <w:lang w:val="en-US"/>
              </w:rPr>
            </w:pPr>
            <w:r w:rsidRPr="00A51E75">
              <w:rPr>
                <w:rFonts w:asciiTheme="minorHAnsi" w:eastAsiaTheme="minorEastAsia" w:hAnsiTheme="minorHAnsi" w:cstheme="minorHAnsi"/>
                <w:sz w:val="20"/>
                <w:szCs w:val="20"/>
              </w:rPr>
              <w:t xml:space="preserve">Formación – Mecanismos financieros, bioeconomía y comercialización. Al menos 20 talleres sobre finanzas verdes, bioeconomía y comercialización sostenible, priorizando a mujeres, jóvenes y pueblos indígenas. Los métodos combinan las prácticas de la Escuela de Campo y el conocimiento ancestral. Total: 181.575 USD </w:t>
            </w:r>
          </w:p>
        </w:tc>
      </w:tr>
      <w:tr w:rsidR="001E40B9" w:rsidRPr="00A51E75" w14:paraId="46D5DF2E"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5F9DBA8" w14:textId="77777777" w:rsidR="001E40B9" w:rsidRPr="00A51E75" w:rsidRDefault="001E40B9" w:rsidP="00B303D6">
            <w:pPr>
              <w:contextualSpacing/>
              <w:jc w:val="center"/>
              <w:rPr>
                <w:rFonts w:asciiTheme="minorHAnsi" w:eastAsiaTheme="minorEastAsia" w:hAnsiTheme="minorHAnsi" w:cstheme="minorHAnsi"/>
                <w:sz w:val="20"/>
                <w:szCs w:val="20"/>
                <w:lang w:val="en-US"/>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D6C8276"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Componente 4:</w:t>
            </w:r>
          </w:p>
        </w:tc>
      </w:tr>
      <w:tr w:rsidR="001E40B9" w:rsidRPr="00A51E75" w14:paraId="103B605C"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5DFBA5C"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27</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2FD1C4F"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Personal Técnico – Conocimientos, Salvaguardas, Género, Comunicación y Apoyo. Contratación de:</w:t>
            </w:r>
          </w:p>
          <w:p w14:paraId="0333E815" w14:textId="5C67E918"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Coordinador de Gestión del Conocimiento y Aprendizaje (36 meses, 2.412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#19</w:t>
            </w:r>
          </w:p>
          <w:p w14:paraId="795B17E3" w14:textId="7C0D2158"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Especialista en Salvaguardias Medioambientales y Sociales (36 meses, 2.412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#20</w:t>
            </w:r>
          </w:p>
          <w:p w14:paraId="36B04A64" w14:textId="0AF01EEE"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Asistente Técnico – Procesamiento, Seguimiento e Informes de Datos (36 meses, USD 2.412/mes).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#21</w:t>
            </w:r>
          </w:p>
          <w:p w14:paraId="2422B087" w14:textId="65DF9B25"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Oficial de Comunicación Estratégica y Compromiso Territorial (36 meses, USD 2.412/mes).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#22</w:t>
            </w:r>
          </w:p>
          <w:p w14:paraId="61DAE87C" w14:textId="6686F480"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Especialista – Igualdad de Género, Diversidad y Pueblos Indígenas (36 meses, USD 2.412/mes).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#23</w:t>
            </w:r>
          </w:p>
          <w:p w14:paraId="2615B4CA" w14:textId="6AC8F4EE"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Especialista en Seguimiento Estratégico y Evaluación de Resultados (7 meses, 2.900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#24</w:t>
            </w:r>
          </w:p>
          <w:p w14:paraId="29C577C2" w14:textId="744C4977" w:rsidR="001E40B9" w:rsidRPr="00A51E75" w:rsidRDefault="001E40B9" w:rsidP="00EC2CBE">
            <w:pPr>
              <w:pStyle w:val="Prrafodelista"/>
              <w:numPr>
                <w:ilvl w:val="0"/>
                <w:numId w:val="90"/>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Asistente de logística y taller (54 meses, 1.447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#25</w:t>
            </w:r>
          </w:p>
          <w:p w14:paraId="1790272B"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Total: USD 532.598 (años 1–5).</w:t>
            </w:r>
          </w:p>
        </w:tc>
      </w:tr>
      <w:tr w:rsidR="001E40B9" w:rsidRPr="00A51E75" w14:paraId="7A345016"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0EC64B0"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28</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7DFA7C8" w14:textId="606E5CBD" w:rsidR="001E40B9" w:rsidRPr="00A51E75" w:rsidRDefault="001E40B9" w:rsidP="00B303D6">
            <w:pPr>
              <w:contextualSpacing/>
              <w:rPr>
                <w:rFonts w:asciiTheme="minorHAnsi" w:eastAsiaTheme="minorEastAsia" w:hAnsiTheme="minorHAnsi" w:cstheme="minorHAnsi"/>
                <w:sz w:val="20"/>
                <w:szCs w:val="20"/>
              </w:rPr>
            </w:pPr>
            <w:r w:rsidRPr="00A51E75">
              <w:rPr>
                <w:rStyle w:val="normaltextrun"/>
                <w:rFonts w:asciiTheme="minorHAnsi" w:hAnsiTheme="minorHAnsi" w:cstheme="minorHAnsi"/>
                <w:sz w:val="20"/>
                <w:szCs w:val="20"/>
              </w:rPr>
              <w:t xml:space="preserve">Misiones de Formación y Sistematización del Sistema de </w:t>
            </w:r>
            <w:r w:rsidR="007525DB">
              <w:rPr>
                <w:rStyle w:val="normaltextrun"/>
                <w:rFonts w:asciiTheme="minorHAnsi" w:hAnsiTheme="minorHAnsi" w:cstheme="minorHAnsi"/>
                <w:sz w:val="20"/>
                <w:szCs w:val="20"/>
              </w:rPr>
              <w:t>Alerta</w:t>
            </w:r>
            <w:r w:rsidRPr="00A51E75">
              <w:rPr>
                <w:rStyle w:val="normaltextrun"/>
                <w:rFonts w:asciiTheme="minorHAnsi" w:hAnsiTheme="minorHAnsi" w:cstheme="minorHAnsi"/>
                <w:sz w:val="20"/>
                <w:szCs w:val="20"/>
              </w:rPr>
              <w:t xml:space="preserve"> Te</w:t>
            </w:r>
            <w:r w:rsidR="007525DB">
              <w:rPr>
                <w:rStyle w:val="normaltextrun"/>
                <w:rFonts w:asciiTheme="minorHAnsi" w:hAnsiTheme="minorHAnsi" w:cstheme="minorHAnsi"/>
                <w:sz w:val="20"/>
                <w:szCs w:val="20"/>
              </w:rPr>
              <w:t>mprana</w:t>
            </w:r>
            <w:r w:rsidRPr="00A51E75">
              <w:rPr>
                <w:rStyle w:val="normaltextrun"/>
                <w:rFonts w:asciiTheme="minorHAnsi" w:hAnsiTheme="minorHAnsi" w:cstheme="minorHAnsi"/>
                <w:sz w:val="20"/>
                <w:szCs w:val="20"/>
              </w:rPr>
              <w:t xml:space="preserve"> (SAT) Gastos de viaje para el equipo técnico para realizar 10 visitas de campo centradas en actividades de formación, documentación y difusión relacionadas con el SAT. Total: 38.851 USD.</w:t>
            </w:r>
          </w:p>
        </w:tc>
      </w:tr>
      <w:tr w:rsidR="001E40B9" w:rsidRPr="00A51E75" w14:paraId="2A4F0AC6"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3F1512E"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lastRenderedPageBreak/>
              <w:t>29</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BC42ED9" w14:textId="23B304A5" w:rsidR="001E40B9" w:rsidRPr="00D830D9" w:rsidRDefault="001E40B9" w:rsidP="00B303D6">
            <w:pPr>
              <w:contextualSpacing/>
              <w:rPr>
                <w:rFonts w:asciiTheme="minorHAnsi" w:eastAsiaTheme="minorEastAsia" w:hAnsiTheme="minorHAnsi" w:cstheme="minorHAnsi"/>
                <w:sz w:val="20"/>
                <w:szCs w:val="20"/>
                <w:lang w:val="es-EC"/>
              </w:rPr>
            </w:pPr>
            <w:r w:rsidRPr="00A51E75">
              <w:rPr>
                <w:rFonts w:asciiTheme="minorHAnsi" w:eastAsiaTheme="minorEastAsia" w:hAnsiTheme="minorHAnsi" w:cstheme="minorHAnsi"/>
                <w:sz w:val="20"/>
                <w:szCs w:val="20"/>
              </w:rPr>
              <w:t xml:space="preserve">Servicios Contractuales – Plataforma de aprendizaje en línea. Consultora para diseñar e implementar un programa de formación virtual sobre gobernanza del agua, restauración productiva y liderazgo con un enfoque de género. La plataforma será transferida formalmente a </w:t>
            </w:r>
            <w:r w:rsidR="009E221F">
              <w:rPr>
                <w:rFonts w:asciiTheme="minorHAnsi" w:eastAsiaTheme="minorEastAsia" w:hAnsiTheme="minorHAnsi" w:cstheme="minorHAnsi"/>
                <w:sz w:val="20"/>
                <w:szCs w:val="20"/>
              </w:rPr>
              <w:t>MAE</w:t>
            </w:r>
            <w:r w:rsidRPr="00A51E75">
              <w:rPr>
                <w:rFonts w:asciiTheme="minorHAnsi" w:eastAsiaTheme="minorEastAsia" w:hAnsiTheme="minorHAnsi" w:cstheme="minorHAnsi"/>
                <w:sz w:val="20"/>
                <w:szCs w:val="20"/>
              </w:rPr>
              <w:t xml:space="preserve"> y universidades asociadas para garantizar su continuidad.</w:t>
            </w:r>
          </w:p>
          <w:p w14:paraId="50460C34"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Total: USD 146.245 (años 1–5).</w:t>
            </w:r>
          </w:p>
        </w:tc>
      </w:tr>
      <w:tr w:rsidR="001E40B9" w:rsidRPr="00A51E75" w14:paraId="7A5D526C"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355D0647"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30</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CC69C0C" w14:textId="05BA7C4D"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Equipamiento – SAT y E-Learning. Adquisición de equipos tecnológicos y audiovisuales (cámaras, micrófonos, proyectores, servidores, tabletas) para apoyar el Sistema de </w:t>
            </w:r>
            <w:r w:rsidR="007525DB">
              <w:rPr>
                <w:rFonts w:asciiTheme="minorHAnsi" w:eastAsiaTheme="minorEastAsia" w:hAnsiTheme="minorHAnsi" w:cstheme="minorHAnsi"/>
                <w:sz w:val="20"/>
                <w:szCs w:val="20"/>
              </w:rPr>
              <w:t>Al</w:t>
            </w:r>
            <w:r w:rsidR="007525DB">
              <w:rPr>
                <w:rFonts w:eastAsiaTheme="minorEastAsia"/>
              </w:rPr>
              <w:t>erta</w:t>
            </w:r>
            <w:r w:rsidRPr="00A51E75">
              <w:rPr>
                <w:rFonts w:asciiTheme="minorHAnsi" w:eastAsiaTheme="minorEastAsia" w:hAnsiTheme="minorHAnsi" w:cstheme="minorHAnsi"/>
                <w:sz w:val="20"/>
                <w:szCs w:val="20"/>
              </w:rPr>
              <w:t xml:space="preserve"> Te</w:t>
            </w:r>
            <w:r w:rsidR="007525DB">
              <w:rPr>
                <w:rFonts w:asciiTheme="minorHAnsi" w:eastAsiaTheme="minorEastAsia" w:hAnsiTheme="minorHAnsi" w:cstheme="minorHAnsi"/>
                <w:sz w:val="20"/>
                <w:szCs w:val="20"/>
              </w:rPr>
              <w:t>mprana</w:t>
            </w:r>
            <w:r w:rsidRPr="00A51E75">
              <w:rPr>
                <w:rFonts w:asciiTheme="minorHAnsi" w:eastAsiaTheme="minorEastAsia" w:hAnsiTheme="minorHAnsi" w:cstheme="minorHAnsi"/>
                <w:sz w:val="20"/>
                <w:szCs w:val="20"/>
              </w:rPr>
              <w:t xml:space="preserve"> (SAT) y la plataforma de aprendizaje electrónico del proyecto. El equipamiento será robusto, fácil de usar y adaptado para contextos de formación rural. Total: USD 229.824 </w:t>
            </w:r>
          </w:p>
        </w:tc>
      </w:tr>
      <w:tr w:rsidR="001E40B9" w:rsidRPr="00A51E75" w14:paraId="50287F13"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92FDFCF"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31</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CA9FBA9"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Suministros – Actividades presenciales. Adquisición de material de papelería, hojas técnicas, carpetas y kits de monitorización para formación y soporte de campo. Total: USD 46.114 </w:t>
            </w:r>
          </w:p>
        </w:tc>
      </w:tr>
      <w:tr w:rsidR="001E40B9" w:rsidRPr="00A51E75" w14:paraId="4217970F"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3C9FDF55"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32</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C479B24"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Alquiler y mantenimiento – Instalaciones. Cubre el alquiler, la conectividad, el mobiliario y el mantenimiento básico de oficinas descentralizadas y nodos territoriales de formación para apoyar los procesos formativos y la gestión de proyectos. Total: USD 63.485 </w:t>
            </w:r>
          </w:p>
        </w:tc>
      </w:tr>
      <w:tr w:rsidR="001E40B9" w:rsidRPr="00A51E75" w14:paraId="1691D1EE"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1E0AF244"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33</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4FCF00C"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Producción audiovisual e impresa – Visibilidad del liderazgo. Producción de 10 materiales multiformato (vídeos, cápsulas de radio, infografías) para mostrar el liderazgo de mujeres, jóvenes e indígenas en la implementación del proyecto. Total: USD 102.770 </w:t>
            </w:r>
          </w:p>
        </w:tc>
      </w:tr>
      <w:tr w:rsidR="001E40B9" w:rsidRPr="00A51E75" w14:paraId="6A696709"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32F5B91"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34</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AD8CE25"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Formación – Fortalecimiento de capacidades comunitarias y replicación. Al menos 18 eventos: un taller de inicio, diez talleres territoriales basados en FFS, cinco eventos de replicación y tres intercambios interculturales. Los temas incluyen restauración, supervisión, liderazgo juvenil y sostenibilidad, priorizando la participación de mujeres, jóvenes </w:t>
            </w:r>
            <w:proofErr w:type="spellStart"/>
            <w:r w:rsidRPr="00A51E75">
              <w:rPr>
                <w:rFonts w:asciiTheme="minorHAnsi" w:eastAsiaTheme="minorEastAsia" w:hAnsiTheme="minorHAnsi" w:cstheme="minorHAnsi"/>
                <w:sz w:val="20"/>
                <w:szCs w:val="20"/>
              </w:rPr>
              <w:t>y</w:t>
            </w:r>
            <w:proofErr w:type="spellEnd"/>
            <w:r w:rsidRPr="00A51E75">
              <w:rPr>
                <w:rFonts w:asciiTheme="minorHAnsi" w:eastAsiaTheme="minorEastAsia" w:hAnsiTheme="minorHAnsi" w:cstheme="minorHAnsi"/>
                <w:sz w:val="20"/>
                <w:szCs w:val="20"/>
              </w:rPr>
              <w:t xml:space="preserve"> indígenas. Total: 181.575 USD </w:t>
            </w:r>
          </w:p>
        </w:tc>
      </w:tr>
      <w:tr w:rsidR="001E40B9" w:rsidRPr="00A51E75" w14:paraId="51410450"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8A2BF60" w14:textId="77777777" w:rsidR="001E40B9" w:rsidRPr="00A51E75" w:rsidRDefault="001E40B9" w:rsidP="00B303D6">
            <w:pPr>
              <w:contextualSpacing/>
              <w:jc w:val="center"/>
              <w:rPr>
                <w:rFonts w:asciiTheme="minorHAnsi" w:eastAsiaTheme="minorEastAsia" w:hAnsiTheme="minorHAnsi" w:cstheme="minorHAnsi"/>
                <w:sz w:val="20"/>
                <w:szCs w:val="20"/>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694B06C"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Componente 5:</w:t>
            </w:r>
          </w:p>
        </w:tc>
      </w:tr>
      <w:tr w:rsidR="001E40B9" w:rsidRPr="00A51E75" w14:paraId="4C68EF63"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64F4C2D"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35</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B2A2F64" w14:textId="212C4C7C"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Especialista – Monitorización, Evaluación y Aprendizaje (MEL). Contratación de un Especialista en Seguimiento Estratégico y Evaluación de Resultados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#24</w:t>
            </w:r>
            <w:r w:rsidRPr="00A51E75">
              <w:rPr>
                <w:rFonts w:asciiTheme="minorHAnsi" w:eastAsiaTheme="minorEastAsia" w:hAnsiTheme="minorHAnsi" w:cstheme="minorHAnsi"/>
                <w:sz w:val="20"/>
                <w:szCs w:val="20"/>
              </w:rPr>
              <w:t xml:space="preserve">) por 47 meses (USD 2.900/mes). Responsable de diseñar y gestionar el sistema MEL, garantizar la calidad de los datos, el seguimiento del progreso y la presentación de informes al PNUD y al </w:t>
            </w:r>
            <w:r w:rsidR="0078696E">
              <w:rPr>
                <w:rFonts w:asciiTheme="minorHAnsi" w:eastAsiaTheme="minorEastAsia" w:hAnsiTheme="minorHAnsi" w:cstheme="minorHAnsi"/>
                <w:sz w:val="20"/>
                <w:szCs w:val="20"/>
              </w:rPr>
              <w:t>FMAM</w:t>
            </w:r>
            <w:r w:rsidRPr="00A51E75">
              <w:rPr>
                <w:rFonts w:asciiTheme="minorHAnsi" w:eastAsiaTheme="minorEastAsia" w:hAnsiTheme="minorHAnsi" w:cstheme="minorHAnsi"/>
                <w:sz w:val="20"/>
                <w:szCs w:val="20"/>
              </w:rPr>
              <w:t>. Total: USD 136,300 (años 1–5).</w:t>
            </w:r>
          </w:p>
        </w:tc>
      </w:tr>
      <w:tr w:rsidR="001E40B9" w:rsidRPr="00A51E75" w14:paraId="6B1F3633"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0B47DB5"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36</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747734D" w14:textId="1B740371" w:rsidR="001E40B9" w:rsidRPr="00A51E75" w:rsidRDefault="001E40B9" w:rsidP="00B303D6">
            <w:pPr>
              <w:contextualSpacing/>
              <w:rPr>
                <w:rFonts w:asciiTheme="minorHAnsi" w:eastAsiaTheme="minorEastAsia" w:hAnsiTheme="minorHAnsi" w:cstheme="minorBidi"/>
                <w:sz w:val="20"/>
                <w:szCs w:val="20"/>
              </w:rPr>
            </w:pPr>
            <w:r w:rsidRPr="00A51E75">
              <w:rPr>
                <w:rStyle w:val="normaltextrun"/>
                <w:rFonts w:asciiTheme="minorHAnsi" w:hAnsiTheme="minorHAnsi" w:cstheme="minorBidi"/>
                <w:sz w:val="20"/>
                <w:szCs w:val="20"/>
              </w:rPr>
              <w:t xml:space="preserve">Seguimiento de los Indicadores del </w:t>
            </w:r>
            <w:r w:rsidR="0078696E">
              <w:rPr>
                <w:rStyle w:val="normaltextrun"/>
                <w:rFonts w:asciiTheme="minorHAnsi" w:hAnsiTheme="minorHAnsi" w:cstheme="minorBidi"/>
                <w:sz w:val="20"/>
                <w:szCs w:val="20"/>
              </w:rPr>
              <w:t>FMAM</w:t>
            </w:r>
            <w:r w:rsidRPr="00A51E75">
              <w:rPr>
                <w:rStyle w:val="normaltextrun"/>
                <w:rFonts w:asciiTheme="minorHAnsi" w:hAnsiTheme="minorHAnsi" w:cstheme="minorBidi"/>
                <w:sz w:val="20"/>
                <w:szCs w:val="20"/>
              </w:rPr>
              <w:t xml:space="preserve">, el Marco de Resultados y las Salvaguardas. Gastos de viaje para el personal técnico para apoyar el seguimiento del Marco de Resultados del Proyecto (PRF), los indicadores clave del </w:t>
            </w:r>
            <w:r w:rsidR="0078696E">
              <w:rPr>
                <w:rStyle w:val="normaltextrun"/>
                <w:rFonts w:asciiTheme="minorHAnsi" w:hAnsiTheme="minorHAnsi" w:cstheme="minorBidi"/>
                <w:sz w:val="20"/>
                <w:szCs w:val="20"/>
              </w:rPr>
              <w:t>FMAM</w:t>
            </w:r>
            <w:r w:rsidRPr="00A51E75">
              <w:rPr>
                <w:rStyle w:val="normaltextrun"/>
                <w:rFonts w:asciiTheme="minorHAnsi" w:hAnsiTheme="minorHAnsi" w:cstheme="minorBidi"/>
                <w:sz w:val="20"/>
                <w:szCs w:val="20"/>
              </w:rPr>
              <w:t>, el plan de género y las salvaguardas. Incluye el taller de inicio (USD 5.000), la preparación anual del PIR (</w:t>
            </w:r>
            <w:r w:rsidRPr="00A51E75">
              <w:rPr>
                <w:rFonts w:ascii="Calibri" w:eastAsia="Calibri" w:hAnsi="Calibri" w:cs="Calibri"/>
                <w:color w:val="000000" w:themeColor="text1"/>
                <w:sz w:val="20"/>
                <w:szCs w:val="20"/>
              </w:rPr>
              <w:t>USD 6.000 en 5 años</w:t>
            </w:r>
            <w:r w:rsidRPr="00A51E75">
              <w:rPr>
                <w:rStyle w:val="normaltextrun"/>
                <w:rFonts w:asciiTheme="minorHAnsi" w:hAnsiTheme="minorHAnsi" w:cstheme="minorBidi"/>
                <w:sz w:val="20"/>
                <w:szCs w:val="20"/>
              </w:rPr>
              <w:t>), el seguimiento de género y salvaguardas (USD 12.000), las misiones anuales de supervisión técnica/operativa (USD 10.000) y las misiones de aprendizaje (USD 5.000). Total: 38.000 USD.</w:t>
            </w:r>
          </w:p>
        </w:tc>
      </w:tr>
      <w:tr w:rsidR="001E40B9" w:rsidRPr="00A51E75" w14:paraId="4600F039"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76F2B94"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37</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EE799B7"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Producción audiovisual e impresa – Productos MEL. Producción y difusión de materiales (traducción, impresión, sistematización y comunicación) para fortalecer la visibilidad y transparencia de los resultados del MEL. Total: 20.650 USD </w:t>
            </w:r>
          </w:p>
        </w:tc>
      </w:tr>
      <w:tr w:rsidR="001E40B9" w:rsidRPr="00A51E75" w14:paraId="321F0429"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D0CA688"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38</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595D717E" w14:textId="77777777" w:rsidR="001E40B9" w:rsidRPr="00D830D9" w:rsidRDefault="001E40B9" w:rsidP="00B303D6">
            <w:pPr>
              <w:contextualSpacing/>
              <w:rPr>
                <w:rFonts w:asciiTheme="minorHAnsi" w:eastAsiaTheme="minorEastAsia" w:hAnsiTheme="minorHAnsi" w:cstheme="minorHAnsi"/>
                <w:sz w:val="20"/>
                <w:szCs w:val="20"/>
                <w:lang w:val="es-EC"/>
              </w:rPr>
            </w:pPr>
            <w:r w:rsidRPr="00A51E75">
              <w:rPr>
                <w:rFonts w:asciiTheme="minorHAnsi" w:eastAsiaTheme="minorEastAsia" w:hAnsiTheme="minorHAnsi" w:cstheme="minorHAnsi"/>
                <w:sz w:val="20"/>
                <w:szCs w:val="20"/>
              </w:rPr>
              <w:t>Consultores – Evaluaciones independientes de proyectos. Dos consultores internacionales realizarán las evaluaciones del proyecto:</w:t>
            </w:r>
          </w:p>
          <w:p w14:paraId="70D7D08D" w14:textId="119B319E" w:rsidR="001E40B9" w:rsidRPr="00A51E75" w:rsidRDefault="001E40B9" w:rsidP="00EC2CBE">
            <w:pPr>
              <w:pStyle w:val="Prrafodelista"/>
              <w:numPr>
                <w:ilvl w:val="0"/>
                <w:numId w:val="88"/>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Revisión a medio plazo (</w:t>
            </w:r>
            <w:r w:rsidR="003057B2">
              <w:rPr>
                <w:rFonts w:asciiTheme="minorHAnsi" w:eastAsiaTheme="minorEastAsia" w:hAnsiTheme="minorHAnsi" w:cstheme="minorHAnsi"/>
                <w:sz w:val="20"/>
                <w:szCs w:val="20"/>
              </w:rPr>
              <w:t>RMT</w:t>
            </w:r>
            <w:r w:rsidRPr="00A51E75">
              <w:rPr>
                <w:rFonts w:asciiTheme="minorHAnsi" w:eastAsiaTheme="minorEastAsia" w:hAnsiTheme="minorHAnsi" w:cstheme="minorHAnsi"/>
                <w:sz w:val="20"/>
                <w:szCs w:val="20"/>
              </w:rPr>
              <w:t xml:space="preserve">) – Año 3, 29.250 USD (45 días a 650 USD/día). </w:t>
            </w:r>
            <w:r w:rsidR="00AF6ED3">
              <w:rPr>
                <w:rFonts w:asciiTheme="minorHAnsi" w:eastAsiaTheme="minorEastAsia" w:hAnsiTheme="minorHAnsi" w:cstheme="minorHAnsi"/>
                <w:sz w:val="20"/>
                <w:szCs w:val="20"/>
              </w:rPr>
              <w:t>Costos</w:t>
            </w:r>
            <w:r w:rsidRPr="00A51E75">
              <w:rPr>
                <w:rFonts w:asciiTheme="minorHAnsi" w:eastAsiaTheme="minorEastAsia" w:hAnsiTheme="minorHAnsi" w:cstheme="minorHAnsi"/>
                <w:sz w:val="20"/>
                <w:szCs w:val="20"/>
              </w:rPr>
              <w:t xml:space="preserve"> de movilización: 8.011 USD.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#27</w:t>
            </w:r>
          </w:p>
          <w:p w14:paraId="2268B300" w14:textId="73E365A0" w:rsidR="001E40B9" w:rsidRPr="00A51E75" w:rsidRDefault="001E40B9" w:rsidP="00EC2CBE">
            <w:pPr>
              <w:pStyle w:val="Prrafodelista"/>
              <w:numPr>
                <w:ilvl w:val="0"/>
                <w:numId w:val="88"/>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Evaluación Final (</w:t>
            </w:r>
            <w:r w:rsidR="007525DB">
              <w:rPr>
                <w:rFonts w:asciiTheme="minorHAnsi" w:eastAsiaTheme="minorEastAsia" w:hAnsiTheme="minorHAnsi" w:cstheme="minorHAnsi"/>
                <w:sz w:val="20"/>
                <w:szCs w:val="20"/>
              </w:rPr>
              <w:t>EFI</w:t>
            </w:r>
            <w:r w:rsidRPr="00A51E75">
              <w:rPr>
                <w:rFonts w:asciiTheme="minorHAnsi" w:eastAsiaTheme="minorEastAsia" w:hAnsiTheme="minorHAnsi" w:cstheme="minorHAnsi"/>
                <w:sz w:val="20"/>
                <w:szCs w:val="20"/>
              </w:rPr>
              <w:t xml:space="preserve">) – Año 5, 29.250 USD (45 días a 650 USD/día). </w:t>
            </w:r>
            <w:r w:rsidR="00AF6ED3">
              <w:rPr>
                <w:rFonts w:asciiTheme="minorHAnsi" w:eastAsiaTheme="minorEastAsia" w:hAnsiTheme="minorHAnsi" w:cstheme="minorHAnsi"/>
                <w:sz w:val="20"/>
                <w:szCs w:val="20"/>
              </w:rPr>
              <w:t>Costos</w:t>
            </w:r>
            <w:r w:rsidRPr="00A51E75">
              <w:rPr>
                <w:rFonts w:asciiTheme="minorHAnsi" w:eastAsiaTheme="minorEastAsia" w:hAnsiTheme="minorHAnsi" w:cstheme="minorHAnsi"/>
                <w:sz w:val="20"/>
                <w:szCs w:val="20"/>
              </w:rPr>
              <w:t xml:space="preserve"> de movilización: 8.012 USD.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#28</w:t>
            </w:r>
          </w:p>
          <w:p w14:paraId="25A7D18E"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 Total: 74.523 USD </w:t>
            </w:r>
          </w:p>
        </w:tc>
      </w:tr>
      <w:tr w:rsidR="001E40B9" w:rsidRPr="00A51E75" w14:paraId="500DBFF3"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AEF6EFC" w14:textId="77777777" w:rsidR="001E40B9" w:rsidRPr="00A51E75" w:rsidRDefault="001E40B9" w:rsidP="00B303D6">
            <w:pPr>
              <w:contextualSpacing/>
              <w:jc w:val="center"/>
              <w:rPr>
                <w:rFonts w:asciiTheme="minorHAnsi" w:eastAsiaTheme="minorEastAsia" w:hAnsiTheme="minorHAnsi" w:cstheme="minorHAnsi"/>
                <w:sz w:val="20"/>
                <w:szCs w:val="20"/>
              </w:rPr>
            </w:pP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7E81AE6E" w14:textId="77777777"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PMC</w:t>
            </w:r>
          </w:p>
        </w:tc>
      </w:tr>
      <w:tr w:rsidR="001E40B9" w:rsidRPr="00A51E75" w14:paraId="650DEDAC"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3A89AF36"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39</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4F136D9A" w14:textId="77777777" w:rsidR="001E40B9" w:rsidRPr="00A51E75" w:rsidRDefault="001E40B9" w:rsidP="00B303D6">
            <w:pPr>
              <w:contextualSpacing/>
              <w:rPr>
                <w:rFonts w:asciiTheme="minorHAnsi" w:eastAsiaTheme="minorEastAsia" w:hAnsiTheme="minorHAnsi" w:cstheme="minorHAnsi"/>
                <w:sz w:val="20"/>
                <w:szCs w:val="20"/>
                <w:lang w:val="en-US"/>
              </w:rPr>
            </w:pPr>
            <w:r w:rsidRPr="00A51E75">
              <w:rPr>
                <w:rFonts w:asciiTheme="minorHAnsi" w:eastAsiaTheme="minorEastAsia" w:hAnsiTheme="minorHAnsi" w:cstheme="minorHAnsi"/>
                <w:sz w:val="20"/>
                <w:szCs w:val="20"/>
              </w:rPr>
              <w:t>Gestión de Proyectos – Personal clave. Contratación de:</w:t>
            </w:r>
          </w:p>
          <w:p w14:paraId="3760959F" w14:textId="10904097" w:rsidR="001E40B9" w:rsidRPr="00A51E75" w:rsidRDefault="001E40B9" w:rsidP="00EC2CBE">
            <w:pPr>
              <w:pStyle w:val="Prrafodelista"/>
              <w:numPr>
                <w:ilvl w:val="0"/>
                <w:numId w:val="89"/>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 xml:space="preserve">Coordinador de Proyecto (60 meses, 3.328 USD/mes). </w:t>
            </w:r>
            <w:r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Pr="00A51E75">
              <w:rPr>
                <w:rFonts w:asciiTheme="minorHAnsi" w:eastAsiaTheme="minorEastAsia" w:hAnsiTheme="minorHAnsi" w:cstheme="minorHAnsi"/>
                <w:i/>
                <w:iCs/>
                <w:sz w:val="20"/>
                <w:szCs w:val="20"/>
              </w:rPr>
              <w:t>#1</w:t>
            </w:r>
          </w:p>
          <w:p w14:paraId="0F58C517" w14:textId="31E8D087" w:rsidR="001E40B9" w:rsidRPr="00A51E75" w:rsidRDefault="007525DB" w:rsidP="00EC2CBE">
            <w:pPr>
              <w:pStyle w:val="Prrafodelista"/>
              <w:numPr>
                <w:ilvl w:val="0"/>
                <w:numId w:val="89"/>
              </w:numPr>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Ges</w:t>
            </w:r>
            <w:r>
              <w:rPr>
                <w:rFonts w:asciiTheme="minorHAnsi" w:eastAsiaTheme="minorEastAsia" w:hAnsiTheme="minorHAnsi" w:cstheme="minorHAnsi"/>
                <w:sz w:val="20"/>
                <w:szCs w:val="20"/>
              </w:rPr>
              <w:t>tor</w:t>
            </w:r>
            <w:r w:rsidR="00356E75">
              <w:rPr>
                <w:rFonts w:asciiTheme="minorHAnsi" w:eastAsiaTheme="minorEastAsia" w:hAnsiTheme="minorHAnsi" w:cstheme="minorHAnsi"/>
                <w:sz w:val="20"/>
                <w:szCs w:val="20"/>
              </w:rPr>
              <w:t xml:space="preserve"> </w:t>
            </w:r>
            <w:r w:rsidR="001E40B9" w:rsidRPr="00A51E75">
              <w:rPr>
                <w:rFonts w:asciiTheme="minorHAnsi" w:eastAsiaTheme="minorEastAsia" w:hAnsiTheme="minorHAnsi" w:cstheme="minorHAnsi"/>
                <w:sz w:val="20"/>
                <w:szCs w:val="20"/>
              </w:rPr>
              <w:t xml:space="preserve">Administrativo y Financiero (60 meses, 2.900 USD/mes). </w:t>
            </w:r>
            <w:r w:rsidR="001E40B9" w:rsidRPr="00A51E75">
              <w:rPr>
                <w:rFonts w:asciiTheme="minorHAnsi" w:eastAsiaTheme="minorEastAsia" w:hAnsiTheme="minorHAnsi" w:cstheme="minorHAnsi"/>
                <w:i/>
                <w:iCs/>
                <w:sz w:val="20"/>
                <w:szCs w:val="20"/>
              </w:rPr>
              <w:t xml:space="preserve">Anexo 7 </w:t>
            </w:r>
            <w:r w:rsidR="00356E75">
              <w:rPr>
                <w:rFonts w:asciiTheme="minorHAnsi" w:eastAsiaTheme="minorEastAsia" w:hAnsiTheme="minorHAnsi" w:cstheme="minorHAnsi"/>
                <w:i/>
                <w:iCs/>
                <w:sz w:val="20"/>
                <w:szCs w:val="20"/>
              </w:rPr>
              <w:t xml:space="preserve">TDR </w:t>
            </w:r>
            <w:r w:rsidR="001E40B9" w:rsidRPr="00A51E75">
              <w:rPr>
                <w:rFonts w:asciiTheme="minorHAnsi" w:eastAsiaTheme="minorEastAsia" w:hAnsiTheme="minorHAnsi" w:cstheme="minorHAnsi"/>
                <w:i/>
                <w:iCs/>
                <w:sz w:val="20"/>
                <w:szCs w:val="20"/>
              </w:rPr>
              <w:t>#2</w:t>
            </w:r>
          </w:p>
          <w:p w14:paraId="5B8DAC0A" w14:textId="4E2CAB78" w:rsidR="001E40B9" w:rsidRPr="00A51E75" w:rsidRDefault="001E40B9" w:rsidP="00B303D6">
            <w:pPr>
              <w:contextualSpacing/>
              <w:rPr>
                <w:rFonts w:asciiTheme="minorHAnsi" w:eastAsiaTheme="minorEastAsia" w:hAnsiTheme="minorHAnsi" w:cstheme="minorHAnsi"/>
                <w:sz w:val="20"/>
                <w:szCs w:val="20"/>
              </w:rPr>
            </w:pPr>
            <w:r w:rsidRPr="00A51E75">
              <w:rPr>
                <w:rFonts w:asciiTheme="minorHAnsi" w:eastAsiaTheme="minorEastAsia" w:hAnsiTheme="minorHAnsi" w:cstheme="minorHAnsi"/>
                <w:sz w:val="20"/>
                <w:szCs w:val="20"/>
              </w:rPr>
              <w:t>Estos puestos garantizan liderazgo, coordinación con sus homólogos, cumplimiento de las normas PNUD-</w:t>
            </w:r>
            <w:r w:rsidR="0078696E">
              <w:rPr>
                <w:rFonts w:asciiTheme="minorHAnsi" w:eastAsiaTheme="minorEastAsia" w:hAnsiTheme="minorHAnsi" w:cstheme="minorHAnsi"/>
                <w:sz w:val="20"/>
                <w:szCs w:val="20"/>
              </w:rPr>
              <w:t>FMAM</w:t>
            </w:r>
            <w:r w:rsidRPr="00A51E75">
              <w:rPr>
                <w:rFonts w:asciiTheme="minorHAnsi" w:eastAsiaTheme="minorEastAsia" w:hAnsiTheme="minorHAnsi" w:cstheme="minorHAnsi"/>
                <w:sz w:val="20"/>
                <w:szCs w:val="20"/>
              </w:rPr>
              <w:t xml:space="preserve"> y una gestión transparente de los recursos durante toda la implementación. Total: USD 373.680 (años 1–5).</w:t>
            </w:r>
          </w:p>
        </w:tc>
      </w:tr>
      <w:tr w:rsidR="001E40B9" w:rsidRPr="00A51E75" w14:paraId="663D2074" w14:textId="77777777" w:rsidTr="00B303D6">
        <w:trPr>
          <w:trHeight w:val="300"/>
        </w:trPr>
        <w:tc>
          <w:tcPr>
            <w:tcW w:w="24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6263CADB" w14:textId="77777777" w:rsidR="001E40B9" w:rsidRPr="00A51E75" w:rsidRDefault="001E40B9" w:rsidP="00B303D6">
            <w:pPr>
              <w:contextualSpacing/>
              <w:jc w:val="center"/>
              <w:rPr>
                <w:rFonts w:asciiTheme="minorHAnsi" w:eastAsiaTheme="minorEastAsia" w:hAnsiTheme="minorHAnsi" w:cstheme="minorHAnsi"/>
                <w:b/>
                <w:bCs/>
                <w:sz w:val="20"/>
                <w:szCs w:val="20"/>
              </w:rPr>
            </w:pPr>
            <w:r w:rsidRPr="00A51E75">
              <w:rPr>
                <w:rFonts w:asciiTheme="minorHAnsi" w:eastAsiaTheme="minorEastAsia" w:hAnsiTheme="minorHAnsi" w:cstheme="minorHAnsi"/>
                <w:b/>
                <w:bCs/>
                <w:sz w:val="20"/>
                <w:szCs w:val="20"/>
              </w:rPr>
              <w:t>40</w:t>
            </w:r>
          </w:p>
        </w:tc>
        <w:tc>
          <w:tcPr>
            <w:tcW w:w="4760" w:type="pct"/>
            <w:tcBorders>
              <w:top w:val="single" w:sz="4" w:space="0" w:color="auto"/>
              <w:left w:val="single" w:sz="4" w:space="0" w:color="auto"/>
              <w:bottom w:val="single" w:sz="4" w:space="0" w:color="auto"/>
              <w:right w:val="single" w:sz="4" w:space="0" w:color="auto"/>
            </w:tcBorders>
            <w:tcMar>
              <w:left w:w="75" w:type="dxa"/>
              <w:right w:w="75" w:type="dxa"/>
            </w:tcMar>
            <w:vAlign w:val="center"/>
          </w:tcPr>
          <w:p w14:paraId="296A1890" w14:textId="2E35378A" w:rsidR="001E40B9" w:rsidRPr="00D830D9" w:rsidRDefault="001E40B9" w:rsidP="00B303D6">
            <w:pPr>
              <w:contextualSpacing/>
              <w:rPr>
                <w:rFonts w:asciiTheme="minorHAnsi" w:eastAsiaTheme="minorEastAsia" w:hAnsiTheme="minorHAnsi" w:cstheme="minorHAnsi"/>
                <w:sz w:val="20"/>
                <w:szCs w:val="20"/>
                <w:lang w:val="es-EC"/>
              </w:rPr>
            </w:pPr>
            <w:r w:rsidRPr="00A51E75">
              <w:rPr>
                <w:rFonts w:asciiTheme="minorHAnsi" w:eastAsiaTheme="minorEastAsia" w:hAnsiTheme="minorHAnsi" w:cstheme="minorHAnsi"/>
                <w:sz w:val="20"/>
                <w:szCs w:val="20"/>
              </w:rPr>
              <w:t xml:space="preserve">Servicios profesionales – Auditorías. Total: USD 50.024 </w:t>
            </w:r>
          </w:p>
        </w:tc>
      </w:tr>
    </w:tbl>
    <w:p w14:paraId="64D06222" w14:textId="69D05CFB" w:rsidR="1D9DC7A6" w:rsidRPr="00D830D9" w:rsidRDefault="1D9DC7A6">
      <w:pPr>
        <w:rPr>
          <w:lang w:val="es-EC"/>
        </w:rPr>
      </w:pPr>
    </w:p>
    <w:p w14:paraId="49697A29" w14:textId="63D4B202" w:rsidR="008B6F84" w:rsidRPr="00D830D9" w:rsidRDefault="008B6F84" w:rsidP="002174AC">
      <w:pPr>
        <w:spacing w:after="60"/>
        <w:jc w:val="both"/>
        <w:rPr>
          <w:rFonts w:asciiTheme="minorHAnsi" w:eastAsia="SimSun" w:hAnsiTheme="minorHAnsi" w:cstheme="minorHAnsi"/>
          <w:sz w:val="20"/>
          <w:szCs w:val="28"/>
          <w:lang w:val="es-EC"/>
        </w:rPr>
      </w:pPr>
    </w:p>
    <w:p w14:paraId="6E805587" w14:textId="77777777" w:rsidR="008B6F84" w:rsidRPr="00A51E75" w:rsidRDefault="008B6F84" w:rsidP="008B6F84">
      <w:pPr>
        <w:jc w:val="both"/>
        <w:rPr>
          <w:rFonts w:asciiTheme="minorHAnsi" w:eastAsia="SimSun" w:hAnsiTheme="minorHAnsi" w:cstheme="minorHAnsi"/>
          <w:sz w:val="20"/>
          <w:szCs w:val="28"/>
          <w:lang w:val="x-none"/>
        </w:rPr>
        <w:sectPr w:rsidR="008B6F84" w:rsidRPr="00A51E75" w:rsidSect="008B6F84">
          <w:pgSz w:w="15840" w:h="12240" w:orient="landscape" w:code="1"/>
          <w:pgMar w:top="720" w:right="720" w:bottom="720" w:left="720" w:header="720" w:footer="432" w:gutter="0"/>
          <w:cols w:space="708"/>
          <w:titlePg/>
          <w:docGrid w:linePitch="360"/>
        </w:sectPr>
      </w:pPr>
    </w:p>
    <w:p w14:paraId="4C5E05B1" w14:textId="77777777" w:rsidR="008B6F84" w:rsidRPr="00A51E75" w:rsidRDefault="00211737" w:rsidP="008B6F84">
      <w:pPr>
        <w:keepNext/>
        <w:pBdr>
          <w:top w:val="single" w:sz="4" w:space="1" w:color="auto"/>
        </w:pBdr>
        <w:tabs>
          <w:tab w:val="num" w:pos="720"/>
        </w:tabs>
        <w:suppressAutoHyphens/>
        <w:spacing w:after="60"/>
        <w:ind w:left="720" w:hanging="720"/>
        <w:jc w:val="both"/>
        <w:outlineLvl w:val="0"/>
        <w:rPr>
          <w:rFonts w:asciiTheme="minorHAnsi" w:eastAsia="SimSun" w:hAnsiTheme="minorHAnsi" w:cstheme="minorHAnsi"/>
          <w:b/>
          <w:smallCaps/>
          <w:spacing w:val="-2"/>
          <w:sz w:val="28"/>
          <w:szCs w:val="20"/>
          <w:lang w:val="en-US"/>
        </w:rPr>
      </w:pPr>
      <w:bookmarkStart w:id="61" w:name="_Toc75425518"/>
      <w:bookmarkStart w:id="62" w:name="_Toc221696302"/>
      <w:r w:rsidRPr="00A51E75">
        <w:rPr>
          <w:rFonts w:asciiTheme="minorHAnsi" w:eastAsia="SimSun" w:hAnsiTheme="minorHAnsi" w:cstheme="minorHAnsi"/>
          <w:b/>
          <w:smallCaps/>
          <w:spacing w:val="-2"/>
          <w:sz w:val="28"/>
          <w:szCs w:val="20"/>
        </w:rPr>
        <w:lastRenderedPageBreak/>
        <w:t>Contexto legal</w:t>
      </w:r>
      <w:bookmarkEnd w:id="61"/>
      <w:bookmarkEnd w:id="62"/>
    </w:p>
    <w:p w14:paraId="31A73AB5" w14:textId="77777777" w:rsidR="00F01DBD" w:rsidRPr="00A51E75" w:rsidRDefault="00F01DBD" w:rsidP="00F01DBD">
      <w:pPr>
        <w:jc w:val="both"/>
        <w:rPr>
          <w:rFonts w:asciiTheme="minorHAnsi" w:eastAsia="SimSun" w:hAnsiTheme="minorHAnsi" w:cstheme="minorHAnsi"/>
          <w:sz w:val="20"/>
          <w:szCs w:val="20"/>
          <w:lang w:val="en-US"/>
        </w:rPr>
      </w:pPr>
    </w:p>
    <w:p w14:paraId="4164DDC5" w14:textId="40CE8064" w:rsidR="0054671B" w:rsidRPr="00D830D9" w:rsidRDefault="00F01DBD" w:rsidP="00EC2CBE">
      <w:pPr>
        <w:pStyle w:val="Prrafodelista"/>
        <w:numPr>
          <w:ilvl w:val="0"/>
          <w:numId w:val="3"/>
        </w:numPr>
        <w:tabs>
          <w:tab w:val="clear" w:pos="360"/>
          <w:tab w:val="num" w:pos="426"/>
        </w:tabs>
        <w:ind w:left="284" w:hanging="502"/>
        <w:jc w:val="both"/>
        <w:rPr>
          <w:rFonts w:ascii="Calibri" w:eastAsia="SimSun" w:hAnsi="Calibri"/>
          <w:sz w:val="20"/>
          <w:szCs w:val="20"/>
          <w:lang w:val="es-EC"/>
        </w:rPr>
      </w:pPr>
      <w:r w:rsidRPr="00A51E75">
        <w:rPr>
          <w:rFonts w:ascii="Calibri" w:eastAsia="SimSun" w:hAnsi="Calibri"/>
          <w:sz w:val="20"/>
          <w:szCs w:val="20"/>
        </w:rPr>
        <w:t>Este Documento de Proyecto servirá como el instrumento al que se refiere el Artículo 1 del Acuerdo Básico Estándar de Asistencia (SBAA</w:t>
      </w:r>
      <w:r w:rsidR="00CE671D">
        <w:rPr>
          <w:rFonts w:ascii="Calibri" w:eastAsia="SimSun" w:hAnsi="Calibri"/>
          <w:sz w:val="20"/>
          <w:szCs w:val="20"/>
        </w:rPr>
        <w:t xml:space="preserve"> por sigla en inglés</w:t>
      </w:r>
      <w:r w:rsidRPr="00A51E75">
        <w:rPr>
          <w:rFonts w:ascii="Calibri" w:eastAsia="SimSun" w:hAnsi="Calibri"/>
          <w:sz w:val="20"/>
          <w:szCs w:val="20"/>
        </w:rPr>
        <w:t>) entre el Gobierno de (Ecuador) y el PNUD, firmado el 19 de enero de 2005. Todas las referencias en la SBAA a la "Agencia Ejecutora" deben entenderse como referidas al "Socio Ejecutor".</w:t>
      </w:r>
    </w:p>
    <w:p w14:paraId="0E0E2D65" w14:textId="4D78F51B" w:rsidR="00F01DBD" w:rsidRPr="00D830D9" w:rsidRDefault="00F01DBD" w:rsidP="00EC2CBE">
      <w:pPr>
        <w:pStyle w:val="Prrafodelista"/>
        <w:numPr>
          <w:ilvl w:val="0"/>
          <w:numId w:val="3"/>
        </w:numPr>
        <w:tabs>
          <w:tab w:val="clear" w:pos="360"/>
          <w:tab w:val="num" w:pos="426"/>
        </w:tabs>
        <w:ind w:left="284" w:hanging="502"/>
        <w:jc w:val="both"/>
        <w:rPr>
          <w:rFonts w:ascii="Calibri" w:eastAsia="SimSun" w:hAnsi="Calibri"/>
          <w:sz w:val="20"/>
          <w:szCs w:val="20"/>
          <w:lang w:val="es-EC"/>
        </w:rPr>
      </w:pPr>
      <w:r w:rsidRPr="00A51E75">
        <w:rPr>
          <w:rFonts w:asciiTheme="minorHAnsi" w:eastAsia="SimSun" w:hAnsiTheme="minorHAnsi" w:cstheme="minorHAnsi"/>
          <w:sz w:val="20"/>
          <w:szCs w:val="20"/>
        </w:rPr>
        <w:t xml:space="preserve">Este proyecto será implementado por el </w:t>
      </w:r>
      <w:r w:rsidR="001F48AE">
        <w:rPr>
          <w:rFonts w:asciiTheme="minorHAnsi" w:eastAsia="SimSun" w:hAnsiTheme="minorHAnsi" w:cstheme="minorHAnsi"/>
          <w:sz w:val="20"/>
          <w:szCs w:val="20"/>
        </w:rPr>
        <w:t>Ministerio de Medio Ambiente y Energía</w:t>
      </w:r>
      <w:r w:rsidRPr="00A51E75">
        <w:rPr>
          <w:rFonts w:asciiTheme="minorHAnsi" w:eastAsia="SimSun" w:hAnsiTheme="minorHAnsi" w:cstheme="minorHAnsi"/>
          <w:sz w:val="20"/>
          <w:szCs w:val="20"/>
        </w:rPr>
        <w:t xml:space="preserve"> – </w:t>
      </w:r>
      <w:r w:rsidR="009E221F">
        <w:rPr>
          <w:rFonts w:asciiTheme="minorHAnsi" w:eastAsia="SimSun" w:hAnsiTheme="minorHAnsi" w:cstheme="minorHAnsi"/>
          <w:sz w:val="20"/>
          <w:szCs w:val="20"/>
        </w:rPr>
        <w:t>MAE</w:t>
      </w:r>
      <w:r w:rsidRPr="00A51E75">
        <w:rPr>
          <w:rFonts w:asciiTheme="minorHAnsi" w:eastAsia="SimSun" w:hAnsiTheme="minorHAnsi" w:cstheme="minorHAnsi"/>
          <w:sz w:val="20"/>
          <w:szCs w:val="20"/>
        </w:rPr>
        <w:t xml:space="preserve"> ("Socio Implementador") de acuerdo con sus regulaciones financieras, normas, prácticas y procedimientos, únicamente en la medida en que estos no entren en conflicto con los principios de las Regulaciones y Normas Financieras del PNUD. En los casos en que la gobernanza financiera de un Socio Implementador no proporcione la orientación necesaria para garantizar la mejor relación calidad-precio, equidad, integridad, transparencia y competencia internacional efectiva, se aplicará la gobernanza financiera del PNUD.</w:t>
      </w:r>
    </w:p>
    <w:p w14:paraId="3655C042" w14:textId="77777777" w:rsidR="00F01DBD" w:rsidRPr="00D830D9" w:rsidRDefault="00F01DBD" w:rsidP="008B6F84">
      <w:pPr>
        <w:jc w:val="both"/>
        <w:rPr>
          <w:rFonts w:asciiTheme="minorHAnsi" w:eastAsia="SimSun" w:hAnsiTheme="minorHAnsi" w:cstheme="minorHAnsi"/>
          <w:sz w:val="20"/>
          <w:szCs w:val="20"/>
          <w:lang w:val="es-EC"/>
        </w:rPr>
      </w:pPr>
    </w:p>
    <w:p w14:paraId="5A32C1A8" w14:textId="77777777" w:rsidR="008B6F84" w:rsidRPr="00A51E75" w:rsidRDefault="00211737" w:rsidP="008B6F84">
      <w:pPr>
        <w:keepNext/>
        <w:pBdr>
          <w:top w:val="single" w:sz="4" w:space="1" w:color="auto"/>
        </w:pBdr>
        <w:tabs>
          <w:tab w:val="num" w:pos="720"/>
        </w:tabs>
        <w:suppressAutoHyphens/>
        <w:spacing w:after="60"/>
        <w:ind w:left="720" w:hanging="720"/>
        <w:jc w:val="both"/>
        <w:outlineLvl w:val="0"/>
        <w:rPr>
          <w:rFonts w:asciiTheme="minorHAnsi" w:eastAsia="SimSun" w:hAnsiTheme="minorHAnsi" w:cstheme="minorHAnsi"/>
          <w:b/>
          <w:smallCaps/>
          <w:spacing w:val="-2"/>
          <w:sz w:val="28"/>
          <w:szCs w:val="20"/>
          <w:lang w:val="en-US"/>
        </w:rPr>
      </w:pPr>
      <w:bookmarkStart w:id="63" w:name="_Toc221696303"/>
      <w:r w:rsidRPr="00A51E75">
        <w:rPr>
          <w:rFonts w:asciiTheme="minorHAnsi" w:eastAsia="SimSun" w:hAnsiTheme="minorHAnsi" w:cstheme="minorHAnsi"/>
          <w:b/>
          <w:smallCaps/>
          <w:spacing w:val="-2"/>
          <w:sz w:val="28"/>
          <w:szCs w:val="20"/>
        </w:rPr>
        <w:t>Gestión de riesgos</w:t>
      </w:r>
      <w:bookmarkEnd w:id="63"/>
    </w:p>
    <w:p w14:paraId="683C2FDB" w14:textId="77777777" w:rsidR="008B6F84" w:rsidRPr="00A51E75" w:rsidRDefault="008B6F84" w:rsidP="008B6F84">
      <w:pPr>
        <w:spacing w:after="60"/>
        <w:jc w:val="both"/>
        <w:rPr>
          <w:rFonts w:asciiTheme="minorHAnsi" w:eastAsia="SimSun" w:hAnsiTheme="minorHAnsi" w:cstheme="minorHAnsi"/>
          <w:sz w:val="20"/>
          <w:szCs w:val="20"/>
          <w:lang w:val="en-US"/>
        </w:rPr>
      </w:pPr>
    </w:p>
    <w:p w14:paraId="64FCE373" w14:textId="77777777" w:rsidR="00D23340" w:rsidRPr="00A51E75"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szCs w:val="20"/>
          <w:lang w:val="en-US"/>
        </w:rPr>
      </w:pPr>
      <w:r w:rsidRPr="00A51E75">
        <w:rPr>
          <w:rFonts w:asciiTheme="minorHAnsi" w:eastAsia="SimSun" w:hAnsiTheme="minorHAnsi" w:cstheme="minorHAnsi"/>
          <w:sz w:val="20"/>
          <w:szCs w:val="20"/>
        </w:rPr>
        <w:t>De acuerdo con el Artículo III de la SBAA [o las Disposiciones Suplementarias del Documento del Proyecto], la responsabilidad de la seguridad y protección del Socio Ejecutor y de su personal y bienes, así como de los bienes del PNUD bajo la custodia del Socio Ejecutor, recae en el Socio Ejecutor. Para ello, el Socio Implementador deberá:</w:t>
      </w:r>
    </w:p>
    <w:p w14:paraId="54AEA052" w14:textId="77777777" w:rsidR="00D23340" w:rsidRPr="00D830D9" w:rsidRDefault="00D23340" w:rsidP="00EC2CBE">
      <w:pPr>
        <w:numPr>
          <w:ilvl w:val="0"/>
          <w:numId w:val="33"/>
        </w:numPr>
        <w:spacing w:after="120"/>
        <w:ind w:left="1080" w:hanging="540"/>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Establecer un plan de seguridad adecuado y mantenerlo, teniendo en cuenta la situación de seguridad en el país donde se lleva a cabo el proyecto;</w:t>
      </w:r>
    </w:p>
    <w:p w14:paraId="4A49590F" w14:textId="77777777" w:rsidR="00D23340" w:rsidRPr="00D830D9" w:rsidRDefault="00D23340" w:rsidP="00EC2CBE">
      <w:pPr>
        <w:numPr>
          <w:ilvl w:val="0"/>
          <w:numId w:val="33"/>
        </w:numPr>
        <w:spacing w:after="120"/>
        <w:ind w:left="1080" w:hanging="540"/>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Asume todos los riesgos y responsabilidades relacionados con la seguridad del Socio Implementador y la implementación completa del plan de seguridad.</w:t>
      </w:r>
    </w:p>
    <w:p w14:paraId="7AEA642B" w14:textId="77777777" w:rsidR="00EA5A9A"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El PNUD se reserva el derecho de verificar si dicho plan está en vigor y de sugerir modificaciones al plan cuando sea necesario. El incumplimiento de mantener e implementar un plan de seguridad adecuado según lo requerido a continuación se considerará un incumplimiento de las obligaciones del Socio Ejecutor bajo este Documento de Proyecto.</w:t>
      </w:r>
    </w:p>
    <w:p w14:paraId="0D11D004" w14:textId="1E3B32D5" w:rsidR="00EA5A9A" w:rsidRPr="00CE671D"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sz w:val="20"/>
        </w:rPr>
        <w:t xml:space="preserve">El Socio Ejecutor se compromete a realizar todos los esfuerzos razonables para garantizar que ningún fondo del PNUD recibido conforme al Documento del Proyecto se utilice para proporcionar apoyo a individuos o entidades asociadas con el terrorismo y que los destinatarios de cualquier cantidad proporcionada por el PNUD en virtud de la presente no aparezcan en la </w:t>
      </w:r>
      <w:r w:rsidRPr="00A51E75">
        <w:rPr>
          <w:rFonts w:asciiTheme="minorHAnsi" w:eastAsia="SimSun" w:hAnsiTheme="minorHAnsi" w:cstheme="minorHAnsi"/>
          <w:sz w:val="20"/>
          <w:szCs w:val="20"/>
        </w:rPr>
        <w:t xml:space="preserve">Lista Consolidada de Sanciones del Consejo de Seguridad de las </w:t>
      </w:r>
      <w:r w:rsidRPr="00CE671D">
        <w:rPr>
          <w:rFonts w:asciiTheme="minorHAnsi" w:eastAsia="SimSun" w:hAnsiTheme="minorHAnsi" w:cstheme="minorHAnsi"/>
          <w:sz w:val="20"/>
          <w:szCs w:val="20"/>
        </w:rPr>
        <w:t>Naciones Unidas,  y que ningún fondo del PNUD recibido conforme al Documento del Proyecto se utilice para actividades de blanqueo de capitales. La Lista Consolidada de Sanciones del Consejo de Seguridad de las Naciones Unidas puede consultarse a través de</w:t>
      </w:r>
      <w:r w:rsidR="00CE671D" w:rsidRPr="00CE671D">
        <w:rPr>
          <w:rFonts w:asciiTheme="minorHAnsi" w:eastAsia="SimSun" w:hAnsiTheme="minorHAnsi" w:cstheme="minorHAnsi"/>
          <w:sz w:val="20"/>
          <w:szCs w:val="20"/>
        </w:rPr>
        <w:t xml:space="preserve"> la</w:t>
      </w:r>
      <w:r w:rsidRPr="00CE671D">
        <w:rPr>
          <w:rFonts w:asciiTheme="minorHAnsi" w:eastAsia="SimSun" w:hAnsiTheme="minorHAnsi" w:cstheme="minorHAnsi"/>
          <w:sz w:val="20"/>
          <w:szCs w:val="20"/>
        </w:rPr>
        <w:t xml:space="preserve"> </w:t>
      </w:r>
      <w:hyperlink r:id="rId26" w:history="1">
        <w:r w:rsidR="00CE671D" w:rsidRPr="00CE671D">
          <w:rPr>
            <w:rStyle w:val="Hipervnculo"/>
            <w:rFonts w:asciiTheme="minorHAnsi" w:hAnsiTheme="minorHAnsi" w:cstheme="minorHAnsi"/>
            <w:sz w:val="20"/>
            <w:szCs w:val="20"/>
          </w:rPr>
          <w:t>Lista Consolidada del Consejo de Seguridad de las Naciones Unidas</w:t>
        </w:r>
      </w:hyperlink>
      <w:r w:rsidR="00A20A97" w:rsidRPr="00CE671D">
        <w:rPr>
          <w:rFonts w:asciiTheme="minorHAnsi" w:hAnsiTheme="minorHAnsi" w:cstheme="minorHAnsi"/>
          <w:sz w:val="20"/>
          <w:szCs w:val="20"/>
        </w:rPr>
        <w:t xml:space="preserve"> </w:t>
      </w:r>
      <w:r w:rsidRPr="00CE671D">
        <w:rPr>
          <w:rFonts w:asciiTheme="minorHAnsi" w:eastAsia="SimSun" w:hAnsiTheme="minorHAnsi" w:cstheme="minorHAnsi"/>
          <w:sz w:val="20"/>
          <w:szCs w:val="20"/>
        </w:rPr>
        <w:t>.</w:t>
      </w:r>
    </w:p>
    <w:p w14:paraId="7F65EFCF" w14:textId="77777777" w:rsidR="00D23340"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 xml:space="preserve">El Socio Implementador reconoce y acepta que el PNUD no tolerará el acoso sexual ni la explotación y abuso sexual de nadie por parte del Socio Implementador, ni de cada una de sus partes responsables, sus respectivos subreceptores y otras entidades implicadas en la implementación del Proyecto, ya sea como contratistas o subcontratistas y su personal, ni de cualquier persona que preste servicios para ellos bajo el Documento del Proyecto. </w:t>
      </w:r>
    </w:p>
    <w:p w14:paraId="04ADC78C" w14:textId="265A1D5A" w:rsidR="00D23340" w:rsidRPr="00D830D9" w:rsidRDefault="00D23340" w:rsidP="00D23340">
      <w:pPr>
        <w:spacing w:after="120"/>
        <w:ind w:left="360"/>
        <w:jc w:val="both"/>
        <w:rPr>
          <w:rFonts w:asciiTheme="minorHAnsi" w:eastAsia="SimSun" w:hAnsiTheme="minorHAnsi" w:cstheme="minorHAnsi"/>
          <w:sz w:val="20"/>
          <w:lang w:val="es-EC"/>
        </w:rPr>
      </w:pPr>
      <w:r w:rsidRPr="00A51E75">
        <w:rPr>
          <w:rFonts w:asciiTheme="minorHAnsi" w:eastAsia="SimSun" w:hAnsiTheme="minorHAnsi" w:cstheme="minorHAnsi"/>
          <w:sz w:val="20"/>
        </w:rPr>
        <w:t>(a) En la ejecución de las actividades bajo este Documento de Proyecto, el Socio Ejecutor y cada una de sus subpartes mencionadas anteriormente deberán cumplir con los estándares de conducta establecidos en el Boletín del Secretario General ST/SGB/2003/13 de 9 de octubre de 2003, relativo a "Medidas especiales para la protección frente a la explotación y abuso sexual</w:t>
      </w:r>
      <w:r w:rsidR="00CE671D">
        <w:rPr>
          <w:rFonts w:asciiTheme="minorHAnsi" w:eastAsia="SimSun" w:hAnsiTheme="minorHAnsi" w:cstheme="minorHAnsi"/>
          <w:sz w:val="20"/>
        </w:rPr>
        <w:t xml:space="preserve"> (</w:t>
      </w:r>
      <w:r w:rsidR="006C04F5">
        <w:rPr>
          <w:rFonts w:asciiTheme="minorHAnsi" w:eastAsia="SimSun" w:hAnsiTheme="minorHAnsi" w:cstheme="minorHAnsi"/>
          <w:sz w:val="20"/>
        </w:rPr>
        <w:t>EAS</w:t>
      </w:r>
      <w:r w:rsidRPr="00A51E75">
        <w:rPr>
          <w:rFonts w:asciiTheme="minorHAnsi" w:eastAsia="SimSun" w:hAnsiTheme="minorHAnsi" w:cstheme="minorHAnsi"/>
          <w:sz w:val="20"/>
        </w:rPr>
        <w:t xml:space="preserve">). </w:t>
      </w:r>
    </w:p>
    <w:p w14:paraId="19CCF657" w14:textId="19376121" w:rsidR="00D23340" w:rsidRPr="00D830D9" w:rsidRDefault="00D23340" w:rsidP="00D23340">
      <w:pPr>
        <w:spacing w:after="120"/>
        <w:ind w:left="360"/>
        <w:jc w:val="both"/>
        <w:rPr>
          <w:rFonts w:asciiTheme="minorHAnsi" w:eastAsia="SimSun" w:hAnsiTheme="minorHAnsi" w:cstheme="minorHAnsi"/>
          <w:sz w:val="20"/>
          <w:lang w:val="es-EC"/>
        </w:rPr>
      </w:pPr>
      <w:r w:rsidRPr="00A51E75">
        <w:rPr>
          <w:rFonts w:asciiTheme="minorHAnsi" w:eastAsia="SimSun" w:hAnsiTheme="minorHAnsi" w:cstheme="minorHAnsi"/>
          <w:sz w:val="20"/>
        </w:rPr>
        <w:t xml:space="preserve">(b) Además, y sin limitación a la aplicación de otras regulaciones, normas, políticas y procedimientos relacionados con la realización de las actividades bajo este Documento de Proyecto, en la implementación de actividades, el Socio Ejecutor y cada una de sus subpartes mencionadas anteriormente no deberán incurrir en ninguna forma de acoso sexual </w:t>
      </w:r>
      <w:r w:rsidR="00CE671D">
        <w:rPr>
          <w:rFonts w:asciiTheme="minorHAnsi" w:eastAsia="SimSun" w:hAnsiTheme="minorHAnsi" w:cstheme="minorHAnsi"/>
          <w:sz w:val="20"/>
        </w:rPr>
        <w:t>(AS</w:t>
      </w:r>
      <w:r w:rsidRPr="00A51E75">
        <w:rPr>
          <w:rFonts w:asciiTheme="minorHAnsi" w:eastAsia="SimSun" w:hAnsiTheme="minorHAnsi" w:cstheme="minorHAnsi"/>
          <w:sz w:val="20"/>
        </w:rPr>
        <w:t xml:space="preserve">). </w:t>
      </w:r>
      <w:r w:rsidR="006C04F5">
        <w:rPr>
          <w:rFonts w:asciiTheme="minorHAnsi" w:eastAsia="SimSun" w:hAnsiTheme="minorHAnsi" w:cstheme="minorHAnsi"/>
          <w:sz w:val="20"/>
        </w:rPr>
        <w:t>El</w:t>
      </w:r>
      <w:r w:rsidRPr="00A51E75">
        <w:rPr>
          <w:rFonts w:asciiTheme="minorHAnsi" w:eastAsia="SimSun" w:hAnsiTheme="minorHAnsi" w:cstheme="minorHAnsi"/>
          <w:sz w:val="20"/>
        </w:rPr>
        <w:t xml:space="preserve"> </w:t>
      </w:r>
      <w:r w:rsidR="006C04F5">
        <w:rPr>
          <w:rFonts w:asciiTheme="minorHAnsi" w:eastAsia="SimSun" w:hAnsiTheme="minorHAnsi" w:cstheme="minorHAnsi"/>
          <w:sz w:val="20"/>
        </w:rPr>
        <w:t>AS</w:t>
      </w:r>
      <w:r w:rsidRPr="00A51E75">
        <w:rPr>
          <w:rFonts w:asciiTheme="minorHAnsi" w:eastAsia="SimSun" w:hAnsiTheme="minorHAnsi" w:cstheme="minorHAnsi"/>
          <w:sz w:val="20"/>
        </w:rPr>
        <w:t xml:space="preserve"> se define como cualquier conducta no deseada de naturaleza sexual que razonablemente podría esperarse o percibirse como causa ofensa o humillación, cuando dicha conducta interfiere con el trabajo, se convierte en condición de empleo o crea un ambiente laboral intimidante, hostil u ofensivo.</w:t>
      </w:r>
      <w:r w:rsidR="00CE671D">
        <w:rPr>
          <w:rFonts w:asciiTheme="minorHAnsi" w:eastAsia="SimSun" w:hAnsiTheme="minorHAnsi" w:cstheme="minorHAnsi"/>
          <w:sz w:val="20"/>
        </w:rPr>
        <w:t xml:space="preserve"> </w:t>
      </w:r>
      <w:r w:rsidR="00CE671D" w:rsidRPr="00A51E75">
        <w:rPr>
          <w:rFonts w:asciiTheme="minorHAnsi" w:eastAsia="SimSun" w:hAnsiTheme="minorHAnsi" w:cstheme="minorHAnsi"/>
          <w:sz w:val="20"/>
        </w:rPr>
        <w:t xml:space="preserve">La </w:t>
      </w:r>
      <w:r w:rsidR="00CE671D" w:rsidRPr="00A51E75">
        <w:rPr>
          <w:rFonts w:asciiTheme="minorHAnsi" w:eastAsia="SimSun" w:hAnsiTheme="minorHAnsi" w:cstheme="minorHAnsi"/>
          <w:sz w:val="20"/>
          <w:szCs w:val="20"/>
        </w:rPr>
        <w:t>automutilación</w:t>
      </w:r>
      <w:r w:rsidRPr="00A51E75">
        <w:rPr>
          <w:rFonts w:asciiTheme="minorHAnsi" w:eastAsia="SimSun" w:hAnsiTheme="minorHAnsi" w:cstheme="minorHAnsi"/>
          <w:sz w:val="20"/>
          <w:szCs w:val="20"/>
        </w:rPr>
        <w:t xml:space="preserve"> puede ocurrir en el lugar de trabajo o en relación con el trabajo. Aunque normalmente implica un patrón de conducta, </w:t>
      </w:r>
      <w:r w:rsidR="00CE671D" w:rsidRPr="00A51E75">
        <w:rPr>
          <w:rFonts w:asciiTheme="minorHAnsi" w:eastAsia="SimSun" w:hAnsiTheme="minorHAnsi" w:cstheme="minorHAnsi"/>
          <w:sz w:val="20"/>
          <w:szCs w:val="20"/>
        </w:rPr>
        <w:t>la autolesión</w:t>
      </w:r>
      <w:r w:rsidRPr="00A51E75">
        <w:rPr>
          <w:rFonts w:asciiTheme="minorHAnsi" w:eastAsia="SimSun" w:hAnsiTheme="minorHAnsi" w:cstheme="minorHAnsi"/>
          <w:sz w:val="20"/>
          <w:szCs w:val="20"/>
        </w:rPr>
        <w:t xml:space="preserve"> puede manifestarse en forma de un solo incidente. Al evaluar la razonabilidad de las expectativas o percepciones, se debe tener en cuenta la perspectiva de la persona que es el objetivo de la conducta. </w:t>
      </w:r>
    </w:p>
    <w:p w14:paraId="67132F16" w14:textId="77777777" w:rsidR="00D23340"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 xml:space="preserve">a) En la realización de las actividades bajo este Documento de Proyecto, el Socio Ejecutor deberá (respecto a sus propias actividades) y deberá exigir a sus subpartes mencionadas en el párrafo 4 (respecto a sus actividades) que cuenten con estándares y procedimientos mínimos establecidos, o un plan para desarrollar y/o mejorar dichos estándares y procedimientos con el fin de poder llevar a cabo acciones preventivas e investigativas efectivas. Estas deberían incluir: políticas sobre acoso sexual y explotación </w:t>
      </w:r>
      <w:r w:rsidRPr="00A51E75">
        <w:rPr>
          <w:rFonts w:asciiTheme="minorHAnsi" w:eastAsia="SimSun" w:hAnsiTheme="minorHAnsi" w:cstheme="minorHAnsi"/>
          <w:sz w:val="20"/>
        </w:rPr>
        <w:lastRenderedPageBreak/>
        <w:t>y abuso sexual; políticas sobre denuncias/protección contra represalias; y quejas, mecanismos disciplinarios e investigativos. En línea con esto, el Socio Implementador requerirá y requerirá que dichas subpartes tomen todas las medidas apropiadas para:</w:t>
      </w:r>
    </w:p>
    <w:p w14:paraId="5EBEDD4A" w14:textId="77777777" w:rsidR="00CE671D" w:rsidRPr="00E645DE" w:rsidRDefault="00CE671D" w:rsidP="00EC2CBE">
      <w:pPr>
        <w:numPr>
          <w:ilvl w:val="2"/>
          <w:numId w:val="34"/>
        </w:numPr>
        <w:spacing w:after="120"/>
        <w:ind w:left="1260" w:hanging="270"/>
        <w:jc w:val="both"/>
        <w:rPr>
          <w:rFonts w:asciiTheme="minorHAnsi" w:eastAsia="SimSun" w:hAnsiTheme="minorHAnsi" w:cstheme="minorHAnsi"/>
          <w:sz w:val="20"/>
          <w:lang w:val="es-EC"/>
        </w:rPr>
      </w:pPr>
      <w:r w:rsidRPr="00E645DE">
        <w:rPr>
          <w:rFonts w:asciiTheme="minorHAnsi" w:eastAsia="SimSun" w:hAnsiTheme="minorHAnsi" w:cstheme="minorHAnsi"/>
          <w:sz w:val="20"/>
          <w:lang w:val="es-EC"/>
        </w:rPr>
        <w:t>Prevenir que sus empleados, agentes o cualquier otra persona contratada para prestar servicios en el marco del presente Documento de Proyecto participen en actos de acoso sexual (AS) o explotación y abuso sexual (EAS);</w:t>
      </w:r>
    </w:p>
    <w:p w14:paraId="5B3C5BBD" w14:textId="77777777" w:rsidR="00CE671D" w:rsidRPr="00CE671D" w:rsidRDefault="00CE671D" w:rsidP="00EC2CBE">
      <w:pPr>
        <w:numPr>
          <w:ilvl w:val="2"/>
          <w:numId w:val="34"/>
        </w:numPr>
        <w:spacing w:after="120"/>
        <w:ind w:left="1260" w:hanging="270"/>
        <w:jc w:val="both"/>
        <w:rPr>
          <w:rFonts w:asciiTheme="minorHAnsi" w:eastAsia="SimSun" w:hAnsiTheme="minorHAnsi" w:cstheme="minorHAnsi"/>
          <w:sz w:val="20"/>
          <w:lang w:val="es-EC"/>
        </w:rPr>
      </w:pPr>
      <w:r w:rsidRPr="00CE671D">
        <w:rPr>
          <w:rFonts w:asciiTheme="minorHAnsi" w:eastAsia="SimSun" w:hAnsiTheme="minorHAnsi" w:cstheme="minorHAnsi"/>
          <w:sz w:val="20"/>
          <w:lang w:val="es-EC"/>
        </w:rPr>
        <w:t>Ofrecer a sus empleados y personal asociado capacitación sobre la prevención y respuesta frente al AS y la EAS. En caso de que el Socio Implementador y sus subpartes mencionadas en el párrafo 4 no cuenten con su propia capacitación sobre la prevención del AS y la EAS, podrán utilizar el material de formación disponible en el PNUD;</w:t>
      </w:r>
    </w:p>
    <w:p w14:paraId="3598452A" w14:textId="77777777" w:rsidR="00CE671D" w:rsidRPr="00CE671D" w:rsidRDefault="00CE671D" w:rsidP="00EC2CBE">
      <w:pPr>
        <w:numPr>
          <w:ilvl w:val="2"/>
          <w:numId w:val="34"/>
        </w:numPr>
        <w:spacing w:after="120"/>
        <w:ind w:left="1260" w:hanging="270"/>
        <w:jc w:val="both"/>
        <w:rPr>
          <w:rFonts w:asciiTheme="minorHAnsi" w:eastAsia="SimSun" w:hAnsiTheme="minorHAnsi" w:cstheme="minorHAnsi"/>
          <w:sz w:val="20"/>
          <w:lang w:val="es-EC"/>
        </w:rPr>
      </w:pPr>
      <w:r w:rsidRPr="00CE671D">
        <w:rPr>
          <w:rFonts w:asciiTheme="minorHAnsi" w:eastAsia="SimSun" w:hAnsiTheme="minorHAnsi" w:cstheme="minorHAnsi"/>
          <w:sz w:val="20"/>
          <w:lang w:val="es-EC"/>
        </w:rPr>
        <w:t>Reportar y monitorear las denuncias de AS y EAS de las cuales el Socio Implementador y sus subpartes hayan sido informados o de las que hayan tenido conocimiento por otros medios, así como el estado de dichas denuncias;</w:t>
      </w:r>
    </w:p>
    <w:p w14:paraId="2DA23E7E" w14:textId="77777777" w:rsidR="00CE671D" w:rsidRPr="00CE671D" w:rsidRDefault="00CE671D" w:rsidP="00EC2CBE">
      <w:pPr>
        <w:numPr>
          <w:ilvl w:val="2"/>
          <w:numId w:val="34"/>
        </w:numPr>
        <w:spacing w:after="120"/>
        <w:ind w:left="1260" w:hanging="270"/>
        <w:jc w:val="both"/>
        <w:rPr>
          <w:rFonts w:asciiTheme="minorHAnsi" w:eastAsia="SimSun" w:hAnsiTheme="minorHAnsi" w:cstheme="minorHAnsi"/>
          <w:sz w:val="20"/>
          <w:lang w:val="es-EC"/>
        </w:rPr>
      </w:pPr>
      <w:r w:rsidRPr="00CE671D">
        <w:rPr>
          <w:rFonts w:asciiTheme="minorHAnsi" w:eastAsia="SimSun" w:hAnsiTheme="minorHAnsi" w:cstheme="minorHAnsi"/>
          <w:sz w:val="20"/>
          <w:lang w:val="es-EC"/>
        </w:rPr>
        <w:t>Referir a las víctimas/sobrevivientes de AS y EAS a servicios de asistencia confidenciales y seguros;</w:t>
      </w:r>
    </w:p>
    <w:p w14:paraId="44442045" w14:textId="77777777" w:rsidR="00CE671D" w:rsidRPr="007E49E0" w:rsidRDefault="00CE671D" w:rsidP="00EC2CBE">
      <w:pPr>
        <w:numPr>
          <w:ilvl w:val="2"/>
          <w:numId w:val="34"/>
        </w:numPr>
        <w:spacing w:after="120"/>
        <w:ind w:left="1260" w:hanging="270"/>
        <w:jc w:val="both"/>
        <w:rPr>
          <w:rFonts w:asciiTheme="minorHAnsi" w:eastAsia="SimSun" w:hAnsiTheme="minorHAnsi" w:cstheme="minorHAnsi"/>
          <w:sz w:val="20"/>
          <w:lang w:val="es-EC"/>
        </w:rPr>
      </w:pPr>
      <w:r w:rsidRPr="006C04F5">
        <w:rPr>
          <w:rFonts w:asciiTheme="minorHAnsi" w:eastAsia="SimSun" w:hAnsiTheme="minorHAnsi" w:cstheme="minorHAnsi"/>
          <w:sz w:val="20"/>
        </w:rPr>
        <w:t>Registrar e investigar de manera inmediata y confidencial cualquier denuncia suficientemente creíble que justifique una investigación de AS o EAS. El Socio Implementador informará al PNUD sobre cualquier denuncia recibida y las investigaciones que él mismo o sus subpartes (según el párrafo 4) estén llevando a cabo en relación con sus actividades bajo el Documento de Proyecto, y mantendrá informado al PNUD durante la investigación, en la medida en que dicha notificación: (i) no ponga en riesgo la realización de la investigación, incluida la seguridad o protección de las personas, y/o (ii) no contravenga las leyes que le sean aplicables. Tras la investigación, el Socio Implementador informará al PNUD sobre las medidas adoptadas por él o por cualquiera de las otras entidades como consecuencia de dicha investigación</w:t>
      </w:r>
      <w:r w:rsidRPr="007E49E0">
        <w:rPr>
          <w:rFonts w:asciiTheme="minorHAnsi" w:eastAsia="SimSun" w:hAnsiTheme="minorHAnsi" w:cstheme="minorHAnsi"/>
          <w:sz w:val="20"/>
          <w:lang w:val="es-EC"/>
        </w:rPr>
        <w:t>.</w:t>
      </w:r>
    </w:p>
    <w:p w14:paraId="5D85906D" w14:textId="77777777" w:rsidR="00D23340" w:rsidRPr="00D830D9" w:rsidRDefault="00D23340" w:rsidP="00D23340">
      <w:pPr>
        <w:spacing w:after="120"/>
        <w:ind w:left="540"/>
        <w:jc w:val="both"/>
        <w:rPr>
          <w:rFonts w:asciiTheme="minorHAnsi" w:eastAsia="SimSun" w:hAnsiTheme="minorHAnsi" w:cstheme="minorHAnsi"/>
          <w:sz w:val="20"/>
          <w:lang w:val="es-EC"/>
        </w:rPr>
      </w:pPr>
      <w:r w:rsidRPr="00A51E75">
        <w:rPr>
          <w:rFonts w:asciiTheme="minorHAnsi" w:eastAsia="SimSun" w:hAnsiTheme="minorHAnsi" w:cstheme="minorHAnsi"/>
          <w:sz w:val="20"/>
        </w:rPr>
        <w:t>b) El Socio Ejecutor deberá establecer que ha cumplido con lo anterior, a satisfacción del PNUD, cuando lo solicite el PNUD o cualquier parte que actúe en su nombre para proporcionar dicha confirmación. El incumplimiento de lo anterior por parte del Socio Ejecutor, y de cada una de sus subpartes mencionadas en el párrafo 4, según lo determine el PNUD, se considerará motivo de suspensión o terminación del Proyecto.</w:t>
      </w:r>
    </w:p>
    <w:p w14:paraId="3DCE4F78" w14:textId="22BE1A4F" w:rsidR="001513E6"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La sostenibilidad social y medioambiental se fortalecerá mediante la aplicación de los Estándares Sociales y Medioambientales (http://www.undp.org/ses) del PNUD</w:t>
      </w:r>
      <w:hyperlink r:id="rId27" w:history="1">
        <w:r w:rsidR="00A20A97" w:rsidRPr="00A51E75">
          <w:rPr>
            <w:rStyle w:val="Hipervnculo"/>
          </w:rPr>
          <w:t xml:space="preserve"> </w:t>
        </w:r>
      </w:hyperlink>
      <w:r w:rsidRPr="00A51E75">
        <w:rPr>
          <w:rFonts w:asciiTheme="minorHAnsi" w:eastAsia="SimSun" w:hAnsiTheme="minorHAnsi" w:cstheme="minorHAnsi"/>
          <w:sz w:val="20"/>
        </w:rPr>
        <w:t>y el Mecanismo de Rendición de Cuentas (</w:t>
      </w:r>
      <w:hyperlink r:id="rId28" w:history="1">
        <w:r w:rsidRPr="00A51E75">
          <w:rPr>
            <w:rFonts w:asciiTheme="minorHAnsi" w:eastAsia="SimSun" w:hAnsiTheme="minorHAnsi" w:cstheme="minorHAnsi"/>
            <w:sz w:val="20"/>
          </w:rPr>
          <w:t xml:space="preserve">http://www.undp.org/secu-srm) </w:t>
        </w:r>
      </w:hyperlink>
      <w:r w:rsidRPr="00A51E75">
        <w:rPr>
          <w:rFonts w:asciiTheme="minorHAnsi" w:eastAsia="SimSun" w:hAnsiTheme="minorHAnsi" w:cstheme="minorHAnsi"/>
          <w:sz w:val="20"/>
        </w:rPr>
        <w:t>relacionado.</w:t>
      </w:r>
    </w:p>
    <w:p w14:paraId="457B6A4A" w14:textId="77777777" w:rsidR="00C74605"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El Socio Ejecutor deberá: (a) llevar a cabo actividades relacionadas con proyectos y programas de manera coherente con los Estándares Sociales y Medioambientales del PNUD, (b) implementar cualquier plan de gestión o mitigación preparado para el proyecto o programa para cumplir con dichas normas, y (c) participar de manera constructiva y oportuna para abordar cualquier preocupación o queja planteada a través del Mecanismo de Rendición de Cuentas. El PNUD buscará garantizar que las comunidades y otros actores del proyecto estén informados y tengan acceso al Mecanismo de Rendición de Cuentas.</w:t>
      </w:r>
    </w:p>
    <w:p w14:paraId="2FD28BC6" w14:textId="77777777" w:rsidR="00C74605"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Todos los firmantes del Documento del Proyecto deberán cooperar de buena fe con cualquier ejercicio para evaluar cualquier compromiso relacionado con el programa o proyecto, o el cumplimiento de los Estándares Sociales y Medioambientales del PNUD. Esto incluye proporcionar acceso a los sitios del proyecto, personal relevante, información y documentación.</w:t>
      </w:r>
    </w:p>
    <w:p w14:paraId="3B48EA3F" w14:textId="77777777" w:rsidR="00C74605"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 xml:space="preserve">El Socio Ejecutor tomará las medidas adecuadas para prevenir el mal uso de fondos, fraude o corrupción por parte de sus funcionarios, consultores, partes responsables, subcontratistas y </w:t>
      </w:r>
      <w:proofErr w:type="spellStart"/>
      <w:r w:rsidRPr="00A51E75">
        <w:rPr>
          <w:rFonts w:asciiTheme="minorHAnsi" w:eastAsia="SimSun" w:hAnsiTheme="minorHAnsi" w:cstheme="minorHAnsi"/>
          <w:sz w:val="20"/>
        </w:rPr>
        <w:t>subbeneficiarios</w:t>
      </w:r>
      <w:proofErr w:type="spellEnd"/>
      <w:r w:rsidRPr="00A51E75">
        <w:rPr>
          <w:rFonts w:asciiTheme="minorHAnsi" w:eastAsia="SimSun" w:hAnsiTheme="minorHAnsi" w:cstheme="minorHAnsi"/>
          <w:sz w:val="20"/>
        </w:rPr>
        <w:t xml:space="preserve"> en la implementación del proyecto o en el uso de fondos del PNUD. </w:t>
      </w:r>
    </w:p>
    <w:p w14:paraId="253A117C" w14:textId="1DCA3925" w:rsidR="006358A3"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rPr>
        <w:t>En la implementación</w:t>
      </w:r>
      <w:r w:rsidRPr="00A51E75">
        <w:rPr>
          <w:rFonts w:asciiTheme="minorHAnsi" w:eastAsia="Calibri" w:hAnsiTheme="minorHAnsi" w:cstheme="minorHAnsi"/>
          <w:color w:val="000000"/>
          <w:sz w:val="20"/>
        </w:rPr>
        <w:t xml:space="preserve"> de las actividades bajo este Documento de Proyecto, el PNUD </w:t>
      </w:r>
      <w:r w:rsidR="006C04F5" w:rsidRPr="00A51E75">
        <w:rPr>
          <w:rFonts w:asciiTheme="minorHAnsi" w:eastAsia="Calibri" w:hAnsiTheme="minorHAnsi" w:cstheme="minorHAnsi"/>
          <w:color w:val="000000"/>
          <w:sz w:val="20"/>
        </w:rPr>
        <w:t>confía</w:t>
      </w:r>
      <w:r w:rsidRPr="00A51E75">
        <w:rPr>
          <w:rFonts w:asciiTheme="minorHAnsi" w:eastAsia="Calibri" w:hAnsiTheme="minorHAnsi" w:cstheme="minorHAnsi"/>
          <w:color w:val="000000"/>
          <w:sz w:val="20"/>
        </w:rPr>
        <w:t xml:space="preserve"> razonablemente en el Socio Ejecutor para que aplique sus leyes, regulaciones y procesos, así como las leyes internacionales aplicables en materia de lucha contra el blanqueo de capitales y la lucha contra la financiación del terrorismo, con el fin de garantizar la coherencia con los principios entonces vigentes de la Política del PNUD contra el Blanqueo de Capitales y la Financiación del Terrorismo.</w:t>
      </w:r>
    </w:p>
    <w:p w14:paraId="62E0F928" w14:textId="77777777"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Calibri" w:hAnsiTheme="minorHAnsi" w:cstheme="minorHAnsi"/>
          <w:color w:val="000000"/>
          <w:sz w:val="20"/>
        </w:rPr>
        <w:t>El Socio Ejecutor garantizará que sus políticas de gestión financiera, anticorrupción, fraude y prevención del lavado de capitales y la financiación del terrorismo estén implementadas y se apliquen para toda financiación recibida de o a través del PNUD.</w:t>
      </w:r>
    </w:p>
    <w:p w14:paraId="1B4B00A1" w14:textId="1B57EC3F"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Calibri" w:hAnsiTheme="minorHAnsi" w:cstheme="minorHAnsi"/>
          <w:color w:val="000000"/>
          <w:sz w:val="20"/>
        </w:rPr>
        <w:t xml:space="preserve">Los requisitos de los siguientes documentos, entonces vigentes en el momento de la firma del Documento del Proyecto, se aplican al Socio Implementador: (a) Política del PNUD sobre Fraude y otras Prácticas Corruptas y (b) Directrices de Investigación de la Oficina de Auditoría e Investigaciones del PNUD. El Socio Implementador acepta los requisitos de los documentos mencionados, que son una parte integral de este Documento del Proyecto y están disponibles en línea en </w:t>
      </w:r>
      <w:hyperlink r:id="rId29" w:history="1">
        <w:r w:rsidR="00AC0C79" w:rsidRPr="00A51E75">
          <w:rPr>
            <w:rStyle w:val="Hipervnculo"/>
            <w:rFonts w:asciiTheme="minorHAnsi" w:eastAsia="Calibri" w:hAnsiTheme="minorHAnsi" w:cstheme="minorHAnsi"/>
            <w:sz w:val="20"/>
          </w:rPr>
          <w:t>www.undp.org</w:t>
        </w:r>
      </w:hyperlink>
      <w:r w:rsidRPr="00A51E75">
        <w:rPr>
          <w:rFonts w:asciiTheme="minorHAnsi" w:eastAsia="Calibri" w:hAnsiTheme="minorHAnsi" w:cstheme="minorHAnsi"/>
          <w:color w:val="000000"/>
          <w:sz w:val="20"/>
        </w:rPr>
        <w:t>.</w:t>
      </w:r>
    </w:p>
    <w:p w14:paraId="309585C7" w14:textId="77777777"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Calibri" w:hAnsiTheme="minorHAnsi" w:cstheme="minorHAnsi"/>
          <w:color w:val="000000"/>
          <w:sz w:val="20"/>
        </w:rPr>
        <w:t xml:space="preserve">En caso de que se requiera una investigación, el PNUD tiene la obligación de realizar investigaciones relacionadas con cualquier aspecto de los proyectos y programas del PNUD de acuerdo con las regulaciones, normas, políticas y procedimientos del PNUD. El Socio Ejecutor deberá proporcionar su plena cooperación, incluyendo la puesta a disposición del personal, la documentación relevante y la concesión de acceso a las instalaciones del Socio Ejecutor (y de sus consultores, partes responsables, subcontratistas y subreceptores), para los fines en </w:t>
      </w:r>
      <w:proofErr w:type="gramStart"/>
      <w:r w:rsidRPr="00A51E75">
        <w:rPr>
          <w:rFonts w:asciiTheme="minorHAnsi" w:eastAsia="Calibri" w:hAnsiTheme="minorHAnsi" w:cstheme="minorHAnsi"/>
          <w:color w:val="000000"/>
          <w:sz w:val="20"/>
        </w:rPr>
        <w:t>tiempos razonables y condiciones razonables</w:t>
      </w:r>
      <w:proofErr w:type="gramEnd"/>
      <w:r w:rsidRPr="00A51E75">
        <w:rPr>
          <w:rFonts w:asciiTheme="minorHAnsi" w:eastAsia="Calibri" w:hAnsiTheme="minorHAnsi" w:cstheme="minorHAnsi"/>
          <w:color w:val="000000"/>
          <w:sz w:val="20"/>
        </w:rPr>
        <w:t xml:space="preserve"> que sean necesarias para el propósito de una investigación. Si existe una limitación para cumplir con esta obligación, el PNUD consultará con el Socio Ejecutor para encontrar una solución.</w:t>
      </w:r>
    </w:p>
    <w:p w14:paraId="10C82903" w14:textId="71FF08E5"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Calibri" w:hAnsiTheme="minorHAnsi" w:cstheme="minorHAnsi"/>
          <w:color w:val="000000"/>
          <w:sz w:val="20"/>
        </w:rPr>
        <w:lastRenderedPageBreak/>
        <w:t>Los firmantes</w:t>
      </w:r>
      <w:r w:rsidRPr="00A51E75">
        <w:rPr>
          <w:rFonts w:asciiTheme="minorHAnsi" w:eastAsia="SimSun" w:hAnsiTheme="minorHAnsi" w:cstheme="minorHAnsi"/>
          <w:sz w:val="20"/>
        </w:rPr>
        <w:t xml:space="preserve"> de este Documento del Proyecto se informarán con prontitud en caso de cualquier incidente de uso inapropiado de fondos o de una acusación creíble de fraude o corrupción, con la debida confidencialidad.</w:t>
      </w:r>
      <w:r w:rsidR="006C04F5">
        <w:rPr>
          <w:rFonts w:asciiTheme="minorHAnsi" w:eastAsia="SimSun" w:hAnsiTheme="minorHAnsi" w:cstheme="minorHAnsi"/>
          <w:sz w:val="20"/>
        </w:rPr>
        <w:t xml:space="preserve"> </w:t>
      </w:r>
      <w:r w:rsidRPr="00A51E75">
        <w:rPr>
          <w:rFonts w:asciiTheme="minorHAnsi" w:eastAsia="SimSun" w:hAnsiTheme="minorHAnsi" w:cstheme="minorHAnsi"/>
          <w:sz w:val="20"/>
          <w:szCs w:val="20"/>
        </w:rPr>
        <w:t>Cuando el Socio Ejecutor se entere de que un proyecto o actividad del PNUD, total o parcialmente, es objeto de investigación por presunta fraude/corrupción, el Socio Ejecutor informará al Representante Residente/Jefe de Oficina del PNUD, quien informará rápidamente a la Oficina de Auditoría e Investigaciones (OAI) del PNUD. El Socio Ejecutor deberá proporcionar actualizaciones regulares al jefe del PNUD en el país y la OAI sobre el estado y las acciones relacionadas con dicha investigación.</w:t>
      </w:r>
    </w:p>
    <w:p w14:paraId="69DA1527" w14:textId="77777777"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lang w:val="es-EC"/>
        </w:rPr>
      </w:pPr>
      <w:r w:rsidRPr="00A51E75">
        <w:rPr>
          <w:rFonts w:asciiTheme="minorHAnsi" w:eastAsia="SimSun" w:hAnsiTheme="minorHAnsi" w:cstheme="minorHAnsi"/>
          <w:sz w:val="20"/>
          <w:szCs w:val="20"/>
        </w:rPr>
        <w:t xml:space="preserve">El PNUD tendrá derecho a un reembolso del Socio Ejecutor de cualquier fondo proporcionado que haya sido utilizado de forma inapropiada, </w:t>
      </w:r>
      <w:r w:rsidRPr="00A51E75">
        <w:rPr>
          <w:rFonts w:asciiTheme="minorHAnsi" w:eastAsia="SimSun" w:hAnsiTheme="minorHAnsi" w:cstheme="minorHAnsi"/>
          <w:sz w:val="20"/>
        </w:rPr>
        <w:t>incluyendo</w:t>
      </w:r>
      <w:r w:rsidRPr="00A51E75">
        <w:rPr>
          <w:rFonts w:asciiTheme="minorHAnsi" w:eastAsia="SimSun" w:hAnsiTheme="minorHAnsi" w:cstheme="minorHAnsi"/>
          <w:sz w:val="20"/>
          <w:szCs w:val="20"/>
        </w:rPr>
        <w:t xml:space="preserve"> fraude, corrupción u otra irregularidad financiera, o que haya sido pagado de forma distinta a los términos y condiciones del Documento del Proyecto. Dicha cantidad podrá ser deducida por el PNUD de cualquier pago debido al Socio Ejecutor bajo este u otro acuerdo. La recuperación de dicha cantidad por parte del PNUD no disminuirá ni restringirá las obligaciones del Socio Ejecutor bajo este Documento del Proyecto.</w:t>
      </w:r>
    </w:p>
    <w:p w14:paraId="6E6A7ACB" w14:textId="77777777" w:rsidR="00AC0C79" w:rsidRPr="00D830D9" w:rsidRDefault="00D23340" w:rsidP="00AC0C79">
      <w:pPr>
        <w:pStyle w:val="Prrafodelista"/>
        <w:ind w:left="284"/>
        <w:jc w:val="both"/>
        <w:rPr>
          <w:rFonts w:asciiTheme="minorHAnsi" w:eastAsia="SimSun" w:hAnsiTheme="minorHAnsi" w:cstheme="minorHAnsi"/>
          <w:sz w:val="20"/>
          <w:lang w:val="es-EC"/>
        </w:rPr>
      </w:pPr>
      <w:r w:rsidRPr="00A51E75">
        <w:rPr>
          <w:rFonts w:asciiTheme="minorHAnsi" w:eastAsia="SimSun" w:hAnsiTheme="minorHAnsi" w:cstheme="minorHAnsi"/>
          <w:sz w:val="20"/>
        </w:rPr>
        <w:t xml:space="preserve">Cuando </w:t>
      </w:r>
      <w:r w:rsidRPr="00A51E75">
        <w:rPr>
          <w:rFonts w:asciiTheme="minorHAnsi" w:eastAsia="SimSun" w:hAnsiTheme="minorHAnsi" w:cstheme="minorHAnsi"/>
          <w:sz w:val="20"/>
          <w:szCs w:val="20"/>
        </w:rPr>
        <w:t>dichos</w:t>
      </w:r>
      <w:r w:rsidRPr="00A51E75">
        <w:rPr>
          <w:rFonts w:asciiTheme="minorHAnsi" w:eastAsia="SimSun" w:hAnsiTheme="minorHAnsi" w:cstheme="minorHAnsi"/>
          <w:sz w:val="20"/>
        </w:rPr>
        <w:t xml:space="preserve"> fondos no hayan sido reembolsados al PNUD, el Socio Ejecutor acepta que los donantes al PNUD (incluido el Gobierno) cuya financiación sea la fuente, total o parcialmente, de los fondos para las actividades bajo este Documento de Proyecto, podrán recurrir al Socio Ejecutor para la recuperación de cualquier fondo que el PNUD determine que se ha utilizado inadecuadamente,  incluyendo fraude, corrupción u otra irregularidad financiera, o pagados de otra forma que no sean conforme a los términos y condiciones del Documento del Proyecto.</w:t>
      </w:r>
    </w:p>
    <w:p w14:paraId="05F5A0BB" w14:textId="60052BD4" w:rsidR="00D23340" w:rsidRPr="00D830D9" w:rsidRDefault="00D23340" w:rsidP="00AC0C79">
      <w:pPr>
        <w:pStyle w:val="Prrafodelista"/>
        <w:ind w:left="284"/>
        <w:jc w:val="both"/>
        <w:rPr>
          <w:rFonts w:asciiTheme="minorHAnsi" w:eastAsia="SimSun" w:hAnsiTheme="minorHAnsi" w:cstheme="minorHAnsi"/>
          <w:sz w:val="20"/>
          <w:lang w:val="es-EC"/>
        </w:rPr>
      </w:pPr>
      <w:r w:rsidRPr="00A51E75">
        <w:rPr>
          <w:rFonts w:asciiTheme="minorHAnsi" w:eastAsia="SimSun" w:hAnsiTheme="minorHAnsi" w:cstheme="minorHAnsi"/>
          <w:i/>
          <w:sz w:val="20"/>
          <w:szCs w:val="20"/>
          <w:u w:val="single"/>
        </w:rPr>
        <w:t>Nota:</w:t>
      </w:r>
      <w:r w:rsidRPr="00A51E75">
        <w:rPr>
          <w:rFonts w:asciiTheme="minorHAnsi" w:eastAsia="SimSun" w:hAnsiTheme="minorHAnsi" w:cstheme="minorHAnsi"/>
          <w:sz w:val="20"/>
          <w:szCs w:val="20"/>
        </w:rPr>
        <w:t xml:space="preserve"> El término "Documento de Proyecto" tal como se utiliza en esta cláusula se considerará que incluye cualquier acuerdo subsidiario relevante posterior al Documento del Proyecto, incluyendo aquellos con partes responsables, subcontratistas y </w:t>
      </w:r>
      <w:proofErr w:type="gramStart"/>
      <w:r w:rsidRPr="00A51E75">
        <w:rPr>
          <w:rFonts w:asciiTheme="minorHAnsi" w:eastAsia="SimSun" w:hAnsiTheme="minorHAnsi" w:cstheme="minorHAnsi"/>
          <w:sz w:val="20"/>
          <w:szCs w:val="20"/>
        </w:rPr>
        <w:t>sub</w:t>
      </w:r>
      <w:r w:rsidR="006C04F5">
        <w:rPr>
          <w:rFonts w:asciiTheme="minorHAnsi" w:eastAsia="SimSun" w:hAnsiTheme="minorHAnsi" w:cstheme="minorHAnsi"/>
          <w:sz w:val="20"/>
          <w:szCs w:val="20"/>
        </w:rPr>
        <w:t xml:space="preserve"> </w:t>
      </w:r>
      <w:r w:rsidRPr="00A51E75">
        <w:rPr>
          <w:rFonts w:asciiTheme="minorHAnsi" w:eastAsia="SimSun" w:hAnsiTheme="minorHAnsi" w:cstheme="minorHAnsi"/>
          <w:sz w:val="20"/>
          <w:szCs w:val="20"/>
        </w:rPr>
        <w:t>destinatarios</w:t>
      </w:r>
      <w:proofErr w:type="gramEnd"/>
      <w:r w:rsidRPr="00A51E75">
        <w:rPr>
          <w:rFonts w:asciiTheme="minorHAnsi" w:eastAsia="SimSun" w:hAnsiTheme="minorHAnsi" w:cstheme="minorHAnsi"/>
          <w:sz w:val="20"/>
          <w:szCs w:val="20"/>
        </w:rPr>
        <w:t>.</w:t>
      </w:r>
    </w:p>
    <w:p w14:paraId="3B23D776" w14:textId="77777777"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Cada contrato emitido por el Socio Ejecutor en relación con este Documento del Proyecto incluirá una disposición que establezca que no se hayan dado, recibido o prometido honorarios, gratificaciones, regalos, regalos, comisiones u otros pagos, distintos de los indicados en la propuesta, en relación con el proceso de selección o en la ejecución del contrato, y que el receptor de los fondos del Socio Ejecutor cooperará con todas las investigaciones y auditorías posteriores al pago.</w:t>
      </w:r>
    </w:p>
    <w:p w14:paraId="690DA62D" w14:textId="77777777" w:rsidR="00AC0C79"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Si el PNUD remite a las autoridades nacionales pertinentes para que tomen acciones legales apropiadas contra cualquier presunta irregularidad relacionada con el proyecto, el Gobierno se asegurará de que las autoridades nacionales pertinentes investiguen activamente el mismo y tomen las acciones legales apropiadas contra todas las personas que se encuentren culpables de la irregularidad, recuperen y devuelvan los fondos recuperados al PNUD.</w:t>
      </w:r>
    </w:p>
    <w:p w14:paraId="4BAD0428" w14:textId="416F60EC" w:rsidR="00D23340" w:rsidRPr="00D830D9" w:rsidRDefault="00D23340" w:rsidP="00EC2CBE">
      <w:pPr>
        <w:pStyle w:val="Prrafodelista"/>
        <w:numPr>
          <w:ilvl w:val="0"/>
          <w:numId w:val="3"/>
        </w:numPr>
        <w:tabs>
          <w:tab w:val="clear" w:pos="360"/>
          <w:tab w:val="num" w:pos="426"/>
        </w:tabs>
        <w:ind w:left="284" w:hanging="502"/>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El Socio Ejecutor deberá asegurarse de que todas sus obligaciones establecidas en esta sección titulada "Gestión de Riesgos" se trasladen a cada parte responsable, subcontratista y subreceptor, y que todas las cláusulas bajo esta sección tituladas "Cláusulas Estándar de Gestión de Riesgos" estén incluidas, mutatis mutandis, en todos los subcontratos o </w:t>
      </w:r>
      <w:proofErr w:type="gramStart"/>
      <w:r w:rsidRPr="00A51E75">
        <w:rPr>
          <w:rFonts w:asciiTheme="minorHAnsi" w:eastAsia="SimSun" w:hAnsiTheme="minorHAnsi" w:cstheme="minorHAnsi"/>
          <w:sz w:val="20"/>
          <w:szCs w:val="20"/>
        </w:rPr>
        <w:t>sub</w:t>
      </w:r>
      <w:r w:rsidR="006C04F5">
        <w:rPr>
          <w:rFonts w:asciiTheme="minorHAnsi" w:eastAsia="SimSun" w:hAnsiTheme="minorHAnsi" w:cstheme="minorHAnsi"/>
          <w:sz w:val="20"/>
          <w:szCs w:val="20"/>
        </w:rPr>
        <w:t xml:space="preserve"> </w:t>
      </w:r>
      <w:r w:rsidRPr="00A51E75">
        <w:rPr>
          <w:rFonts w:asciiTheme="minorHAnsi" w:eastAsia="SimSun" w:hAnsiTheme="minorHAnsi" w:cstheme="minorHAnsi"/>
          <w:sz w:val="20"/>
          <w:szCs w:val="20"/>
        </w:rPr>
        <w:t>acuerdos</w:t>
      </w:r>
      <w:proofErr w:type="gramEnd"/>
      <w:r w:rsidRPr="00A51E75">
        <w:rPr>
          <w:rFonts w:asciiTheme="minorHAnsi" w:eastAsia="SimSun" w:hAnsiTheme="minorHAnsi" w:cstheme="minorHAnsi"/>
          <w:sz w:val="20"/>
          <w:szCs w:val="20"/>
        </w:rPr>
        <w:t xml:space="preserve"> celebrados posteriormente a este Documento del Proyecto.</w:t>
      </w:r>
    </w:p>
    <w:p w14:paraId="61B1B025" w14:textId="77777777" w:rsidR="008C5D04" w:rsidRPr="00D830D9" w:rsidRDefault="008C5D04" w:rsidP="008B6F84">
      <w:pPr>
        <w:spacing w:after="60"/>
        <w:jc w:val="both"/>
        <w:rPr>
          <w:rFonts w:asciiTheme="minorHAnsi" w:eastAsia="SimSun" w:hAnsiTheme="minorHAnsi" w:cstheme="minorHAnsi"/>
          <w:sz w:val="20"/>
          <w:szCs w:val="20"/>
          <w:lang w:val="es-EC"/>
        </w:rPr>
      </w:pPr>
    </w:p>
    <w:p w14:paraId="505078E0" w14:textId="77777777" w:rsidR="00F01DBD" w:rsidRPr="00D830D9" w:rsidRDefault="00F01DBD" w:rsidP="008B6F84">
      <w:pPr>
        <w:spacing w:after="60"/>
        <w:jc w:val="both"/>
        <w:rPr>
          <w:rFonts w:asciiTheme="minorHAnsi" w:eastAsia="SimSun" w:hAnsiTheme="minorHAnsi" w:cstheme="minorHAnsi"/>
          <w:sz w:val="20"/>
          <w:szCs w:val="20"/>
          <w:lang w:val="es-EC"/>
        </w:rPr>
      </w:pPr>
    </w:p>
    <w:p w14:paraId="72BC5241" w14:textId="77777777" w:rsidR="008C5D04" w:rsidRPr="00D830D9" w:rsidRDefault="008C5D04" w:rsidP="008B6F84">
      <w:pPr>
        <w:spacing w:after="60"/>
        <w:jc w:val="both"/>
        <w:rPr>
          <w:rFonts w:asciiTheme="minorHAnsi" w:eastAsia="SimSun" w:hAnsiTheme="minorHAnsi" w:cstheme="minorHAnsi"/>
          <w:sz w:val="20"/>
          <w:szCs w:val="20"/>
          <w:lang w:val="es-EC"/>
        </w:rPr>
      </w:pPr>
    </w:p>
    <w:p w14:paraId="0089D2D9" w14:textId="77777777" w:rsidR="008B6F84" w:rsidRPr="00D830D9" w:rsidRDefault="008B6F84" w:rsidP="008B6F84">
      <w:pPr>
        <w:spacing w:after="240"/>
        <w:jc w:val="both"/>
        <w:rPr>
          <w:rFonts w:asciiTheme="minorHAnsi" w:eastAsia="SimSun" w:hAnsiTheme="minorHAnsi" w:cstheme="minorHAnsi"/>
          <w:b/>
          <w:i/>
          <w:sz w:val="20"/>
          <w:u w:val="single"/>
          <w:lang w:val="es-EC"/>
        </w:rPr>
        <w:sectPr w:rsidR="008B6F84" w:rsidRPr="00D830D9" w:rsidSect="008B6F84">
          <w:pgSz w:w="12240" w:h="15840" w:code="1"/>
          <w:pgMar w:top="720" w:right="720" w:bottom="720" w:left="720" w:header="720" w:footer="720" w:gutter="0"/>
          <w:cols w:space="720"/>
          <w:docGrid w:linePitch="360"/>
        </w:sectPr>
      </w:pPr>
    </w:p>
    <w:p w14:paraId="356930D4" w14:textId="7C31361C" w:rsidR="008B6F84" w:rsidRPr="00D830D9" w:rsidRDefault="00211737" w:rsidP="008B6F84">
      <w:pPr>
        <w:keepNext/>
        <w:spacing w:after="60"/>
        <w:jc w:val="both"/>
        <w:outlineLvl w:val="1"/>
        <w:rPr>
          <w:rFonts w:ascii="Calibri" w:eastAsia="SimSun" w:hAnsi="Calibri" w:cs="Calibri"/>
          <w:b/>
          <w:sz w:val="20"/>
          <w:szCs w:val="20"/>
          <w:lang w:val="es-EC"/>
        </w:rPr>
      </w:pPr>
      <w:bookmarkStart w:id="64" w:name="_Toc221696304"/>
      <w:r w:rsidRPr="00A51E75">
        <w:rPr>
          <w:rFonts w:ascii="Calibri" w:eastAsia="SimSun" w:hAnsi="Calibri" w:cs="Calibri"/>
          <w:b/>
          <w:bCs/>
          <w:sz w:val="20"/>
          <w:szCs w:val="20"/>
        </w:rPr>
        <w:lastRenderedPageBreak/>
        <w:t xml:space="preserve">Anexo 1: Plantilla de Presupuesto del </w:t>
      </w:r>
      <w:r w:rsidR="0078696E">
        <w:rPr>
          <w:rFonts w:ascii="Calibri" w:eastAsia="SimSun" w:hAnsi="Calibri" w:cs="Calibri"/>
          <w:b/>
          <w:bCs/>
          <w:sz w:val="20"/>
          <w:szCs w:val="20"/>
        </w:rPr>
        <w:t>FMAM</w:t>
      </w:r>
      <w:bookmarkEnd w:id="64"/>
      <w:r w:rsidRPr="00A51E75">
        <w:rPr>
          <w:rFonts w:ascii="Calibri" w:eastAsia="SimSun" w:hAnsi="Calibri" w:cs="Calibri"/>
          <w:b/>
          <w:bCs/>
          <w:sz w:val="20"/>
          <w:szCs w:val="20"/>
        </w:rPr>
        <w:t xml:space="preserve"> </w:t>
      </w:r>
    </w:p>
    <w:p w14:paraId="3772C0EF" w14:textId="420796AE" w:rsidR="00C512FA" w:rsidRPr="00D830D9" w:rsidRDefault="00C512FA" w:rsidP="1396A44F">
      <w:pPr>
        <w:keepNext/>
        <w:spacing w:after="60"/>
        <w:jc w:val="both"/>
        <w:outlineLvl w:val="1"/>
        <w:rPr>
          <w:rFonts w:asciiTheme="minorHAnsi" w:eastAsia="SimSun" w:hAnsiTheme="minorHAnsi" w:cstheme="minorBidi"/>
          <w:b/>
          <w:bCs/>
          <w:sz w:val="20"/>
          <w:szCs w:val="20"/>
          <w:lang w:val="es-EC"/>
        </w:rPr>
      </w:pPr>
    </w:p>
    <w:tbl>
      <w:tblPr>
        <w:tblW w:w="5000" w:type="pct"/>
        <w:tblLayout w:type="fixed"/>
        <w:tblLook w:val="04A0" w:firstRow="1" w:lastRow="0" w:firstColumn="1" w:lastColumn="0" w:noHBand="0" w:noVBand="1"/>
      </w:tblPr>
      <w:tblGrid>
        <w:gridCol w:w="842"/>
        <w:gridCol w:w="3971"/>
        <w:gridCol w:w="664"/>
        <w:gridCol w:w="664"/>
        <w:gridCol w:w="664"/>
        <w:gridCol w:w="664"/>
        <w:gridCol w:w="664"/>
        <w:gridCol w:w="664"/>
        <w:gridCol w:w="664"/>
        <w:gridCol w:w="668"/>
        <w:gridCol w:w="651"/>
      </w:tblGrid>
      <w:tr w:rsidR="00EE70E2" w:rsidRPr="00A51E75" w14:paraId="2D8CF4B2" w14:textId="77777777" w:rsidTr="00EE70E2">
        <w:trPr>
          <w:trHeight w:val="300"/>
          <w:tblHeader/>
        </w:trPr>
        <w:tc>
          <w:tcPr>
            <w:tcW w:w="390" w:type="pct"/>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13B6DB06" w14:textId="77777777" w:rsidR="00EE70E2" w:rsidRPr="00A51E75" w:rsidRDefault="00EE70E2" w:rsidP="0047295E">
            <w:pPr>
              <w:ind w:left="-113" w:right="-113"/>
              <w:jc w:val="center"/>
              <w:rPr>
                <w:rFonts w:ascii="Calibri" w:hAnsi="Calibri" w:cs="Calibri"/>
                <w:b/>
                <w:bCs/>
                <w:color w:val="000000"/>
                <w:sz w:val="16"/>
                <w:szCs w:val="16"/>
              </w:rPr>
            </w:pPr>
            <w:r w:rsidRPr="00A51E75">
              <w:rPr>
                <w:rFonts w:ascii="Calibri" w:hAnsi="Calibri" w:cs="Calibri"/>
                <w:b/>
                <w:bCs/>
                <w:color w:val="000000"/>
                <w:sz w:val="16"/>
                <w:szCs w:val="16"/>
              </w:rPr>
              <w:t>Categoría de gasto</w:t>
            </w:r>
          </w:p>
        </w:tc>
        <w:tc>
          <w:tcPr>
            <w:tcW w:w="1842" w:type="pct"/>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8FD43A1" w14:textId="77777777" w:rsidR="00EE70E2" w:rsidRPr="00A51E75" w:rsidRDefault="00EE70E2" w:rsidP="0047295E">
            <w:pPr>
              <w:ind w:left="-113" w:right="-113"/>
              <w:jc w:val="center"/>
              <w:rPr>
                <w:rFonts w:ascii="Calibri" w:hAnsi="Calibri" w:cs="Calibri"/>
                <w:b/>
                <w:bCs/>
                <w:color w:val="000000"/>
                <w:sz w:val="16"/>
                <w:szCs w:val="16"/>
              </w:rPr>
            </w:pPr>
            <w:r w:rsidRPr="00A51E75">
              <w:rPr>
                <w:rFonts w:ascii="Calibri" w:hAnsi="Calibri" w:cs="Calibri"/>
                <w:b/>
                <w:bCs/>
                <w:color w:val="000000"/>
                <w:sz w:val="16"/>
                <w:szCs w:val="16"/>
              </w:rPr>
              <w:t>Descripción detallada</w:t>
            </w:r>
          </w:p>
        </w:tc>
        <w:tc>
          <w:tcPr>
            <w:tcW w:w="2156" w:type="pct"/>
            <w:gridSpan w:val="7"/>
            <w:tcBorders>
              <w:top w:val="single" w:sz="8" w:space="0" w:color="auto"/>
              <w:left w:val="nil"/>
              <w:bottom w:val="single" w:sz="8" w:space="0" w:color="auto"/>
              <w:right w:val="single" w:sz="8" w:space="0" w:color="000000"/>
            </w:tcBorders>
            <w:shd w:val="clear" w:color="000000" w:fill="D9E1F2"/>
            <w:vAlign w:val="center"/>
            <w:hideMark/>
          </w:tcPr>
          <w:p w14:paraId="57185825" w14:textId="54367BD6" w:rsidR="00EE70E2" w:rsidRPr="00A51E75" w:rsidRDefault="00EE70E2" w:rsidP="0047295E">
            <w:pPr>
              <w:ind w:left="-113" w:right="-113"/>
              <w:jc w:val="center"/>
              <w:rPr>
                <w:rFonts w:ascii="Calibri" w:hAnsi="Calibri" w:cs="Calibri"/>
                <w:b/>
                <w:bCs/>
                <w:color w:val="000000"/>
                <w:sz w:val="16"/>
                <w:szCs w:val="16"/>
              </w:rPr>
            </w:pPr>
            <w:r w:rsidRPr="00A51E75">
              <w:rPr>
                <w:rFonts w:ascii="Calibri" w:hAnsi="Calibri" w:cs="Calibri"/>
                <w:b/>
                <w:bCs/>
                <w:color w:val="000000"/>
                <w:sz w:val="16"/>
                <w:szCs w:val="16"/>
              </w:rPr>
              <w:t>Componente (USD</w:t>
            </w:r>
            <w:r>
              <w:rPr>
                <w:rFonts w:ascii="Calibri" w:hAnsi="Calibri" w:cs="Calibri"/>
                <w:b/>
                <w:bCs/>
                <w:color w:val="000000"/>
                <w:sz w:val="16"/>
                <w:szCs w:val="16"/>
              </w:rPr>
              <w:t xml:space="preserve"> </w:t>
            </w:r>
            <w:proofErr w:type="spellStart"/>
            <w:r w:rsidRPr="00A51E75">
              <w:rPr>
                <w:rFonts w:ascii="Calibri" w:hAnsi="Calibri" w:cs="Calibri"/>
                <w:b/>
                <w:bCs/>
                <w:color w:val="000000"/>
                <w:sz w:val="16"/>
                <w:szCs w:val="16"/>
              </w:rPr>
              <w:t>eq</w:t>
            </w:r>
            <w:proofErr w:type="spellEnd"/>
            <w:r w:rsidRPr="00A51E75">
              <w:rPr>
                <w:rFonts w:ascii="Calibri" w:hAnsi="Calibri" w:cs="Calibri"/>
                <w:b/>
                <w:bCs/>
                <w:color w:val="000000"/>
                <w:sz w:val="16"/>
                <w:szCs w:val="16"/>
              </w:rPr>
              <w:t>.)</w:t>
            </w:r>
          </w:p>
        </w:tc>
        <w:tc>
          <w:tcPr>
            <w:tcW w:w="310" w:type="pct"/>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BFA696B" w14:textId="77777777" w:rsidR="00EE70E2" w:rsidRPr="00A51E75" w:rsidRDefault="00EE70E2" w:rsidP="0047295E">
            <w:pPr>
              <w:ind w:left="-113" w:right="-113"/>
              <w:jc w:val="center"/>
              <w:rPr>
                <w:rFonts w:ascii="Calibri" w:hAnsi="Calibri" w:cs="Calibri"/>
                <w:b/>
                <w:bCs/>
                <w:color w:val="000000"/>
                <w:sz w:val="16"/>
                <w:szCs w:val="16"/>
              </w:rPr>
            </w:pPr>
            <w:r w:rsidRPr="00A51E75">
              <w:rPr>
                <w:rFonts w:ascii="Calibri" w:hAnsi="Calibri" w:cs="Calibri"/>
                <w:b/>
                <w:bCs/>
                <w:color w:val="000000"/>
                <w:sz w:val="16"/>
                <w:szCs w:val="16"/>
              </w:rPr>
              <w:t>Total (</w:t>
            </w:r>
            <w:proofErr w:type="spellStart"/>
            <w:r w:rsidRPr="00A51E75">
              <w:rPr>
                <w:rFonts w:ascii="Calibri" w:hAnsi="Calibri" w:cs="Calibri"/>
                <w:b/>
                <w:bCs/>
                <w:color w:val="000000"/>
                <w:sz w:val="16"/>
                <w:szCs w:val="16"/>
              </w:rPr>
              <w:t>USDeq</w:t>
            </w:r>
            <w:proofErr w:type="spellEnd"/>
            <w:r w:rsidRPr="00A51E75">
              <w:rPr>
                <w:rFonts w:ascii="Calibri" w:hAnsi="Calibri" w:cs="Calibri"/>
                <w:b/>
                <w:bCs/>
                <w:color w:val="000000"/>
                <w:sz w:val="16"/>
                <w:szCs w:val="16"/>
              </w:rPr>
              <w:t>.)</w:t>
            </w:r>
          </w:p>
        </w:tc>
        <w:tc>
          <w:tcPr>
            <w:tcW w:w="302" w:type="pct"/>
            <w:tcBorders>
              <w:top w:val="single" w:sz="8" w:space="0" w:color="auto"/>
              <w:left w:val="nil"/>
              <w:bottom w:val="nil"/>
              <w:right w:val="single" w:sz="8" w:space="0" w:color="auto"/>
            </w:tcBorders>
            <w:shd w:val="clear" w:color="000000" w:fill="D9E1F2"/>
            <w:vAlign w:val="center"/>
            <w:hideMark/>
          </w:tcPr>
          <w:p w14:paraId="30AB0FE1" w14:textId="77777777" w:rsidR="00EE70E2" w:rsidRPr="00A51E75" w:rsidRDefault="00EE70E2" w:rsidP="00C15440">
            <w:pPr>
              <w:ind w:left="-113" w:right="-113"/>
              <w:jc w:val="center"/>
              <w:rPr>
                <w:rFonts w:ascii="Calibri" w:hAnsi="Calibri" w:cs="Calibri"/>
                <w:b/>
                <w:bCs/>
                <w:color w:val="000000"/>
                <w:sz w:val="16"/>
                <w:szCs w:val="16"/>
              </w:rPr>
            </w:pPr>
            <w:r w:rsidRPr="00A51E75">
              <w:rPr>
                <w:rFonts w:ascii="Calibri" w:hAnsi="Calibri" w:cs="Calibri"/>
                <w:b/>
                <w:bCs/>
                <w:color w:val="000000"/>
                <w:sz w:val="16"/>
                <w:szCs w:val="16"/>
              </w:rPr>
              <w:t>Entidad responsable</w:t>
            </w:r>
          </w:p>
        </w:tc>
      </w:tr>
      <w:tr w:rsidR="00742811" w:rsidRPr="007D4F41" w14:paraId="2C045534" w14:textId="77777777" w:rsidTr="00EE70E2">
        <w:trPr>
          <w:trHeight w:val="1273"/>
          <w:tblHeader/>
        </w:trPr>
        <w:tc>
          <w:tcPr>
            <w:tcW w:w="390" w:type="pct"/>
            <w:vMerge/>
            <w:tcBorders>
              <w:top w:val="single" w:sz="8" w:space="0" w:color="auto"/>
              <w:left w:val="single" w:sz="8" w:space="0" w:color="auto"/>
              <w:bottom w:val="single" w:sz="8" w:space="0" w:color="000000"/>
              <w:right w:val="single" w:sz="8" w:space="0" w:color="auto"/>
            </w:tcBorders>
            <w:vAlign w:val="center"/>
            <w:hideMark/>
          </w:tcPr>
          <w:p w14:paraId="13940EDC" w14:textId="77777777" w:rsidR="00EE4B8D" w:rsidRPr="00A51E75" w:rsidRDefault="00EE4B8D" w:rsidP="0047295E">
            <w:pPr>
              <w:ind w:left="-113" w:right="-113"/>
              <w:rPr>
                <w:rFonts w:ascii="Calibri" w:hAnsi="Calibri" w:cs="Calibri"/>
                <w:b/>
                <w:bCs/>
                <w:color w:val="000000"/>
                <w:sz w:val="16"/>
                <w:szCs w:val="16"/>
              </w:rPr>
            </w:pPr>
          </w:p>
        </w:tc>
        <w:tc>
          <w:tcPr>
            <w:tcW w:w="1842" w:type="pct"/>
            <w:vMerge/>
            <w:tcBorders>
              <w:top w:val="single" w:sz="8" w:space="0" w:color="auto"/>
              <w:left w:val="single" w:sz="8" w:space="0" w:color="auto"/>
              <w:bottom w:val="single" w:sz="8" w:space="0" w:color="000000"/>
              <w:right w:val="single" w:sz="8" w:space="0" w:color="auto"/>
            </w:tcBorders>
            <w:vAlign w:val="center"/>
            <w:hideMark/>
          </w:tcPr>
          <w:p w14:paraId="320AB842" w14:textId="77777777" w:rsidR="00EE4B8D" w:rsidRPr="00A51E75" w:rsidRDefault="00EE4B8D" w:rsidP="0047295E">
            <w:pPr>
              <w:ind w:left="-113" w:right="-113"/>
              <w:rPr>
                <w:rFonts w:ascii="Calibri" w:hAnsi="Calibri" w:cs="Calibri"/>
                <w:b/>
                <w:bCs/>
                <w:color w:val="000000"/>
                <w:sz w:val="16"/>
                <w:szCs w:val="16"/>
              </w:rPr>
            </w:pPr>
          </w:p>
        </w:tc>
        <w:tc>
          <w:tcPr>
            <w:tcW w:w="308" w:type="pct"/>
            <w:tcBorders>
              <w:top w:val="nil"/>
              <w:left w:val="nil"/>
              <w:bottom w:val="nil"/>
              <w:right w:val="single" w:sz="8" w:space="0" w:color="auto"/>
            </w:tcBorders>
            <w:shd w:val="clear" w:color="000000" w:fill="D9E1F2"/>
            <w:vAlign w:val="center"/>
            <w:hideMark/>
          </w:tcPr>
          <w:p w14:paraId="604B8781" w14:textId="4DC77253" w:rsidR="00EE4B8D" w:rsidRPr="00A51E75" w:rsidRDefault="00EE70E2" w:rsidP="0047295E">
            <w:pPr>
              <w:ind w:left="-113" w:right="-113"/>
              <w:jc w:val="center"/>
              <w:rPr>
                <w:rFonts w:ascii="Calibri" w:hAnsi="Calibri" w:cs="Calibri"/>
                <w:b/>
                <w:bCs/>
                <w:i/>
                <w:iCs/>
                <w:color w:val="000000"/>
                <w:sz w:val="16"/>
                <w:szCs w:val="16"/>
              </w:rPr>
            </w:pPr>
            <w:r>
              <w:rPr>
                <w:rFonts w:ascii="Calibri" w:hAnsi="Calibri" w:cs="Calibri"/>
                <w:b/>
                <w:bCs/>
                <w:i/>
                <w:iCs/>
                <w:color w:val="000000"/>
                <w:sz w:val="16"/>
                <w:szCs w:val="16"/>
              </w:rPr>
              <w:t>Comp.</w:t>
            </w:r>
            <w:r w:rsidR="00EE4B8D" w:rsidRPr="00A51E75">
              <w:rPr>
                <w:rFonts w:ascii="Calibri" w:hAnsi="Calibri" w:cs="Calibri"/>
                <w:b/>
                <w:bCs/>
                <w:i/>
                <w:iCs/>
                <w:color w:val="000000"/>
                <w:sz w:val="16"/>
                <w:szCs w:val="16"/>
              </w:rPr>
              <w:t xml:space="preserve"> 1</w:t>
            </w:r>
          </w:p>
        </w:tc>
        <w:tc>
          <w:tcPr>
            <w:tcW w:w="308" w:type="pct"/>
            <w:tcBorders>
              <w:top w:val="nil"/>
              <w:left w:val="nil"/>
              <w:bottom w:val="nil"/>
              <w:right w:val="single" w:sz="8" w:space="0" w:color="auto"/>
            </w:tcBorders>
            <w:shd w:val="clear" w:color="000000" w:fill="D9E1F2"/>
            <w:vAlign w:val="center"/>
            <w:hideMark/>
          </w:tcPr>
          <w:p w14:paraId="4C9A3D4C" w14:textId="073D4FCC" w:rsidR="00EE4B8D" w:rsidRPr="00A51E75" w:rsidRDefault="00EE70E2" w:rsidP="0047295E">
            <w:pPr>
              <w:ind w:left="-113" w:right="-113"/>
              <w:jc w:val="center"/>
              <w:rPr>
                <w:rFonts w:ascii="Calibri" w:hAnsi="Calibri" w:cs="Calibri"/>
                <w:b/>
                <w:bCs/>
                <w:i/>
                <w:iCs/>
                <w:color w:val="000000"/>
                <w:sz w:val="16"/>
                <w:szCs w:val="16"/>
              </w:rPr>
            </w:pPr>
            <w:r>
              <w:rPr>
                <w:rFonts w:ascii="Calibri" w:hAnsi="Calibri" w:cs="Calibri"/>
                <w:b/>
                <w:bCs/>
                <w:i/>
                <w:iCs/>
                <w:color w:val="000000"/>
                <w:sz w:val="16"/>
                <w:szCs w:val="16"/>
              </w:rPr>
              <w:t>Comp.</w:t>
            </w:r>
            <w:r w:rsidR="00EE4B8D" w:rsidRPr="00A51E75">
              <w:rPr>
                <w:rFonts w:ascii="Calibri" w:hAnsi="Calibri" w:cs="Calibri"/>
                <w:b/>
                <w:bCs/>
                <w:i/>
                <w:iCs/>
                <w:color w:val="000000"/>
                <w:sz w:val="16"/>
                <w:szCs w:val="16"/>
              </w:rPr>
              <w:t xml:space="preserve"> 2</w:t>
            </w:r>
          </w:p>
        </w:tc>
        <w:tc>
          <w:tcPr>
            <w:tcW w:w="308" w:type="pct"/>
            <w:tcBorders>
              <w:top w:val="nil"/>
              <w:left w:val="nil"/>
              <w:bottom w:val="nil"/>
              <w:right w:val="single" w:sz="8" w:space="0" w:color="auto"/>
            </w:tcBorders>
            <w:shd w:val="clear" w:color="000000" w:fill="D9E1F2"/>
            <w:vAlign w:val="center"/>
            <w:hideMark/>
          </w:tcPr>
          <w:p w14:paraId="542E79DB" w14:textId="54D6F430" w:rsidR="00EE4B8D" w:rsidRPr="00A51E75" w:rsidRDefault="00EE70E2" w:rsidP="0047295E">
            <w:pPr>
              <w:ind w:left="-113" w:right="-113"/>
              <w:jc w:val="center"/>
              <w:rPr>
                <w:rFonts w:ascii="Calibri" w:hAnsi="Calibri" w:cs="Calibri"/>
                <w:b/>
                <w:bCs/>
                <w:i/>
                <w:iCs/>
                <w:color w:val="000000"/>
                <w:sz w:val="16"/>
                <w:szCs w:val="16"/>
              </w:rPr>
            </w:pPr>
            <w:r>
              <w:rPr>
                <w:rFonts w:ascii="Calibri" w:hAnsi="Calibri" w:cs="Calibri"/>
                <w:b/>
                <w:bCs/>
                <w:i/>
                <w:iCs/>
                <w:color w:val="000000"/>
                <w:sz w:val="16"/>
                <w:szCs w:val="16"/>
              </w:rPr>
              <w:t>Comp.</w:t>
            </w:r>
            <w:r w:rsidR="00EE4B8D" w:rsidRPr="00A51E75">
              <w:rPr>
                <w:rFonts w:ascii="Calibri" w:hAnsi="Calibri" w:cs="Calibri"/>
                <w:b/>
                <w:bCs/>
                <w:i/>
                <w:iCs/>
                <w:color w:val="000000"/>
                <w:sz w:val="16"/>
                <w:szCs w:val="16"/>
              </w:rPr>
              <w:t xml:space="preserve"> 3</w:t>
            </w:r>
          </w:p>
        </w:tc>
        <w:tc>
          <w:tcPr>
            <w:tcW w:w="308" w:type="pct"/>
            <w:tcBorders>
              <w:top w:val="nil"/>
              <w:left w:val="nil"/>
              <w:bottom w:val="nil"/>
              <w:right w:val="single" w:sz="8" w:space="0" w:color="auto"/>
            </w:tcBorders>
            <w:shd w:val="clear" w:color="000000" w:fill="D9E1F2"/>
            <w:vAlign w:val="center"/>
            <w:hideMark/>
          </w:tcPr>
          <w:p w14:paraId="160599F5" w14:textId="187ABABE" w:rsidR="00EE4B8D" w:rsidRPr="00A51E75" w:rsidRDefault="00EE70E2" w:rsidP="0047295E">
            <w:pPr>
              <w:ind w:left="-113" w:right="-113"/>
              <w:jc w:val="center"/>
              <w:rPr>
                <w:rFonts w:ascii="Calibri" w:hAnsi="Calibri" w:cs="Calibri"/>
                <w:b/>
                <w:bCs/>
                <w:i/>
                <w:iCs/>
                <w:color w:val="000000"/>
                <w:sz w:val="16"/>
                <w:szCs w:val="16"/>
              </w:rPr>
            </w:pPr>
            <w:r>
              <w:rPr>
                <w:rFonts w:ascii="Calibri" w:hAnsi="Calibri" w:cs="Calibri"/>
                <w:b/>
                <w:bCs/>
                <w:i/>
                <w:iCs/>
                <w:color w:val="000000"/>
                <w:sz w:val="16"/>
                <w:szCs w:val="16"/>
              </w:rPr>
              <w:t>Comp.</w:t>
            </w:r>
            <w:r w:rsidR="00EE4B8D" w:rsidRPr="00A51E75">
              <w:rPr>
                <w:rFonts w:ascii="Calibri" w:hAnsi="Calibri" w:cs="Calibri"/>
                <w:b/>
                <w:bCs/>
                <w:i/>
                <w:iCs/>
                <w:color w:val="000000"/>
                <w:sz w:val="16"/>
                <w:szCs w:val="16"/>
              </w:rPr>
              <w:t xml:space="preserve"> 4</w:t>
            </w:r>
          </w:p>
        </w:tc>
        <w:tc>
          <w:tcPr>
            <w:tcW w:w="308" w:type="pct"/>
            <w:tcBorders>
              <w:top w:val="nil"/>
              <w:left w:val="nil"/>
              <w:bottom w:val="nil"/>
              <w:right w:val="single" w:sz="8" w:space="0" w:color="auto"/>
            </w:tcBorders>
            <w:shd w:val="clear" w:color="000000" w:fill="D9E1F2"/>
            <w:vAlign w:val="center"/>
            <w:hideMark/>
          </w:tcPr>
          <w:p w14:paraId="6FF005D9" w14:textId="77777777" w:rsidR="00EE4B8D" w:rsidRPr="00A51E75" w:rsidRDefault="00EE4B8D" w:rsidP="0047295E">
            <w:pPr>
              <w:ind w:left="-113" w:right="-113"/>
              <w:jc w:val="center"/>
              <w:rPr>
                <w:rFonts w:ascii="Calibri" w:hAnsi="Calibri" w:cs="Calibri"/>
                <w:b/>
                <w:bCs/>
                <w:i/>
                <w:iCs/>
                <w:color w:val="000000"/>
                <w:sz w:val="16"/>
                <w:szCs w:val="16"/>
              </w:rPr>
            </w:pPr>
            <w:r w:rsidRPr="00A51E75">
              <w:rPr>
                <w:rFonts w:ascii="Calibri" w:hAnsi="Calibri" w:cs="Calibri"/>
                <w:b/>
                <w:bCs/>
                <w:i/>
                <w:iCs/>
                <w:color w:val="000000"/>
                <w:sz w:val="16"/>
                <w:szCs w:val="16"/>
              </w:rPr>
              <w:t>Subtotal</w:t>
            </w:r>
          </w:p>
        </w:tc>
        <w:tc>
          <w:tcPr>
            <w:tcW w:w="308" w:type="pct"/>
            <w:tcBorders>
              <w:top w:val="nil"/>
              <w:left w:val="nil"/>
              <w:bottom w:val="nil"/>
              <w:right w:val="single" w:sz="8" w:space="0" w:color="auto"/>
            </w:tcBorders>
            <w:shd w:val="clear" w:color="000000" w:fill="D9E1F2"/>
            <w:vAlign w:val="center"/>
            <w:hideMark/>
          </w:tcPr>
          <w:p w14:paraId="661D385C" w14:textId="77777777" w:rsidR="00EE4B8D" w:rsidRPr="00A51E75" w:rsidRDefault="00EE4B8D" w:rsidP="0047295E">
            <w:pPr>
              <w:ind w:left="-113" w:right="-113"/>
              <w:jc w:val="center"/>
              <w:rPr>
                <w:rFonts w:ascii="Calibri" w:hAnsi="Calibri" w:cs="Calibri"/>
                <w:b/>
                <w:bCs/>
                <w:i/>
                <w:iCs/>
                <w:color w:val="000000"/>
                <w:sz w:val="16"/>
                <w:szCs w:val="16"/>
              </w:rPr>
            </w:pPr>
            <w:r w:rsidRPr="00A51E75">
              <w:rPr>
                <w:rFonts w:ascii="Calibri" w:hAnsi="Calibri" w:cs="Calibri"/>
                <w:b/>
                <w:bCs/>
                <w:i/>
                <w:iCs/>
                <w:color w:val="000000"/>
                <w:sz w:val="16"/>
                <w:szCs w:val="16"/>
              </w:rPr>
              <w:t>M&amp;E</w:t>
            </w:r>
          </w:p>
        </w:tc>
        <w:tc>
          <w:tcPr>
            <w:tcW w:w="308" w:type="pct"/>
            <w:tcBorders>
              <w:top w:val="nil"/>
              <w:left w:val="nil"/>
              <w:bottom w:val="nil"/>
              <w:right w:val="single" w:sz="8" w:space="0" w:color="auto"/>
            </w:tcBorders>
            <w:shd w:val="clear" w:color="000000" w:fill="D9E1F2"/>
            <w:vAlign w:val="center"/>
            <w:hideMark/>
          </w:tcPr>
          <w:p w14:paraId="0A081C3C" w14:textId="77777777" w:rsidR="00EE4B8D" w:rsidRPr="00A51E75" w:rsidRDefault="00EE4B8D" w:rsidP="0047295E">
            <w:pPr>
              <w:ind w:left="-113" w:right="-113"/>
              <w:jc w:val="center"/>
              <w:rPr>
                <w:rFonts w:ascii="Calibri" w:hAnsi="Calibri" w:cs="Calibri"/>
                <w:b/>
                <w:bCs/>
                <w:i/>
                <w:iCs/>
                <w:color w:val="000000"/>
                <w:sz w:val="16"/>
                <w:szCs w:val="16"/>
              </w:rPr>
            </w:pPr>
            <w:r w:rsidRPr="00A51E75">
              <w:rPr>
                <w:rFonts w:ascii="Calibri" w:hAnsi="Calibri" w:cs="Calibri"/>
                <w:b/>
                <w:bCs/>
                <w:i/>
                <w:iCs/>
                <w:color w:val="000000"/>
                <w:sz w:val="16"/>
                <w:szCs w:val="16"/>
              </w:rPr>
              <w:t>PMC</w:t>
            </w:r>
          </w:p>
        </w:tc>
        <w:tc>
          <w:tcPr>
            <w:tcW w:w="310" w:type="pct"/>
            <w:vMerge/>
            <w:tcBorders>
              <w:top w:val="single" w:sz="8" w:space="0" w:color="auto"/>
              <w:left w:val="single" w:sz="8" w:space="0" w:color="auto"/>
              <w:bottom w:val="single" w:sz="8" w:space="0" w:color="000000"/>
              <w:right w:val="single" w:sz="8" w:space="0" w:color="auto"/>
            </w:tcBorders>
            <w:vAlign w:val="center"/>
            <w:hideMark/>
          </w:tcPr>
          <w:p w14:paraId="742FD21B" w14:textId="77777777" w:rsidR="00EE4B8D" w:rsidRPr="00A51E75" w:rsidRDefault="00EE4B8D" w:rsidP="0047295E">
            <w:pPr>
              <w:ind w:left="-113" w:right="-113"/>
              <w:jc w:val="right"/>
              <w:rPr>
                <w:rFonts w:ascii="Calibri" w:hAnsi="Calibri" w:cs="Calibri"/>
                <w:b/>
                <w:bCs/>
                <w:color w:val="000000"/>
                <w:sz w:val="16"/>
                <w:szCs w:val="16"/>
              </w:rPr>
            </w:pPr>
          </w:p>
        </w:tc>
        <w:tc>
          <w:tcPr>
            <w:tcW w:w="302" w:type="pct"/>
            <w:tcBorders>
              <w:top w:val="single" w:sz="8" w:space="0" w:color="auto"/>
              <w:left w:val="nil"/>
              <w:bottom w:val="nil"/>
              <w:right w:val="single" w:sz="8" w:space="0" w:color="auto"/>
            </w:tcBorders>
            <w:shd w:val="clear" w:color="000000" w:fill="D9E1F2"/>
            <w:vAlign w:val="center"/>
            <w:hideMark/>
          </w:tcPr>
          <w:p w14:paraId="699C4B5E" w14:textId="1E61CEF8" w:rsidR="00EE4B8D" w:rsidRPr="00D830D9" w:rsidRDefault="00EE4B8D" w:rsidP="00C15440">
            <w:pPr>
              <w:ind w:left="-113" w:right="-113"/>
              <w:jc w:val="center"/>
              <w:rPr>
                <w:rFonts w:ascii="Calibri" w:hAnsi="Calibri" w:cs="Calibri"/>
                <w:b/>
                <w:bCs/>
                <w:color w:val="000000"/>
                <w:sz w:val="16"/>
                <w:szCs w:val="16"/>
                <w:lang w:val="es-EC"/>
              </w:rPr>
            </w:pPr>
            <w:hyperlink r:id="rId30" w:anchor="RANGE!_ftn1" w:history="1">
              <w:r w:rsidRPr="00A51E75">
                <w:rPr>
                  <w:rFonts w:ascii="Calibri" w:hAnsi="Calibri" w:cs="Calibri"/>
                  <w:b/>
                  <w:bCs/>
                  <w:color w:val="000000"/>
                  <w:sz w:val="16"/>
                  <w:szCs w:val="16"/>
                </w:rPr>
                <w:t xml:space="preserve">(Entidad ejecutora que recibe fondos de la Agencia </w:t>
              </w:r>
              <w:r w:rsidR="0078696E">
                <w:rPr>
                  <w:rFonts w:ascii="Calibri" w:hAnsi="Calibri" w:cs="Calibri"/>
                  <w:b/>
                  <w:bCs/>
                  <w:color w:val="000000"/>
                  <w:sz w:val="16"/>
                  <w:szCs w:val="16"/>
                </w:rPr>
                <w:t>FMAM</w:t>
              </w:r>
              <w:r w:rsidRPr="00A51E75">
                <w:rPr>
                  <w:rFonts w:ascii="Calibri" w:hAnsi="Calibri" w:cs="Calibri"/>
                  <w:b/>
                  <w:bCs/>
                  <w:color w:val="000000"/>
                  <w:sz w:val="16"/>
                  <w:szCs w:val="16"/>
                </w:rPr>
                <w:t xml:space="preserve">) </w:t>
              </w:r>
              <w:r w:rsidRPr="00A51E75">
                <w:rPr>
                  <w:rStyle w:val="Refdenotaalpie"/>
                  <w:rFonts w:ascii="Calibri" w:hAnsi="Calibri" w:cs="Calibri"/>
                  <w:b/>
                  <w:bCs/>
                  <w:color w:val="000000"/>
                  <w:sz w:val="16"/>
                  <w:szCs w:val="16"/>
                </w:rPr>
                <w:footnoteReference w:id="19"/>
              </w:r>
            </w:hyperlink>
          </w:p>
        </w:tc>
      </w:tr>
      <w:tr w:rsidR="00742811" w:rsidRPr="00A51E75" w14:paraId="25CBE3C9"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3D456FA0" w14:textId="77777777" w:rsidR="00EE4B8D" w:rsidRPr="00A51E75" w:rsidRDefault="00EE4B8D" w:rsidP="001F1A3A">
            <w:pPr>
              <w:ind w:left="-113" w:right="-57"/>
              <w:rPr>
                <w:rFonts w:ascii="Calibri" w:hAnsi="Calibri" w:cs="Calibri"/>
                <w:color w:val="000000"/>
                <w:sz w:val="16"/>
                <w:szCs w:val="16"/>
              </w:rPr>
            </w:pPr>
            <w:r w:rsidRPr="00A51E75">
              <w:rPr>
                <w:rFonts w:ascii="Calibri" w:hAnsi="Calibri" w:cs="Calibri"/>
                <w:color w:val="000000"/>
                <w:sz w:val="16"/>
                <w:szCs w:val="16"/>
              </w:rPr>
              <w:t>Equipamiento</w:t>
            </w:r>
          </w:p>
        </w:tc>
        <w:tc>
          <w:tcPr>
            <w:tcW w:w="1842" w:type="pct"/>
            <w:tcBorders>
              <w:top w:val="nil"/>
              <w:left w:val="nil"/>
              <w:bottom w:val="single" w:sz="8" w:space="0" w:color="auto"/>
              <w:right w:val="single" w:sz="8" w:space="0" w:color="auto"/>
            </w:tcBorders>
            <w:vAlign w:val="center"/>
            <w:hideMark/>
          </w:tcPr>
          <w:p w14:paraId="2BD82EC2" w14:textId="3864B401" w:rsidR="00EE4B8D" w:rsidRPr="00A51E75" w:rsidRDefault="00EE4B8D"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Equipamiento – SAT y E-Learning. Adquisición de equipos tecnológicos y audiovisuales (cámaras, micrófonos, proyectores, servidores, tabletas) para apoyar el </w:t>
            </w:r>
            <w:r w:rsidR="007525DB">
              <w:rPr>
                <w:rFonts w:ascii="Calibri" w:hAnsi="Calibri" w:cs="Calibri"/>
                <w:color w:val="000000"/>
                <w:sz w:val="16"/>
                <w:szCs w:val="16"/>
              </w:rPr>
              <w:t xml:space="preserve">Sistema de Alerta Temprana </w:t>
            </w:r>
            <w:r w:rsidRPr="00A51E75">
              <w:rPr>
                <w:rFonts w:ascii="Calibri" w:hAnsi="Calibri" w:cs="Calibri"/>
                <w:color w:val="000000"/>
                <w:sz w:val="16"/>
                <w:szCs w:val="16"/>
              </w:rPr>
              <w:t xml:space="preserve">(SAT) y la plataforma de aprendizaje electrónico del proyecto. El equipamiento será robusto, fácil de usar y adaptado para contextos de formación rural. Total: USD 229.824 </w:t>
            </w:r>
          </w:p>
        </w:tc>
        <w:tc>
          <w:tcPr>
            <w:tcW w:w="308" w:type="pct"/>
            <w:tcBorders>
              <w:top w:val="single" w:sz="8" w:space="0" w:color="auto"/>
              <w:left w:val="nil"/>
              <w:bottom w:val="single" w:sz="8" w:space="0" w:color="auto"/>
              <w:right w:val="single" w:sz="8" w:space="0" w:color="auto"/>
            </w:tcBorders>
            <w:noWrap/>
            <w:vAlign w:val="center"/>
            <w:hideMark/>
          </w:tcPr>
          <w:p w14:paraId="1F8695F4" w14:textId="2A90C5F8"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single" w:sz="8" w:space="0" w:color="auto"/>
              <w:left w:val="nil"/>
              <w:bottom w:val="single" w:sz="8" w:space="0" w:color="auto"/>
              <w:right w:val="single" w:sz="8" w:space="0" w:color="auto"/>
            </w:tcBorders>
            <w:noWrap/>
            <w:vAlign w:val="center"/>
            <w:hideMark/>
          </w:tcPr>
          <w:p w14:paraId="09338471"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single" w:sz="8" w:space="0" w:color="auto"/>
              <w:left w:val="nil"/>
              <w:bottom w:val="single" w:sz="8" w:space="0" w:color="auto"/>
              <w:right w:val="single" w:sz="8" w:space="0" w:color="auto"/>
            </w:tcBorders>
            <w:noWrap/>
            <w:vAlign w:val="center"/>
            <w:hideMark/>
          </w:tcPr>
          <w:p w14:paraId="186C8B84"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single" w:sz="8" w:space="0" w:color="auto"/>
              <w:left w:val="nil"/>
              <w:bottom w:val="single" w:sz="8" w:space="0" w:color="auto"/>
              <w:right w:val="single" w:sz="8" w:space="0" w:color="auto"/>
            </w:tcBorders>
            <w:noWrap/>
            <w:vAlign w:val="center"/>
            <w:hideMark/>
          </w:tcPr>
          <w:p w14:paraId="1730FDBB"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229,824 </w:t>
            </w:r>
          </w:p>
        </w:tc>
        <w:tc>
          <w:tcPr>
            <w:tcW w:w="308" w:type="pct"/>
            <w:tcBorders>
              <w:top w:val="single" w:sz="8" w:space="0" w:color="auto"/>
              <w:left w:val="nil"/>
              <w:bottom w:val="single" w:sz="8" w:space="0" w:color="auto"/>
              <w:right w:val="single" w:sz="8" w:space="0" w:color="auto"/>
            </w:tcBorders>
            <w:noWrap/>
            <w:vAlign w:val="center"/>
            <w:hideMark/>
          </w:tcPr>
          <w:p w14:paraId="4D8299F1"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229,824 </w:t>
            </w:r>
          </w:p>
        </w:tc>
        <w:tc>
          <w:tcPr>
            <w:tcW w:w="308" w:type="pct"/>
            <w:tcBorders>
              <w:top w:val="single" w:sz="8" w:space="0" w:color="auto"/>
              <w:left w:val="nil"/>
              <w:bottom w:val="single" w:sz="8" w:space="0" w:color="auto"/>
              <w:right w:val="single" w:sz="8" w:space="0" w:color="auto"/>
            </w:tcBorders>
            <w:noWrap/>
            <w:vAlign w:val="center"/>
            <w:hideMark/>
          </w:tcPr>
          <w:p w14:paraId="2658966F"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single" w:sz="8" w:space="0" w:color="auto"/>
              <w:left w:val="nil"/>
              <w:bottom w:val="single" w:sz="8" w:space="0" w:color="auto"/>
              <w:right w:val="single" w:sz="8" w:space="0" w:color="auto"/>
            </w:tcBorders>
            <w:noWrap/>
            <w:vAlign w:val="center"/>
            <w:hideMark/>
          </w:tcPr>
          <w:p w14:paraId="2F8FD8AC"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3C7808BD" w14:textId="77777777" w:rsidR="00EE4B8D" w:rsidRPr="00A51E75" w:rsidRDefault="00EE4B8D"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229,824 </w:t>
            </w:r>
          </w:p>
        </w:tc>
        <w:tc>
          <w:tcPr>
            <w:tcW w:w="302" w:type="pct"/>
            <w:tcBorders>
              <w:top w:val="single" w:sz="8" w:space="0" w:color="auto"/>
              <w:left w:val="nil"/>
              <w:bottom w:val="single" w:sz="8" w:space="0" w:color="auto"/>
              <w:right w:val="single" w:sz="8" w:space="0" w:color="auto"/>
            </w:tcBorders>
            <w:vAlign w:val="center"/>
            <w:hideMark/>
          </w:tcPr>
          <w:p w14:paraId="63F414B9" w14:textId="4E8E1907" w:rsidR="00EE4B8D" w:rsidRPr="00A51E75" w:rsidRDefault="00C15440" w:rsidP="001F1A3A">
            <w:pPr>
              <w:ind w:right="-57"/>
              <w:jc w:val="right"/>
              <w:rPr>
                <w:rFonts w:ascii="Calibri" w:hAnsi="Calibri" w:cs="Calibri"/>
                <w:color w:val="000000"/>
                <w:sz w:val="16"/>
                <w:szCs w:val="16"/>
              </w:rPr>
            </w:pPr>
            <w:r>
              <w:rPr>
                <w:rFonts w:ascii="Calibri" w:hAnsi="Calibri" w:cs="Calibri"/>
                <w:color w:val="000000"/>
                <w:sz w:val="16"/>
                <w:szCs w:val="16"/>
              </w:rPr>
              <w:t>PNUD</w:t>
            </w:r>
          </w:p>
        </w:tc>
      </w:tr>
      <w:tr w:rsidR="00C15440" w:rsidRPr="00A51E75" w14:paraId="2B7A9805"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19EE630C"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Vehículos</w:t>
            </w:r>
          </w:p>
        </w:tc>
        <w:tc>
          <w:tcPr>
            <w:tcW w:w="1842" w:type="pct"/>
            <w:tcBorders>
              <w:top w:val="nil"/>
              <w:left w:val="nil"/>
              <w:bottom w:val="single" w:sz="8" w:space="0" w:color="auto"/>
              <w:right w:val="single" w:sz="8" w:space="0" w:color="auto"/>
            </w:tcBorders>
            <w:vAlign w:val="center"/>
            <w:hideMark/>
          </w:tcPr>
          <w:p w14:paraId="695A92B5"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Vehículos – Operaciones de campo. Adquisición de dos vehículos 4x4 de doble cabina para apoyar la restauración, el seguimiento y la logística en los territorios prioritarios. Los vehículos servirán al equipo técnico para acceder a comunidades remotas y transportar materiales, asegurando la eficacia de las actividades bajo los Resultados 1.1, 2.1, 2.2, 3.1 y 4.1. Total: USD 109.812 (Año 1).</w:t>
            </w:r>
          </w:p>
        </w:tc>
        <w:tc>
          <w:tcPr>
            <w:tcW w:w="308" w:type="pct"/>
            <w:tcBorders>
              <w:top w:val="nil"/>
              <w:left w:val="nil"/>
              <w:bottom w:val="single" w:sz="8" w:space="0" w:color="auto"/>
              <w:right w:val="single" w:sz="8" w:space="0" w:color="auto"/>
            </w:tcBorders>
            <w:noWrap/>
            <w:vAlign w:val="center"/>
            <w:hideMark/>
          </w:tcPr>
          <w:p w14:paraId="52BB114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D93B83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109,812 </w:t>
            </w:r>
          </w:p>
        </w:tc>
        <w:tc>
          <w:tcPr>
            <w:tcW w:w="308" w:type="pct"/>
            <w:tcBorders>
              <w:top w:val="nil"/>
              <w:left w:val="nil"/>
              <w:bottom w:val="single" w:sz="8" w:space="0" w:color="auto"/>
              <w:right w:val="single" w:sz="8" w:space="0" w:color="auto"/>
            </w:tcBorders>
            <w:noWrap/>
            <w:vAlign w:val="center"/>
            <w:hideMark/>
          </w:tcPr>
          <w:p w14:paraId="570F493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07862A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56E5A5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109,812 </w:t>
            </w:r>
          </w:p>
        </w:tc>
        <w:tc>
          <w:tcPr>
            <w:tcW w:w="308" w:type="pct"/>
            <w:tcBorders>
              <w:top w:val="nil"/>
              <w:left w:val="nil"/>
              <w:bottom w:val="single" w:sz="8" w:space="0" w:color="auto"/>
              <w:right w:val="single" w:sz="8" w:space="0" w:color="auto"/>
            </w:tcBorders>
            <w:noWrap/>
            <w:vAlign w:val="center"/>
            <w:hideMark/>
          </w:tcPr>
          <w:p w14:paraId="158BBC9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CCF49D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275139F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109,812 </w:t>
            </w:r>
          </w:p>
        </w:tc>
        <w:tc>
          <w:tcPr>
            <w:tcW w:w="302" w:type="pct"/>
            <w:tcBorders>
              <w:top w:val="nil"/>
              <w:left w:val="nil"/>
              <w:bottom w:val="single" w:sz="8" w:space="0" w:color="auto"/>
              <w:right w:val="single" w:sz="8" w:space="0" w:color="auto"/>
            </w:tcBorders>
            <w:vAlign w:val="center"/>
            <w:hideMark/>
          </w:tcPr>
          <w:p w14:paraId="72290A3C" w14:textId="140D91B7" w:rsidR="00C15440" w:rsidRPr="00A51E75" w:rsidRDefault="00C15440" w:rsidP="001F1A3A">
            <w:pPr>
              <w:ind w:left="-57" w:right="-57"/>
              <w:jc w:val="right"/>
              <w:rPr>
                <w:rFonts w:ascii="Calibri" w:hAnsi="Calibri" w:cs="Calibri"/>
                <w:color w:val="000000"/>
                <w:sz w:val="16"/>
                <w:szCs w:val="16"/>
              </w:rPr>
            </w:pPr>
            <w:r w:rsidRPr="001E1489">
              <w:rPr>
                <w:rFonts w:ascii="Calibri" w:hAnsi="Calibri" w:cs="Calibri"/>
                <w:color w:val="000000"/>
                <w:sz w:val="16"/>
                <w:szCs w:val="16"/>
              </w:rPr>
              <w:t>PNUD</w:t>
            </w:r>
          </w:p>
        </w:tc>
      </w:tr>
      <w:tr w:rsidR="00C15440" w:rsidRPr="00A51E75" w14:paraId="017E8CFD" w14:textId="77777777" w:rsidTr="00EE70E2">
        <w:trPr>
          <w:trHeight w:val="810"/>
        </w:trPr>
        <w:tc>
          <w:tcPr>
            <w:tcW w:w="390" w:type="pct"/>
            <w:tcBorders>
              <w:top w:val="nil"/>
              <w:left w:val="single" w:sz="8" w:space="0" w:color="auto"/>
              <w:bottom w:val="single" w:sz="8" w:space="0" w:color="auto"/>
              <w:right w:val="single" w:sz="8" w:space="0" w:color="auto"/>
            </w:tcBorders>
            <w:noWrap/>
            <w:vAlign w:val="center"/>
            <w:hideMark/>
          </w:tcPr>
          <w:p w14:paraId="1926CF8F"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Subvenciones</w:t>
            </w:r>
          </w:p>
        </w:tc>
        <w:tc>
          <w:tcPr>
            <w:tcW w:w="1842" w:type="pct"/>
            <w:tcBorders>
              <w:top w:val="nil"/>
              <w:left w:val="nil"/>
              <w:bottom w:val="single" w:sz="8" w:space="0" w:color="auto"/>
              <w:right w:val="single" w:sz="8" w:space="0" w:color="auto"/>
            </w:tcBorders>
            <w:vAlign w:val="center"/>
            <w:hideMark/>
          </w:tcPr>
          <w:p w14:paraId="00F56F54" w14:textId="1D4618CD"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Subvenciones para proyectos productivos liderados por indígenas. Al menos 7 </w:t>
            </w:r>
            <w:r w:rsidR="00CB0C5A">
              <w:rPr>
                <w:rFonts w:ascii="Calibri" w:hAnsi="Calibri" w:cs="Calibri"/>
                <w:color w:val="000000"/>
                <w:sz w:val="16"/>
                <w:szCs w:val="16"/>
              </w:rPr>
              <w:t>SBV</w:t>
            </w:r>
            <w:r w:rsidRPr="00A51E75">
              <w:rPr>
                <w:rFonts w:ascii="Calibri" w:hAnsi="Calibri" w:cs="Calibri"/>
                <w:color w:val="000000"/>
                <w:sz w:val="16"/>
                <w:szCs w:val="16"/>
              </w:rPr>
              <w:t xml:space="preserve"> apoyarán iniciativas productivas lideradas por pueblos indígenas y nacionalidades en la cuenca del río Napo. Las subvenciones se administrarán conforme a las políticas </w:t>
            </w:r>
            <w:r w:rsidR="00CB0C5A">
              <w:rPr>
                <w:rFonts w:ascii="Calibri" w:hAnsi="Calibri" w:cs="Calibri"/>
                <w:color w:val="000000"/>
                <w:sz w:val="16"/>
                <w:szCs w:val="16"/>
              </w:rPr>
              <w:t>SBV</w:t>
            </w:r>
            <w:r w:rsidRPr="00A51E75">
              <w:rPr>
                <w:rFonts w:ascii="Calibri" w:hAnsi="Calibri" w:cs="Calibri"/>
                <w:color w:val="000000"/>
                <w:sz w:val="16"/>
                <w:szCs w:val="16"/>
              </w:rPr>
              <w:t xml:space="preserve"> del PNUD para garantizar la transparencia y la sostenibilidad. Total: 336.085 USD</w:t>
            </w:r>
          </w:p>
        </w:tc>
        <w:tc>
          <w:tcPr>
            <w:tcW w:w="308" w:type="pct"/>
            <w:tcBorders>
              <w:top w:val="nil"/>
              <w:left w:val="nil"/>
              <w:bottom w:val="single" w:sz="8" w:space="0" w:color="auto"/>
              <w:right w:val="single" w:sz="8" w:space="0" w:color="auto"/>
            </w:tcBorders>
            <w:noWrap/>
            <w:vAlign w:val="center"/>
            <w:hideMark/>
          </w:tcPr>
          <w:p w14:paraId="62BC9C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8D9CE3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6C88DF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336,085 </w:t>
            </w:r>
          </w:p>
        </w:tc>
        <w:tc>
          <w:tcPr>
            <w:tcW w:w="308" w:type="pct"/>
            <w:tcBorders>
              <w:top w:val="nil"/>
              <w:left w:val="nil"/>
              <w:bottom w:val="single" w:sz="8" w:space="0" w:color="auto"/>
              <w:right w:val="single" w:sz="8" w:space="0" w:color="auto"/>
            </w:tcBorders>
            <w:noWrap/>
            <w:vAlign w:val="center"/>
            <w:hideMark/>
          </w:tcPr>
          <w:p w14:paraId="66FBE85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90E469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336,085 </w:t>
            </w:r>
          </w:p>
        </w:tc>
        <w:tc>
          <w:tcPr>
            <w:tcW w:w="308" w:type="pct"/>
            <w:tcBorders>
              <w:top w:val="nil"/>
              <w:left w:val="nil"/>
              <w:bottom w:val="single" w:sz="8" w:space="0" w:color="auto"/>
              <w:right w:val="single" w:sz="8" w:space="0" w:color="auto"/>
            </w:tcBorders>
            <w:noWrap/>
            <w:vAlign w:val="center"/>
            <w:hideMark/>
          </w:tcPr>
          <w:p w14:paraId="63B73D5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7B9F43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03DA131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336,085 </w:t>
            </w:r>
          </w:p>
        </w:tc>
        <w:tc>
          <w:tcPr>
            <w:tcW w:w="302" w:type="pct"/>
            <w:tcBorders>
              <w:top w:val="nil"/>
              <w:left w:val="nil"/>
              <w:bottom w:val="single" w:sz="8" w:space="0" w:color="auto"/>
              <w:right w:val="single" w:sz="8" w:space="0" w:color="auto"/>
            </w:tcBorders>
            <w:vAlign w:val="center"/>
            <w:hideMark/>
          </w:tcPr>
          <w:p w14:paraId="601ADC33" w14:textId="62AD5B29" w:rsidR="00C15440" w:rsidRPr="00A51E75" w:rsidRDefault="00C15440" w:rsidP="001F1A3A">
            <w:pPr>
              <w:ind w:left="-57" w:right="-57"/>
              <w:jc w:val="right"/>
              <w:rPr>
                <w:rFonts w:ascii="Calibri" w:hAnsi="Calibri" w:cs="Calibri"/>
                <w:color w:val="000000"/>
                <w:sz w:val="16"/>
                <w:szCs w:val="16"/>
              </w:rPr>
            </w:pPr>
            <w:r w:rsidRPr="001E1489">
              <w:rPr>
                <w:rFonts w:ascii="Calibri" w:hAnsi="Calibri" w:cs="Calibri"/>
                <w:color w:val="000000"/>
                <w:sz w:val="16"/>
                <w:szCs w:val="16"/>
              </w:rPr>
              <w:t>PNUD</w:t>
            </w:r>
          </w:p>
        </w:tc>
      </w:tr>
      <w:tr w:rsidR="00C15440" w:rsidRPr="00A51E75" w14:paraId="26693E78" w14:textId="77777777" w:rsidTr="00EE70E2">
        <w:trPr>
          <w:trHeight w:val="940"/>
        </w:trPr>
        <w:tc>
          <w:tcPr>
            <w:tcW w:w="390" w:type="pct"/>
            <w:tcBorders>
              <w:top w:val="nil"/>
              <w:left w:val="single" w:sz="8" w:space="0" w:color="auto"/>
              <w:bottom w:val="single" w:sz="8" w:space="0" w:color="auto"/>
              <w:right w:val="single" w:sz="8" w:space="0" w:color="auto"/>
            </w:tcBorders>
            <w:noWrap/>
            <w:vAlign w:val="center"/>
            <w:hideMark/>
          </w:tcPr>
          <w:p w14:paraId="6EF36E12"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Subvenciones</w:t>
            </w:r>
          </w:p>
        </w:tc>
        <w:tc>
          <w:tcPr>
            <w:tcW w:w="1842" w:type="pct"/>
            <w:tcBorders>
              <w:top w:val="nil"/>
              <w:left w:val="nil"/>
              <w:bottom w:val="single" w:sz="8" w:space="0" w:color="auto"/>
              <w:right w:val="single" w:sz="8" w:space="0" w:color="auto"/>
            </w:tcBorders>
            <w:vAlign w:val="center"/>
            <w:hideMark/>
          </w:tcPr>
          <w:p w14:paraId="0BD2902B" w14:textId="7C36ADDD"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Subvenciones de bajo valor (</w:t>
            </w:r>
            <w:r w:rsidR="00CB0C5A">
              <w:rPr>
                <w:rFonts w:ascii="Calibri" w:hAnsi="Calibri" w:cs="Calibri"/>
                <w:color w:val="000000"/>
                <w:sz w:val="16"/>
                <w:szCs w:val="16"/>
              </w:rPr>
              <w:t>SBV</w:t>
            </w:r>
            <w:r w:rsidRPr="00A51E75">
              <w:rPr>
                <w:rFonts w:ascii="Calibri" w:hAnsi="Calibri" w:cs="Calibri"/>
                <w:color w:val="000000"/>
                <w:sz w:val="16"/>
                <w:szCs w:val="16"/>
              </w:rPr>
              <w:t xml:space="preserve">) para iniciativas lideradas por la comunidad. Apoyar iniciativas comunitarias en restauración ecológica y monitoreo participativo del agua. Se otorgarán al menos 56 </w:t>
            </w:r>
            <w:r w:rsidR="00CB0C5A">
              <w:rPr>
                <w:rFonts w:ascii="Calibri" w:hAnsi="Calibri" w:cs="Calibri"/>
                <w:color w:val="000000"/>
                <w:sz w:val="16"/>
                <w:szCs w:val="16"/>
              </w:rPr>
              <w:t>SBV</w:t>
            </w:r>
            <w:r w:rsidRPr="00A51E75">
              <w:rPr>
                <w:rFonts w:ascii="Calibri" w:hAnsi="Calibri" w:cs="Calibri"/>
                <w:color w:val="000000"/>
                <w:sz w:val="16"/>
                <w:szCs w:val="16"/>
              </w:rPr>
              <w:t xml:space="preserve"> (USD 15,000–25,000 cada uno) durante los años 1–5, priorizando a mujeres, jóvenes y pueblos indígenas. Las subvenciones se administrarán conforme a las políticas del </w:t>
            </w:r>
            <w:r w:rsidR="00CB0C5A">
              <w:rPr>
                <w:rFonts w:ascii="Calibri" w:hAnsi="Calibri" w:cs="Calibri"/>
                <w:color w:val="000000"/>
                <w:sz w:val="16"/>
                <w:szCs w:val="16"/>
              </w:rPr>
              <w:t>SBV</w:t>
            </w:r>
            <w:r w:rsidRPr="00A51E75">
              <w:rPr>
                <w:rFonts w:ascii="Calibri" w:hAnsi="Calibri" w:cs="Calibri"/>
                <w:color w:val="000000"/>
                <w:sz w:val="16"/>
                <w:szCs w:val="16"/>
              </w:rPr>
              <w:t xml:space="preserve"> del PNUD para garantizar la transparencia y la sostenibilidad. Total: 1.133.905 USD.</w:t>
            </w:r>
          </w:p>
        </w:tc>
        <w:tc>
          <w:tcPr>
            <w:tcW w:w="308" w:type="pct"/>
            <w:tcBorders>
              <w:top w:val="nil"/>
              <w:left w:val="nil"/>
              <w:bottom w:val="single" w:sz="8" w:space="0" w:color="auto"/>
              <w:right w:val="single" w:sz="8" w:space="0" w:color="auto"/>
            </w:tcBorders>
            <w:noWrap/>
            <w:vAlign w:val="center"/>
            <w:hideMark/>
          </w:tcPr>
          <w:p w14:paraId="27F188B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8172FD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1,133,905 </w:t>
            </w:r>
          </w:p>
        </w:tc>
        <w:tc>
          <w:tcPr>
            <w:tcW w:w="308" w:type="pct"/>
            <w:tcBorders>
              <w:top w:val="nil"/>
              <w:left w:val="nil"/>
              <w:bottom w:val="single" w:sz="8" w:space="0" w:color="auto"/>
              <w:right w:val="single" w:sz="8" w:space="0" w:color="auto"/>
            </w:tcBorders>
            <w:noWrap/>
            <w:vAlign w:val="center"/>
            <w:hideMark/>
          </w:tcPr>
          <w:p w14:paraId="2C9451D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115224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2D141A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1,133,905 </w:t>
            </w:r>
          </w:p>
        </w:tc>
        <w:tc>
          <w:tcPr>
            <w:tcW w:w="308" w:type="pct"/>
            <w:tcBorders>
              <w:top w:val="nil"/>
              <w:left w:val="nil"/>
              <w:bottom w:val="single" w:sz="8" w:space="0" w:color="auto"/>
              <w:right w:val="single" w:sz="8" w:space="0" w:color="auto"/>
            </w:tcBorders>
            <w:noWrap/>
            <w:vAlign w:val="center"/>
            <w:hideMark/>
          </w:tcPr>
          <w:p w14:paraId="20D09C8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E11C05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0A0D50A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1,133,905 </w:t>
            </w:r>
          </w:p>
        </w:tc>
        <w:tc>
          <w:tcPr>
            <w:tcW w:w="302" w:type="pct"/>
            <w:tcBorders>
              <w:top w:val="nil"/>
              <w:left w:val="nil"/>
              <w:bottom w:val="single" w:sz="8" w:space="0" w:color="auto"/>
              <w:right w:val="single" w:sz="8" w:space="0" w:color="auto"/>
            </w:tcBorders>
            <w:vAlign w:val="center"/>
            <w:hideMark/>
          </w:tcPr>
          <w:p w14:paraId="3BDCF329" w14:textId="20F7357A" w:rsidR="00C15440" w:rsidRPr="00A51E75" w:rsidRDefault="00C15440" w:rsidP="001F1A3A">
            <w:pPr>
              <w:ind w:left="-57" w:right="-57"/>
              <w:jc w:val="right"/>
              <w:rPr>
                <w:rFonts w:ascii="Calibri" w:hAnsi="Calibri" w:cs="Calibri"/>
                <w:color w:val="000000"/>
                <w:sz w:val="16"/>
                <w:szCs w:val="16"/>
              </w:rPr>
            </w:pPr>
            <w:r w:rsidRPr="001E1489">
              <w:rPr>
                <w:rFonts w:ascii="Calibri" w:hAnsi="Calibri" w:cs="Calibri"/>
                <w:color w:val="000000"/>
                <w:sz w:val="16"/>
                <w:szCs w:val="16"/>
              </w:rPr>
              <w:t>PNUD</w:t>
            </w:r>
          </w:p>
        </w:tc>
      </w:tr>
      <w:tr w:rsidR="00C15440" w:rsidRPr="00A51E75" w14:paraId="299A9D3E"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2E8E3B84"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Subvenciones</w:t>
            </w:r>
          </w:p>
        </w:tc>
        <w:tc>
          <w:tcPr>
            <w:tcW w:w="1842" w:type="pct"/>
            <w:tcBorders>
              <w:top w:val="nil"/>
              <w:left w:val="nil"/>
              <w:bottom w:val="single" w:sz="8" w:space="0" w:color="auto"/>
              <w:right w:val="single" w:sz="8" w:space="0" w:color="auto"/>
            </w:tcBorders>
            <w:vAlign w:val="center"/>
            <w:hideMark/>
          </w:tcPr>
          <w:p w14:paraId="218DFA17" w14:textId="58B8DEC3"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Subvenciones Pequeñas (</w:t>
            </w:r>
            <w:r w:rsidR="00CB0C5A">
              <w:rPr>
                <w:rFonts w:ascii="Calibri" w:hAnsi="Calibri" w:cs="Calibri"/>
                <w:color w:val="000000"/>
                <w:sz w:val="16"/>
                <w:szCs w:val="16"/>
              </w:rPr>
              <w:t>SBV</w:t>
            </w:r>
            <w:r w:rsidRPr="00A51E75">
              <w:rPr>
                <w:rFonts w:ascii="Calibri" w:hAnsi="Calibri" w:cs="Calibri"/>
                <w:color w:val="000000"/>
                <w:sz w:val="16"/>
                <w:szCs w:val="16"/>
              </w:rPr>
              <w:t xml:space="preserve">) para empresas comunitarias. Alrededor de 22 </w:t>
            </w:r>
            <w:r w:rsidR="00CB0C5A">
              <w:rPr>
                <w:rFonts w:ascii="Calibri" w:hAnsi="Calibri" w:cs="Calibri"/>
                <w:color w:val="000000"/>
                <w:sz w:val="16"/>
                <w:szCs w:val="16"/>
              </w:rPr>
              <w:t>SBV</w:t>
            </w:r>
            <w:r w:rsidRPr="00A51E75">
              <w:rPr>
                <w:rFonts w:ascii="Calibri" w:hAnsi="Calibri" w:cs="Calibri"/>
                <w:color w:val="000000"/>
                <w:sz w:val="16"/>
                <w:szCs w:val="16"/>
              </w:rPr>
              <w:t xml:space="preserve"> (USD 15.000–25.000 cada uno) apoyarán a empresas lideradas por mujeres, jóvenes e indígenas en áreas de restauración ecológica. Las subvenciones se administrarán conforme a las políticas del </w:t>
            </w:r>
            <w:r w:rsidR="00CB0C5A">
              <w:rPr>
                <w:rFonts w:ascii="Calibri" w:hAnsi="Calibri" w:cs="Calibri"/>
                <w:color w:val="000000"/>
                <w:sz w:val="16"/>
                <w:szCs w:val="16"/>
              </w:rPr>
              <w:t>SBV</w:t>
            </w:r>
            <w:r w:rsidRPr="00A51E75">
              <w:rPr>
                <w:rFonts w:ascii="Calibri" w:hAnsi="Calibri" w:cs="Calibri"/>
                <w:color w:val="000000"/>
                <w:sz w:val="16"/>
                <w:szCs w:val="16"/>
              </w:rPr>
              <w:t xml:space="preserve"> del PNUD para garantizar la transparencia y la sostenibilidad. Total: USD 455.018 </w:t>
            </w:r>
          </w:p>
        </w:tc>
        <w:tc>
          <w:tcPr>
            <w:tcW w:w="308" w:type="pct"/>
            <w:tcBorders>
              <w:top w:val="nil"/>
              <w:left w:val="nil"/>
              <w:bottom w:val="single" w:sz="8" w:space="0" w:color="auto"/>
              <w:right w:val="single" w:sz="8" w:space="0" w:color="auto"/>
            </w:tcBorders>
            <w:noWrap/>
            <w:vAlign w:val="center"/>
            <w:hideMark/>
          </w:tcPr>
          <w:p w14:paraId="5EC0149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9E3466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455,018 </w:t>
            </w:r>
          </w:p>
        </w:tc>
        <w:tc>
          <w:tcPr>
            <w:tcW w:w="308" w:type="pct"/>
            <w:tcBorders>
              <w:top w:val="nil"/>
              <w:left w:val="nil"/>
              <w:bottom w:val="single" w:sz="8" w:space="0" w:color="auto"/>
              <w:right w:val="single" w:sz="8" w:space="0" w:color="auto"/>
            </w:tcBorders>
            <w:noWrap/>
            <w:vAlign w:val="center"/>
            <w:hideMark/>
          </w:tcPr>
          <w:p w14:paraId="6F103A2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C92C89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627644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455,018 </w:t>
            </w:r>
          </w:p>
        </w:tc>
        <w:tc>
          <w:tcPr>
            <w:tcW w:w="308" w:type="pct"/>
            <w:tcBorders>
              <w:top w:val="nil"/>
              <w:left w:val="nil"/>
              <w:bottom w:val="single" w:sz="8" w:space="0" w:color="auto"/>
              <w:right w:val="single" w:sz="8" w:space="0" w:color="auto"/>
            </w:tcBorders>
            <w:noWrap/>
            <w:vAlign w:val="center"/>
            <w:hideMark/>
          </w:tcPr>
          <w:p w14:paraId="303F2D4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2B8875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C2D9F5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455,018 </w:t>
            </w:r>
          </w:p>
        </w:tc>
        <w:tc>
          <w:tcPr>
            <w:tcW w:w="302" w:type="pct"/>
            <w:tcBorders>
              <w:top w:val="nil"/>
              <w:left w:val="nil"/>
              <w:bottom w:val="single" w:sz="8" w:space="0" w:color="auto"/>
              <w:right w:val="single" w:sz="8" w:space="0" w:color="auto"/>
            </w:tcBorders>
            <w:vAlign w:val="center"/>
            <w:hideMark/>
          </w:tcPr>
          <w:p w14:paraId="7D470BBF" w14:textId="7EDC84C9" w:rsidR="00C15440" w:rsidRPr="00A51E75" w:rsidRDefault="00C15440" w:rsidP="001F1A3A">
            <w:pPr>
              <w:ind w:left="-57" w:right="-57"/>
              <w:jc w:val="right"/>
              <w:rPr>
                <w:rFonts w:ascii="Calibri" w:hAnsi="Calibri" w:cs="Calibri"/>
                <w:color w:val="000000"/>
                <w:sz w:val="16"/>
                <w:szCs w:val="16"/>
              </w:rPr>
            </w:pPr>
            <w:r w:rsidRPr="001E1489">
              <w:rPr>
                <w:rFonts w:ascii="Calibri" w:hAnsi="Calibri" w:cs="Calibri"/>
                <w:color w:val="000000"/>
                <w:sz w:val="16"/>
                <w:szCs w:val="16"/>
              </w:rPr>
              <w:t>PNUD</w:t>
            </w:r>
          </w:p>
        </w:tc>
      </w:tr>
      <w:tr w:rsidR="00C15440" w:rsidRPr="00A51E75" w14:paraId="7B60B466" w14:textId="77777777" w:rsidTr="00EE70E2">
        <w:trPr>
          <w:trHeight w:val="850"/>
        </w:trPr>
        <w:tc>
          <w:tcPr>
            <w:tcW w:w="390" w:type="pct"/>
            <w:tcBorders>
              <w:top w:val="nil"/>
              <w:left w:val="single" w:sz="8" w:space="0" w:color="auto"/>
              <w:bottom w:val="single" w:sz="8" w:space="0" w:color="auto"/>
              <w:right w:val="single" w:sz="8" w:space="0" w:color="auto"/>
            </w:tcBorders>
            <w:noWrap/>
            <w:vAlign w:val="center"/>
            <w:hideMark/>
          </w:tcPr>
          <w:p w14:paraId="2B8F1AEF"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2C08FA46" w14:textId="6D0B58D6"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Gestión de Proyectos – Personal clave.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Coordinador de Proyecto (60 meses, 3.328 USD/mes). Las posiciones de #1These del Anexo 7 de</w:t>
            </w:r>
            <w:r w:rsidR="00356E75">
              <w:rPr>
                <w:rFonts w:ascii="Calibri" w:hAnsi="Calibri" w:cs="Calibri"/>
                <w:color w:val="000000"/>
                <w:sz w:val="16"/>
                <w:szCs w:val="16"/>
              </w:rPr>
              <w:t xml:space="preserve"> TdR </w:t>
            </w:r>
            <w:r w:rsidRPr="00A51E75">
              <w:rPr>
                <w:rFonts w:ascii="Calibri" w:hAnsi="Calibri" w:cs="Calibri"/>
                <w:color w:val="000000"/>
                <w:sz w:val="16"/>
                <w:szCs w:val="16"/>
              </w:rPr>
              <w:t>garantizan liderazgo, coordinación con contrapartes, cumplimiento de las normas PNUD-</w:t>
            </w:r>
            <w:r w:rsidR="0078696E">
              <w:rPr>
                <w:rFonts w:ascii="Calibri" w:hAnsi="Calibri" w:cs="Calibri"/>
                <w:color w:val="000000"/>
                <w:sz w:val="16"/>
                <w:szCs w:val="16"/>
              </w:rPr>
              <w:t>FMAM</w:t>
            </w:r>
            <w:r w:rsidRPr="00A51E75">
              <w:rPr>
                <w:rFonts w:ascii="Calibri" w:hAnsi="Calibri" w:cs="Calibri"/>
                <w:color w:val="000000"/>
                <w:sz w:val="16"/>
                <w:szCs w:val="16"/>
              </w:rPr>
              <w:t xml:space="preserve"> y una gestión transparente de los recursos durante toda la implementación. Total: USD 373.680 (años 1–5).</w:t>
            </w:r>
          </w:p>
        </w:tc>
        <w:tc>
          <w:tcPr>
            <w:tcW w:w="308" w:type="pct"/>
            <w:tcBorders>
              <w:top w:val="nil"/>
              <w:left w:val="nil"/>
              <w:bottom w:val="single" w:sz="8" w:space="0" w:color="auto"/>
              <w:right w:val="single" w:sz="8" w:space="0" w:color="auto"/>
            </w:tcBorders>
            <w:noWrap/>
            <w:vAlign w:val="center"/>
            <w:hideMark/>
          </w:tcPr>
          <w:p w14:paraId="6F7612C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FBBB48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F09CDF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630B4D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597344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4BCCE1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A3B742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199,680 </w:t>
            </w:r>
          </w:p>
        </w:tc>
        <w:tc>
          <w:tcPr>
            <w:tcW w:w="310" w:type="pct"/>
            <w:tcBorders>
              <w:top w:val="nil"/>
              <w:left w:val="nil"/>
              <w:bottom w:val="single" w:sz="8" w:space="0" w:color="auto"/>
              <w:right w:val="single" w:sz="8" w:space="0" w:color="auto"/>
            </w:tcBorders>
            <w:vAlign w:val="center"/>
            <w:hideMark/>
          </w:tcPr>
          <w:p w14:paraId="45E45C5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199,680 </w:t>
            </w:r>
          </w:p>
        </w:tc>
        <w:tc>
          <w:tcPr>
            <w:tcW w:w="302" w:type="pct"/>
            <w:tcBorders>
              <w:top w:val="nil"/>
              <w:left w:val="nil"/>
              <w:bottom w:val="single" w:sz="8" w:space="0" w:color="auto"/>
              <w:right w:val="single" w:sz="8" w:space="0" w:color="auto"/>
            </w:tcBorders>
            <w:vAlign w:val="center"/>
            <w:hideMark/>
          </w:tcPr>
          <w:p w14:paraId="64B7D484" w14:textId="441F6CF8" w:rsidR="00C15440" w:rsidRPr="00A51E75" w:rsidRDefault="00C15440" w:rsidP="001F1A3A">
            <w:pPr>
              <w:ind w:left="-57" w:right="-57"/>
              <w:jc w:val="right"/>
              <w:rPr>
                <w:rFonts w:ascii="Calibri" w:hAnsi="Calibri" w:cs="Calibri"/>
                <w:color w:val="000000"/>
                <w:sz w:val="16"/>
                <w:szCs w:val="16"/>
              </w:rPr>
            </w:pPr>
            <w:r w:rsidRPr="001E1489">
              <w:rPr>
                <w:rFonts w:ascii="Calibri" w:hAnsi="Calibri" w:cs="Calibri"/>
                <w:color w:val="000000"/>
                <w:sz w:val="16"/>
                <w:szCs w:val="16"/>
              </w:rPr>
              <w:t>PNUD</w:t>
            </w:r>
          </w:p>
        </w:tc>
      </w:tr>
      <w:tr w:rsidR="00C15440" w:rsidRPr="00A51E75" w14:paraId="085A1295" w14:textId="77777777" w:rsidTr="00EE70E2">
        <w:trPr>
          <w:trHeight w:val="412"/>
        </w:trPr>
        <w:tc>
          <w:tcPr>
            <w:tcW w:w="390" w:type="pct"/>
            <w:tcBorders>
              <w:top w:val="nil"/>
              <w:left w:val="single" w:sz="8" w:space="0" w:color="auto"/>
              <w:bottom w:val="single" w:sz="8" w:space="0" w:color="auto"/>
              <w:right w:val="single" w:sz="8" w:space="0" w:color="auto"/>
            </w:tcBorders>
            <w:noWrap/>
            <w:vAlign w:val="center"/>
            <w:hideMark/>
          </w:tcPr>
          <w:p w14:paraId="47F5B533"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w:t>
            </w:r>
            <w:r w:rsidRPr="00A51E75">
              <w:rPr>
                <w:rFonts w:ascii="Calibri" w:hAnsi="Calibri" w:cs="Calibri"/>
                <w:color w:val="000000"/>
                <w:sz w:val="16"/>
                <w:szCs w:val="16"/>
              </w:rPr>
              <w:lastRenderedPageBreak/>
              <w:t>es - Individual</w:t>
            </w:r>
          </w:p>
        </w:tc>
        <w:tc>
          <w:tcPr>
            <w:tcW w:w="1842" w:type="pct"/>
            <w:tcBorders>
              <w:top w:val="nil"/>
              <w:left w:val="nil"/>
              <w:bottom w:val="single" w:sz="8" w:space="0" w:color="auto"/>
              <w:right w:val="single" w:sz="8" w:space="0" w:color="auto"/>
            </w:tcBorders>
            <w:vAlign w:val="center"/>
            <w:hideMark/>
          </w:tcPr>
          <w:p w14:paraId="38354104" w14:textId="4FA329EC"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lastRenderedPageBreak/>
              <w:t xml:space="preserve">Gestión de Proyectos – Personal clave.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Gerente Administrativo y Financiero (60 meses, 2.900 USD/mes). Las posiciones de #2These del Anexo 7 de</w:t>
            </w:r>
            <w:r w:rsidR="00356E75">
              <w:rPr>
                <w:rFonts w:ascii="Calibri" w:hAnsi="Calibri" w:cs="Calibri"/>
                <w:color w:val="000000"/>
                <w:sz w:val="16"/>
                <w:szCs w:val="16"/>
              </w:rPr>
              <w:t xml:space="preserve"> TdR </w:t>
            </w:r>
            <w:r w:rsidRPr="00A51E75">
              <w:rPr>
                <w:rFonts w:ascii="Calibri" w:hAnsi="Calibri" w:cs="Calibri"/>
                <w:color w:val="000000"/>
                <w:sz w:val="16"/>
                <w:szCs w:val="16"/>
              </w:rPr>
              <w:lastRenderedPageBreak/>
              <w:t>garantizan liderazgo, coordinación con sus homólogos, cumplimiento de las normas PNUD-</w:t>
            </w:r>
            <w:r w:rsidR="0078696E">
              <w:rPr>
                <w:rFonts w:ascii="Calibri" w:hAnsi="Calibri" w:cs="Calibri"/>
                <w:color w:val="000000"/>
                <w:sz w:val="16"/>
                <w:szCs w:val="16"/>
              </w:rPr>
              <w:t>FMAM</w:t>
            </w:r>
            <w:r w:rsidRPr="00A51E75">
              <w:rPr>
                <w:rFonts w:ascii="Calibri" w:hAnsi="Calibri" w:cs="Calibri"/>
                <w:color w:val="000000"/>
                <w:sz w:val="16"/>
                <w:szCs w:val="16"/>
              </w:rPr>
              <w:t xml:space="preserve"> y una gestión transparente de los recursos durante toda la implementación. Total: USD 373.680 (años 1–5).</w:t>
            </w:r>
          </w:p>
        </w:tc>
        <w:tc>
          <w:tcPr>
            <w:tcW w:w="308" w:type="pct"/>
            <w:tcBorders>
              <w:top w:val="nil"/>
              <w:left w:val="nil"/>
              <w:bottom w:val="single" w:sz="8" w:space="0" w:color="auto"/>
              <w:right w:val="single" w:sz="8" w:space="0" w:color="auto"/>
            </w:tcBorders>
            <w:noWrap/>
            <w:vAlign w:val="center"/>
            <w:hideMark/>
          </w:tcPr>
          <w:p w14:paraId="6E0C07F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lastRenderedPageBreak/>
              <w:t xml:space="preserve">                      -   </w:t>
            </w:r>
          </w:p>
        </w:tc>
        <w:tc>
          <w:tcPr>
            <w:tcW w:w="308" w:type="pct"/>
            <w:tcBorders>
              <w:top w:val="nil"/>
              <w:left w:val="nil"/>
              <w:bottom w:val="single" w:sz="8" w:space="0" w:color="auto"/>
              <w:right w:val="single" w:sz="8" w:space="0" w:color="auto"/>
            </w:tcBorders>
            <w:noWrap/>
            <w:vAlign w:val="center"/>
            <w:hideMark/>
          </w:tcPr>
          <w:p w14:paraId="5E9ACD4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3C1CCF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CE13E6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824D10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7732B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865C97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174,000 </w:t>
            </w:r>
          </w:p>
        </w:tc>
        <w:tc>
          <w:tcPr>
            <w:tcW w:w="310" w:type="pct"/>
            <w:tcBorders>
              <w:top w:val="nil"/>
              <w:left w:val="nil"/>
              <w:bottom w:val="single" w:sz="8" w:space="0" w:color="auto"/>
              <w:right w:val="single" w:sz="8" w:space="0" w:color="auto"/>
            </w:tcBorders>
            <w:vAlign w:val="center"/>
            <w:hideMark/>
          </w:tcPr>
          <w:p w14:paraId="73EDFB4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174,000 </w:t>
            </w:r>
          </w:p>
        </w:tc>
        <w:tc>
          <w:tcPr>
            <w:tcW w:w="302" w:type="pct"/>
            <w:tcBorders>
              <w:top w:val="nil"/>
              <w:left w:val="nil"/>
              <w:bottom w:val="single" w:sz="8" w:space="0" w:color="auto"/>
              <w:right w:val="single" w:sz="8" w:space="0" w:color="auto"/>
            </w:tcBorders>
            <w:vAlign w:val="center"/>
            <w:hideMark/>
          </w:tcPr>
          <w:p w14:paraId="0BCE6735" w14:textId="2D54F891" w:rsidR="00C15440" w:rsidRPr="00A51E75" w:rsidRDefault="00C15440" w:rsidP="001F1A3A">
            <w:pPr>
              <w:ind w:left="-57" w:right="-57"/>
              <w:jc w:val="right"/>
              <w:rPr>
                <w:rFonts w:ascii="Calibri" w:hAnsi="Calibri" w:cs="Calibri"/>
                <w:color w:val="000000"/>
                <w:sz w:val="16"/>
                <w:szCs w:val="16"/>
              </w:rPr>
            </w:pPr>
            <w:r w:rsidRPr="001E1489">
              <w:rPr>
                <w:rFonts w:ascii="Calibri" w:hAnsi="Calibri" w:cs="Calibri"/>
                <w:color w:val="000000"/>
                <w:sz w:val="16"/>
                <w:szCs w:val="16"/>
              </w:rPr>
              <w:t>PNUD</w:t>
            </w:r>
          </w:p>
        </w:tc>
      </w:tr>
      <w:tr w:rsidR="00C15440" w:rsidRPr="00A51E75" w14:paraId="7D5DC1FB"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028785B2"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2420AD8C" w14:textId="364DEF4B"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Especialista – Financiación climática y mercados sostenibles. Contratación de un especialista (36 meses, 2.412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 xml:space="preserve">#18 Responsable de vincular acciones territoriales con instrumentos financieros verdes, incentivos, cadenas de valor y financiación basada en la naturaleza para apoyar la conservación de la biodiversidad y la restauración de ecosistemas. Total: USD 86.832 </w:t>
            </w:r>
          </w:p>
        </w:tc>
        <w:tc>
          <w:tcPr>
            <w:tcW w:w="308" w:type="pct"/>
            <w:tcBorders>
              <w:top w:val="nil"/>
              <w:left w:val="nil"/>
              <w:bottom w:val="single" w:sz="8" w:space="0" w:color="auto"/>
              <w:right w:val="single" w:sz="8" w:space="0" w:color="auto"/>
            </w:tcBorders>
            <w:noWrap/>
            <w:vAlign w:val="center"/>
            <w:hideMark/>
          </w:tcPr>
          <w:p w14:paraId="14AE89F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6EF726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B043FD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5D1303C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D86061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59A3D3A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CFAA15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360BE53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01643BFB" w14:textId="6D8A071E"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552C87EF"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10E7A410"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218DABCB" w14:textId="00D8E275"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Especialista – Monitorización, Evaluación y Aprendizaje (MEL). Contratación de un Especialista en Seguimiento Estratégico y Evaluación de Resultados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 xml:space="preserve">#24) por 47 meses (USD 2.900/mes). Responsable de diseñar y gestionar el sistema MEL, garantizar la calidad de los datos, el seguimiento del progreso y la presentación de informes al PNUD y al </w:t>
            </w:r>
            <w:r w:rsidR="0078696E">
              <w:rPr>
                <w:rFonts w:ascii="Calibri" w:hAnsi="Calibri" w:cs="Calibri"/>
                <w:color w:val="000000"/>
                <w:sz w:val="16"/>
                <w:szCs w:val="16"/>
              </w:rPr>
              <w:t>FMAM</w:t>
            </w:r>
            <w:r w:rsidRPr="00A51E75">
              <w:rPr>
                <w:rFonts w:ascii="Calibri" w:hAnsi="Calibri" w:cs="Calibri"/>
                <w:color w:val="000000"/>
                <w:sz w:val="16"/>
                <w:szCs w:val="16"/>
              </w:rPr>
              <w:t>. Total: USD 136,300 (años 1–5).</w:t>
            </w:r>
          </w:p>
        </w:tc>
        <w:tc>
          <w:tcPr>
            <w:tcW w:w="308" w:type="pct"/>
            <w:tcBorders>
              <w:top w:val="nil"/>
              <w:left w:val="nil"/>
              <w:bottom w:val="single" w:sz="8" w:space="0" w:color="auto"/>
              <w:right w:val="single" w:sz="8" w:space="0" w:color="auto"/>
            </w:tcBorders>
            <w:noWrap/>
            <w:vAlign w:val="center"/>
            <w:hideMark/>
          </w:tcPr>
          <w:p w14:paraId="5304442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5B6F82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75B29F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F66BAB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316806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148116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136,300 </w:t>
            </w:r>
          </w:p>
        </w:tc>
        <w:tc>
          <w:tcPr>
            <w:tcW w:w="308" w:type="pct"/>
            <w:tcBorders>
              <w:top w:val="nil"/>
              <w:left w:val="nil"/>
              <w:bottom w:val="single" w:sz="8" w:space="0" w:color="auto"/>
              <w:right w:val="single" w:sz="8" w:space="0" w:color="auto"/>
            </w:tcBorders>
            <w:noWrap/>
            <w:vAlign w:val="center"/>
            <w:hideMark/>
          </w:tcPr>
          <w:p w14:paraId="74CFB80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5FD33C0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136,300 </w:t>
            </w:r>
          </w:p>
        </w:tc>
        <w:tc>
          <w:tcPr>
            <w:tcW w:w="302" w:type="pct"/>
            <w:tcBorders>
              <w:top w:val="nil"/>
              <w:left w:val="nil"/>
              <w:bottom w:val="single" w:sz="8" w:space="0" w:color="auto"/>
              <w:right w:val="single" w:sz="8" w:space="0" w:color="auto"/>
            </w:tcBorders>
            <w:vAlign w:val="center"/>
            <w:hideMark/>
          </w:tcPr>
          <w:p w14:paraId="45B1E860" w14:textId="25E271E5"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08EB2FE6"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2867CC98"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3120A4DB" w14:textId="5869B77C"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Bioeconomía, Restauración y Gestión del Territorio.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Especialista Senior – Bioeconomía y Producción Responsable (36 meses, USD 2.412/mes).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#9 Total: USD 86.832 (Años 1–5).</w:t>
            </w:r>
          </w:p>
        </w:tc>
        <w:tc>
          <w:tcPr>
            <w:tcW w:w="308" w:type="pct"/>
            <w:tcBorders>
              <w:top w:val="nil"/>
              <w:left w:val="nil"/>
              <w:bottom w:val="single" w:sz="8" w:space="0" w:color="auto"/>
              <w:right w:val="single" w:sz="8" w:space="0" w:color="auto"/>
            </w:tcBorders>
            <w:noWrap/>
            <w:vAlign w:val="center"/>
            <w:hideMark/>
          </w:tcPr>
          <w:p w14:paraId="4C6143E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A7675F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3D98736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C8FF4C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9AD951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733E3CD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5B0227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127623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1EF06F51" w14:textId="31E23518"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18F66C0D"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41994A3E"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30C21580" w14:textId="23A2C1A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Bioeconomía, Restauración y Gestión del Territorio.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asistentes técnicos – Restauración productiva y gestión territorial (54 meses cada uno, 1.795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#10Total: USD 193.860 (Años 1–5).</w:t>
            </w:r>
          </w:p>
        </w:tc>
        <w:tc>
          <w:tcPr>
            <w:tcW w:w="308" w:type="pct"/>
            <w:tcBorders>
              <w:top w:val="nil"/>
              <w:left w:val="nil"/>
              <w:bottom w:val="single" w:sz="8" w:space="0" w:color="auto"/>
              <w:right w:val="single" w:sz="8" w:space="0" w:color="auto"/>
            </w:tcBorders>
            <w:noWrap/>
            <w:vAlign w:val="center"/>
            <w:hideMark/>
          </w:tcPr>
          <w:p w14:paraId="20BF955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0D0C2C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8" w:type="pct"/>
            <w:tcBorders>
              <w:top w:val="nil"/>
              <w:left w:val="nil"/>
              <w:bottom w:val="single" w:sz="8" w:space="0" w:color="auto"/>
              <w:right w:val="single" w:sz="8" w:space="0" w:color="auto"/>
            </w:tcBorders>
            <w:noWrap/>
            <w:vAlign w:val="center"/>
            <w:hideMark/>
          </w:tcPr>
          <w:p w14:paraId="13CE4C6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C54DC4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E94AFF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8" w:type="pct"/>
            <w:tcBorders>
              <w:top w:val="nil"/>
              <w:left w:val="nil"/>
              <w:bottom w:val="single" w:sz="8" w:space="0" w:color="auto"/>
              <w:right w:val="single" w:sz="8" w:space="0" w:color="auto"/>
            </w:tcBorders>
            <w:noWrap/>
            <w:vAlign w:val="center"/>
            <w:hideMark/>
          </w:tcPr>
          <w:p w14:paraId="792EAA7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E4E38A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9E012B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2" w:type="pct"/>
            <w:tcBorders>
              <w:top w:val="nil"/>
              <w:left w:val="nil"/>
              <w:bottom w:val="single" w:sz="8" w:space="0" w:color="auto"/>
              <w:right w:val="single" w:sz="8" w:space="0" w:color="auto"/>
            </w:tcBorders>
            <w:vAlign w:val="center"/>
            <w:hideMark/>
          </w:tcPr>
          <w:p w14:paraId="543BE614" w14:textId="17628B05"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000F8F7F"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409BFFF2"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3BB6BCDB" w14:textId="365B5913"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Bioeconomía, Restauración y Gestión del Territorio.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técnicos locales – Gestión y producción sostenible de tierras (54 meses cada uno,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#13 Total: USD 156.276 (Años 1–5).</w:t>
            </w:r>
          </w:p>
        </w:tc>
        <w:tc>
          <w:tcPr>
            <w:tcW w:w="308" w:type="pct"/>
            <w:tcBorders>
              <w:top w:val="nil"/>
              <w:left w:val="nil"/>
              <w:bottom w:val="single" w:sz="8" w:space="0" w:color="auto"/>
              <w:right w:val="single" w:sz="8" w:space="0" w:color="auto"/>
            </w:tcBorders>
            <w:noWrap/>
            <w:vAlign w:val="center"/>
            <w:hideMark/>
          </w:tcPr>
          <w:p w14:paraId="6C78048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351DF1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156,276 </w:t>
            </w:r>
          </w:p>
        </w:tc>
        <w:tc>
          <w:tcPr>
            <w:tcW w:w="308" w:type="pct"/>
            <w:tcBorders>
              <w:top w:val="nil"/>
              <w:left w:val="nil"/>
              <w:bottom w:val="single" w:sz="8" w:space="0" w:color="auto"/>
              <w:right w:val="single" w:sz="8" w:space="0" w:color="auto"/>
            </w:tcBorders>
            <w:noWrap/>
            <w:vAlign w:val="center"/>
            <w:hideMark/>
          </w:tcPr>
          <w:p w14:paraId="06E87CE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00C73F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8C8F67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156,276 </w:t>
            </w:r>
          </w:p>
        </w:tc>
        <w:tc>
          <w:tcPr>
            <w:tcW w:w="308" w:type="pct"/>
            <w:tcBorders>
              <w:top w:val="nil"/>
              <w:left w:val="nil"/>
              <w:bottom w:val="single" w:sz="8" w:space="0" w:color="auto"/>
              <w:right w:val="single" w:sz="8" w:space="0" w:color="auto"/>
            </w:tcBorders>
            <w:noWrap/>
            <w:vAlign w:val="center"/>
            <w:hideMark/>
          </w:tcPr>
          <w:p w14:paraId="70A2F34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65B439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63D6B4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156,276 </w:t>
            </w:r>
          </w:p>
        </w:tc>
        <w:tc>
          <w:tcPr>
            <w:tcW w:w="302" w:type="pct"/>
            <w:tcBorders>
              <w:top w:val="nil"/>
              <w:left w:val="nil"/>
              <w:bottom w:val="single" w:sz="8" w:space="0" w:color="auto"/>
              <w:right w:val="single" w:sz="8" w:space="0" w:color="auto"/>
            </w:tcBorders>
            <w:vAlign w:val="center"/>
            <w:hideMark/>
          </w:tcPr>
          <w:p w14:paraId="5D4A2237" w14:textId="43B9CE80"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2C7E8332"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7000A3BF"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6396C175" w14:textId="4AE787FD"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Bioeconomía, Restauración y Gestión del Territorio.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Asociado Técnico – Producción Sostenible y Bioeconomía (42 meses,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#15 Total: USD 60,774 (Años 1–5).</w:t>
            </w:r>
          </w:p>
        </w:tc>
        <w:tc>
          <w:tcPr>
            <w:tcW w:w="308" w:type="pct"/>
            <w:tcBorders>
              <w:top w:val="nil"/>
              <w:left w:val="nil"/>
              <w:bottom w:val="single" w:sz="8" w:space="0" w:color="auto"/>
              <w:right w:val="single" w:sz="8" w:space="0" w:color="auto"/>
            </w:tcBorders>
            <w:noWrap/>
            <w:vAlign w:val="center"/>
            <w:hideMark/>
          </w:tcPr>
          <w:p w14:paraId="2988A2B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9D6E79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60,774 </w:t>
            </w:r>
          </w:p>
        </w:tc>
        <w:tc>
          <w:tcPr>
            <w:tcW w:w="308" w:type="pct"/>
            <w:tcBorders>
              <w:top w:val="nil"/>
              <w:left w:val="nil"/>
              <w:bottom w:val="single" w:sz="8" w:space="0" w:color="auto"/>
              <w:right w:val="single" w:sz="8" w:space="0" w:color="auto"/>
            </w:tcBorders>
            <w:noWrap/>
            <w:vAlign w:val="center"/>
            <w:hideMark/>
          </w:tcPr>
          <w:p w14:paraId="447FBD5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390581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390A39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60,774 </w:t>
            </w:r>
          </w:p>
        </w:tc>
        <w:tc>
          <w:tcPr>
            <w:tcW w:w="308" w:type="pct"/>
            <w:tcBorders>
              <w:top w:val="nil"/>
              <w:left w:val="nil"/>
              <w:bottom w:val="single" w:sz="8" w:space="0" w:color="auto"/>
              <w:right w:val="single" w:sz="8" w:space="0" w:color="auto"/>
            </w:tcBorders>
            <w:noWrap/>
            <w:vAlign w:val="center"/>
            <w:hideMark/>
          </w:tcPr>
          <w:p w14:paraId="5EE03F3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BE590F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0F672B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60,774 </w:t>
            </w:r>
          </w:p>
        </w:tc>
        <w:tc>
          <w:tcPr>
            <w:tcW w:w="302" w:type="pct"/>
            <w:tcBorders>
              <w:top w:val="nil"/>
              <w:left w:val="nil"/>
              <w:bottom w:val="single" w:sz="8" w:space="0" w:color="auto"/>
              <w:right w:val="single" w:sz="8" w:space="0" w:color="auto"/>
            </w:tcBorders>
            <w:vAlign w:val="center"/>
            <w:hideMark/>
          </w:tcPr>
          <w:p w14:paraId="599B0E40" w14:textId="417B5193"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4CE6A23E"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0C7BD5C1"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05C4169F" w14:textId="7AB607CD"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Bioeconomía, Restauración y Gestión del Territorio.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Facilitador Técnico – Implementación de </w:t>
            </w:r>
            <w:r w:rsidR="00CB0C5A">
              <w:rPr>
                <w:rFonts w:ascii="Calibri" w:hAnsi="Calibri" w:cs="Calibri"/>
                <w:color w:val="000000"/>
                <w:sz w:val="16"/>
                <w:szCs w:val="16"/>
              </w:rPr>
              <w:t>SBV</w:t>
            </w:r>
            <w:r w:rsidRPr="00A51E75">
              <w:rPr>
                <w:rFonts w:ascii="Calibri" w:hAnsi="Calibri" w:cs="Calibri"/>
                <w:color w:val="000000"/>
                <w:sz w:val="16"/>
                <w:szCs w:val="16"/>
              </w:rPr>
              <w:t xml:space="preserve"> (54 meses,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#16 Total: USD 78.138 (Años 1–5).</w:t>
            </w:r>
          </w:p>
        </w:tc>
        <w:tc>
          <w:tcPr>
            <w:tcW w:w="308" w:type="pct"/>
            <w:tcBorders>
              <w:top w:val="nil"/>
              <w:left w:val="nil"/>
              <w:bottom w:val="single" w:sz="8" w:space="0" w:color="auto"/>
              <w:right w:val="single" w:sz="8" w:space="0" w:color="auto"/>
            </w:tcBorders>
            <w:noWrap/>
            <w:vAlign w:val="center"/>
            <w:hideMark/>
          </w:tcPr>
          <w:p w14:paraId="4EA48C8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9AF1A4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6D90522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4ACE17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7523B5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78BC544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BF9D41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A49C43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2" w:type="pct"/>
            <w:tcBorders>
              <w:top w:val="nil"/>
              <w:left w:val="nil"/>
              <w:bottom w:val="single" w:sz="8" w:space="0" w:color="auto"/>
              <w:right w:val="single" w:sz="8" w:space="0" w:color="auto"/>
            </w:tcBorders>
            <w:vAlign w:val="center"/>
            <w:hideMark/>
          </w:tcPr>
          <w:p w14:paraId="2AF9D17E" w14:textId="050A11C1"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60564349"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46EB0BB3"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422CB070" w14:textId="6BDF5C0F"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Bioeconomía, Restauración y Gestión del Territorio.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promotores comunitarios territoriales (54 meses cada uno, 1.167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#17 Total: USD 126.036 (Años 1–5).</w:t>
            </w:r>
          </w:p>
        </w:tc>
        <w:tc>
          <w:tcPr>
            <w:tcW w:w="308" w:type="pct"/>
            <w:tcBorders>
              <w:top w:val="nil"/>
              <w:left w:val="nil"/>
              <w:bottom w:val="single" w:sz="8" w:space="0" w:color="auto"/>
              <w:right w:val="single" w:sz="8" w:space="0" w:color="auto"/>
            </w:tcBorders>
            <w:noWrap/>
            <w:vAlign w:val="center"/>
            <w:hideMark/>
          </w:tcPr>
          <w:p w14:paraId="47798D6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D339F8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8" w:type="pct"/>
            <w:tcBorders>
              <w:top w:val="nil"/>
              <w:left w:val="nil"/>
              <w:bottom w:val="single" w:sz="8" w:space="0" w:color="auto"/>
              <w:right w:val="single" w:sz="8" w:space="0" w:color="auto"/>
            </w:tcBorders>
            <w:noWrap/>
            <w:vAlign w:val="center"/>
            <w:hideMark/>
          </w:tcPr>
          <w:p w14:paraId="607B234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F06427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E300AD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8" w:type="pct"/>
            <w:tcBorders>
              <w:top w:val="nil"/>
              <w:left w:val="nil"/>
              <w:bottom w:val="single" w:sz="8" w:space="0" w:color="auto"/>
              <w:right w:val="single" w:sz="8" w:space="0" w:color="auto"/>
            </w:tcBorders>
            <w:noWrap/>
            <w:vAlign w:val="center"/>
            <w:hideMark/>
          </w:tcPr>
          <w:p w14:paraId="741BFA6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062DCC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BBD56C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2" w:type="pct"/>
            <w:tcBorders>
              <w:top w:val="nil"/>
              <w:left w:val="nil"/>
              <w:bottom w:val="single" w:sz="8" w:space="0" w:color="auto"/>
              <w:right w:val="single" w:sz="8" w:space="0" w:color="auto"/>
            </w:tcBorders>
            <w:vAlign w:val="center"/>
            <w:hideMark/>
          </w:tcPr>
          <w:p w14:paraId="49B5D918" w14:textId="3A75C156"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17DFBE15"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686031FE"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4D6ABB62" w14:textId="6DB175BB"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Gestión Forestal, Agua y Territorial.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Especialista Senior – Gestión Sostenible de Bosques y Cuencas (36 meses, 2.412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#11Total: 86.832 USD (años 1–5).</w:t>
            </w:r>
          </w:p>
        </w:tc>
        <w:tc>
          <w:tcPr>
            <w:tcW w:w="308" w:type="pct"/>
            <w:tcBorders>
              <w:top w:val="nil"/>
              <w:left w:val="nil"/>
              <w:bottom w:val="single" w:sz="8" w:space="0" w:color="auto"/>
              <w:right w:val="single" w:sz="8" w:space="0" w:color="auto"/>
            </w:tcBorders>
            <w:noWrap/>
            <w:vAlign w:val="center"/>
            <w:hideMark/>
          </w:tcPr>
          <w:p w14:paraId="12A37D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51F4F6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3D3652B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8106C6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91BAC8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15B642E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C30A66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16C902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7CE27CEE" w14:textId="1A97273C" w:rsidR="00C15440" w:rsidRPr="00A51E75" w:rsidRDefault="00C15440" w:rsidP="001F1A3A">
            <w:pPr>
              <w:ind w:left="-57" w:right="-57"/>
              <w:jc w:val="right"/>
              <w:rPr>
                <w:rFonts w:ascii="Calibri" w:hAnsi="Calibri" w:cs="Calibri"/>
                <w:color w:val="000000"/>
                <w:sz w:val="16"/>
                <w:szCs w:val="16"/>
              </w:rPr>
            </w:pPr>
            <w:r w:rsidRPr="00AC4AE1">
              <w:rPr>
                <w:rFonts w:ascii="Calibri" w:hAnsi="Calibri" w:cs="Calibri"/>
                <w:color w:val="000000"/>
                <w:sz w:val="16"/>
                <w:szCs w:val="16"/>
              </w:rPr>
              <w:t>PNUD</w:t>
            </w:r>
          </w:p>
        </w:tc>
      </w:tr>
      <w:tr w:rsidR="00C15440" w:rsidRPr="00A51E75" w14:paraId="7A4CEE8C"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7D8BFCC6"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7E6D2D44" w14:textId="7A2C4E2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Gestión Forestal, Agua y Territorial.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Asistente Técnico – </w:t>
            </w:r>
            <w:r w:rsidR="00E26F5E">
              <w:rPr>
                <w:rFonts w:ascii="Calibri" w:hAnsi="Calibri" w:cs="Calibri"/>
                <w:color w:val="000000"/>
                <w:sz w:val="16"/>
                <w:szCs w:val="16"/>
              </w:rPr>
              <w:t>MFS</w:t>
            </w:r>
            <w:r w:rsidRPr="00A51E75">
              <w:rPr>
                <w:rFonts w:ascii="Calibri" w:hAnsi="Calibri" w:cs="Calibri"/>
                <w:color w:val="000000"/>
                <w:sz w:val="16"/>
                <w:szCs w:val="16"/>
              </w:rPr>
              <w:t xml:space="preserve"> y Recursos Hídricos (54 meses,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#12Total: USD 78.138 (Años 1–5).</w:t>
            </w:r>
          </w:p>
        </w:tc>
        <w:tc>
          <w:tcPr>
            <w:tcW w:w="308" w:type="pct"/>
            <w:tcBorders>
              <w:top w:val="nil"/>
              <w:left w:val="nil"/>
              <w:bottom w:val="single" w:sz="8" w:space="0" w:color="auto"/>
              <w:right w:val="single" w:sz="8" w:space="0" w:color="auto"/>
            </w:tcBorders>
            <w:noWrap/>
            <w:vAlign w:val="center"/>
            <w:hideMark/>
          </w:tcPr>
          <w:p w14:paraId="3D6E74E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1887F3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7C862A8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219DE3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56FFE0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64728A3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92D817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01CC035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2" w:type="pct"/>
            <w:tcBorders>
              <w:top w:val="nil"/>
              <w:left w:val="nil"/>
              <w:bottom w:val="single" w:sz="8" w:space="0" w:color="auto"/>
              <w:right w:val="single" w:sz="8" w:space="0" w:color="auto"/>
            </w:tcBorders>
            <w:vAlign w:val="center"/>
            <w:hideMark/>
          </w:tcPr>
          <w:p w14:paraId="0AA86C3C" w14:textId="626E1250"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62C90AA2"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74685CE5"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lastRenderedPageBreak/>
              <w:t>Servicios contractuales - Individual</w:t>
            </w:r>
          </w:p>
        </w:tc>
        <w:tc>
          <w:tcPr>
            <w:tcW w:w="1842" w:type="pct"/>
            <w:tcBorders>
              <w:top w:val="nil"/>
              <w:left w:val="nil"/>
              <w:bottom w:val="single" w:sz="8" w:space="0" w:color="auto"/>
              <w:right w:val="single" w:sz="8" w:space="0" w:color="auto"/>
            </w:tcBorders>
            <w:vAlign w:val="center"/>
            <w:hideMark/>
          </w:tcPr>
          <w:p w14:paraId="62C0AB69" w14:textId="12FDD1D8"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Gestión Forestal, Agua y Territorial.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asistentes técnicos – Restauración productiva y gestión territorial (54 meses cada uno, 1.795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#13Total: USD 193.860 (Años 1–5).</w:t>
            </w:r>
          </w:p>
        </w:tc>
        <w:tc>
          <w:tcPr>
            <w:tcW w:w="308" w:type="pct"/>
            <w:tcBorders>
              <w:top w:val="nil"/>
              <w:left w:val="nil"/>
              <w:bottom w:val="single" w:sz="8" w:space="0" w:color="auto"/>
              <w:right w:val="single" w:sz="8" w:space="0" w:color="auto"/>
            </w:tcBorders>
            <w:noWrap/>
            <w:vAlign w:val="center"/>
            <w:hideMark/>
          </w:tcPr>
          <w:p w14:paraId="147CBC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0576C4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8" w:type="pct"/>
            <w:tcBorders>
              <w:top w:val="nil"/>
              <w:left w:val="nil"/>
              <w:bottom w:val="single" w:sz="8" w:space="0" w:color="auto"/>
              <w:right w:val="single" w:sz="8" w:space="0" w:color="auto"/>
            </w:tcBorders>
            <w:noWrap/>
            <w:vAlign w:val="center"/>
            <w:hideMark/>
          </w:tcPr>
          <w:p w14:paraId="04E20FC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F84F8C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B49955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8" w:type="pct"/>
            <w:tcBorders>
              <w:top w:val="nil"/>
              <w:left w:val="nil"/>
              <w:bottom w:val="single" w:sz="8" w:space="0" w:color="auto"/>
              <w:right w:val="single" w:sz="8" w:space="0" w:color="auto"/>
            </w:tcBorders>
            <w:noWrap/>
            <w:vAlign w:val="center"/>
            <w:hideMark/>
          </w:tcPr>
          <w:p w14:paraId="30F2B50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A17642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E6AC04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2" w:type="pct"/>
            <w:tcBorders>
              <w:top w:val="nil"/>
              <w:left w:val="nil"/>
              <w:bottom w:val="single" w:sz="8" w:space="0" w:color="auto"/>
              <w:right w:val="single" w:sz="8" w:space="0" w:color="auto"/>
            </w:tcBorders>
            <w:vAlign w:val="center"/>
            <w:hideMark/>
          </w:tcPr>
          <w:p w14:paraId="005F4AE6" w14:textId="1F8C4E9D"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68C9EA4B"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55A9C1B8"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6C79820A" w14:textId="669DFC3B"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Gestión Forestal, Agua y Territorial.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técnicos locales – Recursos hídricos y soporte cartográfico (54 meses cada uno, 1.795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#14Total: USD 193.860 (Años 1–5).</w:t>
            </w:r>
          </w:p>
        </w:tc>
        <w:tc>
          <w:tcPr>
            <w:tcW w:w="308" w:type="pct"/>
            <w:tcBorders>
              <w:top w:val="nil"/>
              <w:left w:val="nil"/>
              <w:bottom w:val="single" w:sz="8" w:space="0" w:color="auto"/>
              <w:right w:val="single" w:sz="8" w:space="0" w:color="auto"/>
            </w:tcBorders>
            <w:noWrap/>
            <w:vAlign w:val="center"/>
            <w:hideMark/>
          </w:tcPr>
          <w:p w14:paraId="0C7E9D7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06AA96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8" w:type="pct"/>
            <w:tcBorders>
              <w:top w:val="nil"/>
              <w:left w:val="nil"/>
              <w:bottom w:val="single" w:sz="8" w:space="0" w:color="auto"/>
              <w:right w:val="single" w:sz="8" w:space="0" w:color="auto"/>
            </w:tcBorders>
            <w:noWrap/>
            <w:vAlign w:val="center"/>
            <w:hideMark/>
          </w:tcPr>
          <w:p w14:paraId="46F2AF5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73D501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636074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8" w:type="pct"/>
            <w:tcBorders>
              <w:top w:val="nil"/>
              <w:left w:val="nil"/>
              <w:bottom w:val="single" w:sz="8" w:space="0" w:color="auto"/>
              <w:right w:val="single" w:sz="8" w:space="0" w:color="auto"/>
            </w:tcBorders>
            <w:noWrap/>
            <w:vAlign w:val="center"/>
            <w:hideMark/>
          </w:tcPr>
          <w:p w14:paraId="51C2EE5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E3F340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9BB22D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193,860 </w:t>
            </w:r>
          </w:p>
        </w:tc>
        <w:tc>
          <w:tcPr>
            <w:tcW w:w="302" w:type="pct"/>
            <w:tcBorders>
              <w:top w:val="nil"/>
              <w:left w:val="nil"/>
              <w:bottom w:val="single" w:sz="8" w:space="0" w:color="auto"/>
              <w:right w:val="single" w:sz="8" w:space="0" w:color="auto"/>
            </w:tcBorders>
            <w:vAlign w:val="center"/>
            <w:hideMark/>
          </w:tcPr>
          <w:p w14:paraId="3B348472" w14:textId="68117BD1"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3F4E565A"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252E3A21"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7978D9A1" w14:textId="665AB550"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Gestión Forestal, Agua y Territorial.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Facilitador Técnico – Implementación de </w:t>
            </w:r>
            <w:r w:rsidR="00CB0C5A">
              <w:rPr>
                <w:rFonts w:ascii="Calibri" w:hAnsi="Calibri" w:cs="Calibri"/>
                <w:color w:val="000000"/>
                <w:sz w:val="16"/>
                <w:szCs w:val="16"/>
              </w:rPr>
              <w:t>SBV</w:t>
            </w:r>
            <w:r w:rsidRPr="00A51E75">
              <w:rPr>
                <w:rFonts w:ascii="Calibri" w:hAnsi="Calibri" w:cs="Calibri"/>
                <w:color w:val="000000"/>
                <w:sz w:val="16"/>
                <w:szCs w:val="16"/>
              </w:rPr>
              <w:t xml:space="preserve"> (54 meses,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#16Total: 78.138 USD (Años 1–5).</w:t>
            </w:r>
          </w:p>
        </w:tc>
        <w:tc>
          <w:tcPr>
            <w:tcW w:w="308" w:type="pct"/>
            <w:tcBorders>
              <w:top w:val="nil"/>
              <w:left w:val="nil"/>
              <w:bottom w:val="single" w:sz="8" w:space="0" w:color="auto"/>
              <w:right w:val="single" w:sz="8" w:space="0" w:color="auto"/>
            </w:tcBorders>
            <w:noWrap/>
            <w:vAlign w:val="center"/>
            <w:hideMark/>
          </w:tcPr>
          <w:p w14:paraId="2C41E6E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745129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2FE7652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B1F6C0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F80BFA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69456BD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7461E5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806111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2" w:type="pct"/>
            <w:tcBorders>
              <w:top w:val="nil"/>
              <w:left w:val="nil"/>
              <w:bottom w:val="single" w:sz="8" w:space="0" w:color="auto"/>
              <w:right w:val="single" w:sz="8" w:space="0" w:color="auto"/>
            </w:tcBorders>
            <w:vAlign w:val="center"/>
            <w:hideMark/>
          </w:tcPr>
          <w:p w14:paraId="2BCBAA3B" w14:textId="6C6AF400"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59516A5F"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3B538806"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0E96130B" w14:textId="03596484"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Gestión Forestal, Agua y Territorial.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promotores territoriales – Apoyo comunitario (54 meses cada uno, 1.167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#17Total: USD 126.036 (Años 1–5).</w:t>
            </w:r>
          </w:p>
        </w:tc>
        <w:tc>
          <w:tcPr>
            <w:tcW w:w="308" w:type="pct"/>
            <w:tcBorders>
              <w:top w:val="nil"/>
              <w:left w:val="nil"/>
              <w:bottom w:val="single" w:sz="8" w:space="0" w:color="auto"/>
              <w:right w:val="single" w:sz="8" w:space="0" w:color="auto"/>
            </w:tcBorders>
            <w:noWrap/>
            <w:vAlign w:val="center"/>
            <w:hideMark/>
          </w:tcPr>
          <w:p w14:paraId="2E653DB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CFCD86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8" w:type="pct"/>
            <w:tcBorders>
              <w:top w:val="nil"/>
              <w:left w:val="nil"/>
              <w:bottom w:val="single" w:sz="8" w:space="0" w:color="auto"/>
              <w:right w:val="single" w:sz="8" w:space="0" w:color="auto"/>
            </w:tcBorders>
            <w:noWrap/>
            <w:vAlign w:val="center"/>
            <w:hideMark/>
          </w:tcPr>
          <w:p w14:paraId="0B0732E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E396E7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C4F7FD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8" w:type="pct"/>
            <w:tcBorders>
              <w:top w:val="nil"/>
              <w:left w:val="nil"/>
              <w:bottom w:val="single" w:sz="8" w:space="0" w:color="auto"/>
              <w:right w:val="single" w:sz="8" w:space="0" w:color="auto"/>
            </w:tcBorders>
            <w:noWrap/>
            <w:vAlign w:val="center"/>
            <w:hideMark/>
          </w:tcPr>
          <w:p w14:paraId="40E7D57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8F5DE6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2B62B00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2" w:type="pct"/>
            <w:tcBorders>
              <w:top w:val="nil"/>
              <w:left w:val="nil"/>
              <w:bottom w:val="single" w:sz="8" w:space="0" w:color="auto"/>
              <w:right w:val="single" w:sz="8" w:space="0" w:color="auto"/>
            </w:tcBorders>
            <w:vAlign w:val="center"/>
            <w:hideMark/>
          </w:tcPr>
          <w:p w14:paraId="04089BE6" w14:textId="7CD1BFD2"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138F00D0"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236A919C"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4A60D202" w14:textId="03D664A5"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Coordinador de Gestión del Conocimiento y Aprendizaje (36 meses, USD 2.412/mes).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#19Total: USD 86.832 (años 1–5).</w:t>
            </w:r>
          </w:p>
        </w:tc>
        <w:tc>
          <w:tcPr>
            <w:tcW w:w="308" w:type="pct"/>
            <w:tcBorders>
              <w:top w:val="nil"/>
              <w:left w:val="nil"/>
              <w:bottom w:val="single" w:sz="8" w:space="0" w:color="auto"/>
              <w:right w:val="single" w:sz="8" w:space="0" w:color="auto"/>
            </w:tcBorders>
            <w:noWrap/>
            <w:vAlign w:val="center"/>
            <w:hideMark/>
          </w:tcPr>
          <w:p w14:paraId="7F65636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FA2531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15B2F1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22B528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330B2EC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4F0EB20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1CFBA2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925A30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53EBAE6A" w14:textId="6FE8E12C"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63FC5D5D"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701ED90B"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6A795EA6" w14:textId="6EE08276"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Especialista en Salvaguardas Medioambientales y Sociales (36 meses, 2.412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#20Total: USD 86.832 (Años 1–5).</w:t>
            </w:r>
          </w:p>
        </w:tc>
        <w:tc>
          <w:tcPr>
            <w:tcW w:w="308" w:type="pct"/>
            <w:tcBorders>
              <w:top w:val="nil"/>
              <w:left w:val="nil"/>
              <w:bottom w:val="single" w:sz="8" w:space="0" w:color="auto"/>
              <w:right w:val="single" w:sz="8" w:space="0" w:color="auto"/>
            </w:tcBorders>
            <w:noWrap/>
            <w:vAlign w:val="center"/>
            <w:hideMark/>
          </w:tcPr>
          <w:p w14:paraId="4D30F69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A72165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5CEF22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F2B812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2306929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4E330B3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7412A3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39FCA05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2BA13F0B" w14:textId="7FF23B38"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4CE52836"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6396A6DA"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258BF2E1" w14:textId="4C6FABBE"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Asistente Técnico – Procesamiento de Datos, Seguimiento e Informes (36 meses, USD 2.412/mes).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#21Total: USD 86.832 (Años 1–5).</w:t>
            </w:r>
          </w:p>
        </w:tc>
        <w:tc>
          <w:tcPr>
            <w:tcW w:w="308" w:type="pct"/>
            <w:tcBorders>
              <w:top w:val="nil"/>
              <w:left w:val="nil"/>
              <w:bottom w:val="single" w:sz="8" w:space="0" w:color="auto"/>
              <w:right w:val="single" w:sz="8" w:space="0" w:color="auto"/>
            </w:tcBorders>
            <w:noWrap/>
            <w:vAlign w:val="center"/>
            <w:hideMark/>
          </w:tcPr>
          <w:p w14:paraId="04F17AF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F07AF7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4E388F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809C3D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39AC039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1711F5C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70E587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C64952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69BB2E1E" w14:textId="6E87134A"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5A4CCC93"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0E448E5D"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77164B17" w14:textId="236332D1"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Oficial de Comunicación Estratégica y Compromiso Territorial (36 meses, 2.412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#22Total: USD 86.832 (años 1–5).</w:t>
            </w:r>
          </w:p>
        </w:tc>
        <w:tc>
          <w:tcPr>
            <w:tcW w:w="308" w:type="pct"/>
            <w:tcBorders>
              <w:top w:val="nil"/>
              <w:left w:val="nil"/>
              <w:bottom w:val="single" w:sz="8" w:space="0" w:color="auto"/>
              <w:right w:val="single" w:sz="8" w:space="0" w:color="auto"/>
            </w:tcBorders>
            <w:noWrap/>
            <w:vAlign w:val="center"/>
            <w:hideMark/>
          </w:tcPr>
          <w:p w14:paraId="2D4BB23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C016B7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D84422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5EB3D3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2C985F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6CA1946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DC7BA7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24A43B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3614E2C7" w14:textId="347A81E0"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7270596E" w14:textId="77777777" w:rsidTr="00EE70E2">
        <w:trPr>
          <w:trHeight w:val="554"/>
        </w:trPr>
        <w:tc>
          <w:tcPr>
            <w:tcW w:w="390" w:type="pct"/>
            <w:tcBorders>
              <w:top w:val="nil"/>
              <w:left w:val="single" w:sz="8" w:space="0" w:color="auto"/>
              <w:bottom w:val="single" w:sz="8" w:space="0" w:color="auto"/>
              <w:right w:val="single" w:sz="8" w:space="0" w:color="auto"/>
            </w:tcBorders>
            <w:noWrap/>
            <w:vAlign w:val="center"/>
            <w:hideMark/>
          </w:tcPr>
          <w:p w14:paraId="4F510CE7"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7368CA2A" w14:textId="56790A85"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Especialista – Igualdad de Género, Diversidad y Pueblos Indígenas (36 meses, USD 2.412/mes).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#23Total: 86.832 USD (Años 1–5).</w:t>
            </w:r>
          </w:p>
        </w:tc>
        <w:tc>
          <w:tcPr>
            <w:tcW w:w="308" w:type="pct"/>
            <w:tcBorders>
              <w:top w:val="nil"/>
              <w:left w:val="nil"/>
              <w:bottom w:val="single" w:sz="8" w:space="0" w:color="auto"/>
              <w:right w:val="single" w:sz="8" w:space="0" w:color="auto"/>
            </w:tcBorders>
            <w:noWrap/>
            <w:vAlign w:val="center"/>
            <w:hideMark/>
          </w:tcPr>
          <w:p w14:paraId="16209BB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C02185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76C942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B7D62C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344363C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1858A4D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BB7844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A5A3A8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22856494" w14:textId="41C1E8DA" w:rsidR="00C15440" w:rsidRPr="00A51E75" w:rsidRDefault="00C15440" w:rsidP="001F1A3A">
            <w:pPr>
              <w:ind w:left="-57" w:right="-57"/>
              <w:jc w:val="right"/>
              <w:rPr>
                <w:rFonts w:ascii="Calibri" w:hAnsi="Calibri" w:cs="Calibri"/>
                <w:color w:val="000000"/>
                <w:sz w:val="16"/>
                <w:szCs w:val="16"/>
              </w:rPr>
            </w:pPr>
            <w:r w:rsidRPr="00347FFD">
              <w:rPr>
                <w:rFonts w:ascii="Calibri" w:hAnsi="Calibri" w:cs="Calibri"/>
                <w:color w:val="000000"/>
                <w:sz w:val="16"/>
                <w:szCs w:val="16"/>
              </w:rPr>
              <w:t>PNUD</w:t>
            </w:r>
          </w:p>
        </w:tc>
      </w:tr>
      <w:tr w:rsidR="00C15440" w:rsidRPr="00A51E75" w14:paraId="2C994161"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5B23BEBB"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0558E9D3" w14:textId="0B4FCF9F"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Especialista en Seguimiento Estratégico y Evaluación de Resultados (7 meses, 2.900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#24Total: 20.300 USD (Años 1–5).</w:t>
            </w:r>
          </w:p>
        </w:tc>
        <w:tc>
          <w:tcPr>
            <w:tcW w:w="308" w:type="pct"/>
            <w:tcBorders>
              <w:top w:val="nil"/>
              <w:left w:val="nil"/>
              <w:bottom w:val="single" w:sz="8" w:space="0" w:color="auto"/>
              <w:right w:val="single" w:sz="8" w:space="0" w:color="auto"/>
            </w:tcBorders>
            <w:noWrap/>
            <w:vAlign w:val="center"/>
            <w:hideMark/>
          </w:tcPr>
          <w:p w14:paraId="3F0EE79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9D8796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0B7536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407FD4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20,300 </w:t>
            </w:r>
          </w:p>
        </w:tc>
        <w:tc>
          <w:tcPr>
            <w:tcW w:w="308" w:type="pct"/>
            <w:tcBorders>
              <w:top w:val="nil"/>
              <w:left w:val="nil"/>
              <w:bottom w:val="single" w:sz="8" w:space="0" w:color="auto"/>
              <w:right w:val="single" w:sz="8" w:space="0" w:color="auto"/>
            </w:tcBorders>
            <w:noWrap/>
            <w:vAlign w:val="center"/>
            <w:hideMark/>
          </w:tcPr>
          <w:p w14:paraId="518C324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20,300 </w:t>
            </w:r>
          </w:p>
        </w:tc>
        <w:tc>
          <w:tcPr>
            <w:tcW w:w="308" w:type="pct"/>
            <w:tcBorders>
              <w:top w:val="nil"/>
              <w:left w:val="nil"/>
              <w:bottom w:val="single" w:sz="8" w:space="0" w:color="auto"/>
              <w:right w:val="single" w:sz="8" w:space="0" w:color="auto"/>
            </w:tcBorders>
            <w:noWrap/>
            <w:vAlign w:val="center"/>
            <w:hideMark/>
          </w:tcPr>
          <w:p w14:paraId="0A70E0E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7719A7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C40CF0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20,300 </w:t>
            </w:r>
          </w:p>
        </w:tc>
        <w:tc>
          <w:tcPr>
            <w:tcW w:w="302" w:type="pct"/>
            <w:tcBorders>
              <w:top w:val="nil"/>
              <w:left w:val="nil"/>
              <w:bottom w:val="single" w:sz="8" w:space="0" w:color="auto"/>
              <w:right w:val="single" w:sz="8" w:space="0" w:color="auto"/>
            </w:tcBorders>
            <w:vAlign w:val="center"/>
            <w:hideMark/>
          </w:tcPr>
          <w:p w14:paraId="6D533806" w14:textId="39543141"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089C9728"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0E6E022E"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2D564D51" w14:textId="20FB922E" w:rsidR="00C15440" w:rsidRPr="00A51E75" w:rsidRDefault="00C15440" w:rsidP="001F1A3A">
            <w:pPr>
              <w:ind w:left="-57" w:right="-57"/>
              <w:rPr>
                <w:rFonts w:ascii="Calibri" w:hAnsi="Calibri" w:cs="Calibri"/>
                <w:color w:val="000000"/>
                <w:sz w:val="16"/>
                <w:szCs w:val="16"/>
                <w:lang w:val="en-US"/>
              </w:rPr>
            </w:pPr>
            <w:r w:rsidRPr="00A51E75">
              <w:rPr>
                <w:rFonts w:ascii="Calibri" w:hAnsi="Calibri" w:cs="Calibri"/>
                <w:color w:val="000000"/>
                <w:sz w:val="16"/>
                <w:szCs w:val="16"/>
              </w:rPr>
              <w:t xml:space="preserve">Personal Técnico – Conocimientos, Salvaguardas, Género, Comunicación y Apoyo.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Asistente de logística y taller (54 meses,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#25Total: USD 78.138 (Años 1–5).</w:t>
            </w:r>
          </w:p>
        </w:tc>
        <w:tc>
          <w:tcPr>
            <w:tcW w:w="308" w:type="pct"/>
            <w:tcBorders>
              <w:top w:val="nil"/>
              <w:left w:val="nil"/>
              <w:bottom w:val="single" w:sz="8" w:space="0" w:color="auto"/>
              <w:right w:val="single" w:sz="8" w:space="0" w:color="auto"/>
            </w:tcBorders>
            <w:noWrap/>
            <w:vAlign w:val="center"/>
            <w:hideMark/>
          </w:tcPr>
          <w:p w14:paraId="62E0F58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B37A1A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041F95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E0808F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654D2E6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8" w:type="pct"/>
            <w:tcBorders>
              <w:top w:val="nil"/>
              <w:left w:val="nil"/>
              <w:bottom w:val="single" w:sz="8" w:space="0" w:color="auto"/>
              <w:right w:val="single" w:sz="8" w:space="0" w:color="auto"/>
            </w:tcBorders>
            <w:noWrap/>
            <w:vAlign w:val="center"/>
            <w:hideMark/>
          </w:tcPr>
          <w:p w14:paraId="5CF9AEC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1B3238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0067732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78,138 </w:t>
            </w:r>
          </w:p>
        </w:tc>
        <w:tc>
          <w:tcPr>
            <w:tcW w:w="302" w:type="pct"/>
            <w:tcBorders>
              <w:top w:val="nil"/>
              <w:left w:val="nil"/>
              <w:bottom w:val="single" w:sz="8" w:space="0" w:color="auto"/>
              <w:right w:val="single" w:sz="8" w:space="0" w:color="auto"/>
            </w:tcBorders>
            <w:vAlign w:val="center"/>
            <w:hideMark/>
          </w:tcPr>
          <w:p w14:paraId="1BB84E32" w14:textId="08073C2D"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589D043A"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7A5F83DD"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3D52A72D" w14:textId="6B6A7691"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Política, Coordinación Territorial y Facilitación.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Coordinador de Política Ambiental y Regulación (36 meses, USD 2.412/mes).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#3Total: USD 569.580 (Años 1–5).</w:t>
            </w:r>
          </w:p>
        </w:tc>
        <w:tc>
          <w:tcPr>
            <w:tcW w:w="308" w:type="pct"/>
            <w:tcBorders>
              <w:top w:val="nil"/>
              <w:left w:val="nil"/>
              <w:bottom w:val="single" w:sz="8" w:space="0" w:color="auto"/>
              <w:right w:val="single" w:sz="8" w:space="0" w:color="auto"/>
            </w:tcBorders>
            <w:noWrap/>
            <w:vAlign w:val="center"/>
            <w:hideMark/>
          </w:tcPr>
          <w:p w14:paraId="26E446C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1E7C53E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2AB985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BFF154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3DFDA9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8" w:type="pct"/>
            <w:tcBorders>
              <w:top w:val="nil"/>
              <w:left w:val="nil"/>
              <w:bottom w:val="single" w:sz="8" w:space="0" w:color="auto"/>
              <w:right w:val="single" w:sz="8" w:space="0" w:color="auto"/>
            </w:tcBorders>
            <w:noWrap/>
            <w:vAlign w:val="center"/>
            <w:hideMark/>
          </w:tcPr>
          <w:p w14:paraId="6DD1F3F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A889F8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565BAC7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86,832 </w:t>
            </w:r>
          </w:p>
        </w:tc>
        <w:tc>
          <w:tcPr>
            <w:tcW w:w="302" w:type="pct"/>
            <w:tcBorders>
              <w:top w:val="nil"/>
              <w:left w:val="nil"/>
              <w:bottom w:val="single" w:sz="8" w:space="0" w:color="auto"/>
              <w:right w:val="single" w:sz="8" w:space="0" w:color="auto"/>
            </w:tcBorders>
            <w:vAlign w:val="center"/>
            <w:hideMark/>
          </w:tcPr>
          <w:p w14:paraId="15F44F90" w14:textId="3ED4041D"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084B0883"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1AB818C3"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lastRenderedPageBreak/>
              <w:t>Servicios contractuales - Individual</w:t>
            </w:r>
          </w:p>
        </w:tc>
        <w:tc>
          <w:tcPr>
            <w:tcW w:w="1842" w:type="pct"/>
            <w:tcBorders>
              <w:top w:val="nil"/>
              <w:left w:val="nil"/>
              <w:bottom w:val="single" w:sz="8" w:space="0" w:color="auto"/>
              <w:right w:val="single" w:sz="8" w:space="0" w:color="auto"/>
            </w:tcBorders>
            <w:vAlign w:val="center"/>
            <w:hideMark/>
          </w:tcPr>
          <w:p w14:paraId="239AB5B3" w14:textId="17FA430A"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Política, Coordinación Territorial y Facilitación.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Asistente de Coordinación para Articulación Interinstitucional y Político-Técnico – Quito (18 meses, 1.795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#4Total: USD 569.580 (Años 1–5).</w:t>
            </w:r>
          </w:p>
        </w:tc>
        <w:tc>
          <w:tcPr>
            <w:tcW w:w="308" w:type="pct"/>
            <w:tcBorders>
              <w:top w:val="nil"/>
              <w:left w:val="nil"/>
              <w:bottom w:val="single" w:sz="8" w:space="0" w:color="auto"/>
              <w:right w:val="single" w:sz="8" w:space="0" w:color="auto"/>
            </w:tcBorders>
            <w:noWrap/>
            <w:vAlign w:val="center"/>
            <w:hideMark/>
          </w:tcPr>
          <w:p w14:paraId="01396B1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32,310 </w:t>
            </w:r>
          </w:p>
        </w:tc>
        <w:tc>
          <w:tcPr>
            <w:tcW w:w="308" w:type="pct"/>
            <w:tcBorders>
              <w:top w:val="nil"/>
              <w:left w:val="nil"/>
              <w:bottom w:val="single" w:sz="8" w:space="0" w:color="auto"/>
              <w:right w:val="single" w:sz="8" w:space="0" w:color="auto"/>
            </w:tcBorders>
            <w:noWrap/>
            <w:vAlign w:val="center"/>
            <w:hideMark/>
          </w:tcPr>
          <w:p w14:paraId="12CE541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07D683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61444F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2A56E7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32,310 </w:t>
            </w:r>
          </w:p>
        </w:tc>
        <w:tc>
          <w:tcPr>
            <w:tcW w:w="308" w:type="pct"/>
            <w:tcBorders>
              <w:top w:val="nil"/>
              <w:left w:val="nil"/>
              <w:bottom w:val="single" w:sz="8" w:space="0" w:color="auto"/>
              <w:right w:val="single" w:sz="8" w:space="0" w:color="auto"/>
            </w:tcBorders>
            <w:noWrap/>
            <w:vAlign w:val="center"/>
            <w:hideMark/>
          </w:tcPr>
          <w:p w14:paraId="5F8A862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04A046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297A2A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32,310 </w:t>
            </w:r>
          </w:p>
        </w:tc>
        <w:tc>
          <w:tcPr>
            <w:tcW w:w="302" w:type="pct"/>
            <w:tcBorders>
              <w:top w:val="nil"/>
              <w:left w:val="nil"/>
              <w:bottom w:val="single" w:sz="8" w:space="0" w:color="auto"/>
              <w:right w:val="single" w:sz="8" w:space="0" w:color="auto"/>
            </w:tcBorders>
            <w:vAlign w:val="center"/>
            <w:hideMark/>
          </w:tcPr>
          <w:p w14:paraId="5E47EC8F" w14:textId="5753A9F9"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09A1538F"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419245E8"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2390B797" w14:textId="21678753"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Personal Técnico – Política, Coordinación Territorial y Facilitación.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3 facilitadores técnicos – Soluciones de Unidades Hidrográficas (12 meses cada uno, 1.447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#5Total: USD 569.580 (Años 1–5).</w:t>
            </w:r>
          </w:p>
        </w:tc>
        <w:tc>
          <w:tcPr>
            <w:tcW w:w="308" w:type="pct"/>
            <w:tcBorders>
              <w:top w:val="nil"/>
              <w:left w:val="nil"/>
              <w:bottom w:val="single" w:sz="8" w:space="0" w:color="auto"/>
              <w:right w:val="single" w:sz="8" w:space="0" w:color="auto"/>
            </w:tcBorders>
            <w:noWrap/>
            <w:vAlign w:val="center"/>
            <w:hideMark/>
          </w:tcPr>
          <w:p w14:paraId="01DFDB5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52,092 </w:t>
            </w:r>
          </w:p>
        </w:tc>
        <w:tc>
          <w:tcPr>
            <w:tcW w:w="308" w:type="pct"/>
            <w:tcBorders>
              <w:top w:val="nil"/>
              <w:left w:val="nil"/>
              <w:bottom w:val="single" w:sz="8" w:space="0" w:color="auto"/>
              <w:right w:val="single" w:sz="8" w:space="0" w:color="auto"/>
            </w:tcBorders>
            <w:noWrap/>
            <w:vAlign w:val="center"/>
            <w:hideMark/>
          </w:tcPr>
          <w:p w14:paraId="03EDACD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00D461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847E7B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9907D6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52,092 </w:t>
            </w:r>
          </w:p>
        </w:tc>
        <w:tc>
          <w:tcPr>
            <w:tcW w:w="308" w:type="pct"/>
            <w:tcBorders>
              <w:top w:val="nil"/>
              <w:left w:val="nil"/>
              <w:bottom w:val="single" w:sz="8" w:space="0" w:color="auto"/>
              <w:right w:val="single" w:sz="8" w:space="0" w:color="auto"/>
            </w:tcBorders>
            <w:noWrap/>
            <w:vAlign w:val="center"/>
            <w:hideMark/>
          </w:tcPr>
          <w:p w14:paraId="67283EF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E04ACC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4650B5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52,092 </w:t>
            </w:r>
          </w:p>
        </w:tc>
        <w:tc>
          <w:tcPr>
            <w:tcW w:w="302" w:type="pct"/>
            <w:tcBorders>
              <w:top w:val="nil"/>
              <w:left w:val="nil"/>
              <w:bottom w:val="single" w:sz="8" w:space="0" w:color="auto"/>
              <w:right w:val="single" w:sz="8" w:space="0" w:color="auto"/>
            </w:tcBorders>
            <w:vAlign w:val="center"/>
            <w:hideMark/>
          </w:tcPr>
          <w:p w14:paraId="1371A3B0" w14:textId="5D550200"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1C36ED47"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0D0F4668"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1E0CB2C4" w14:textId="141B7DBF" w:rsidR="00C15440" w:rsidRPr="00D830D9" w:rsidRDefault="00C15440" w:rsidP="001F1A3A">
            <w:pPr>
              <w:ind w:left="-57" w:right="-57"/>
              <w:rPr>
                <w:rFonts w:ascii="Calibri" w:hAnsi="Calibri" w:cs="Calibri"/>
                <w:color w:val="000000"/>
                <w:sz w:val="16"/>
                <w:szCs w:val="16"/>
                <w:lang w:val="es-EC"/>
              </w:rPr>
            </w:pPr>
            <w:r w:rsidRPr="00A51E75">
              <w:rPr>
                <w:rFonts w:ascii="Calibri" w:hAnsi="Calibri" w:cs="Calibri"/>
                <w:color w:val="000000"/>
                <w:sz w:val="16"/>
                <w:szCs w:val="16"/>
              </w:rPr>
              <w:t xml:space="preserve">Personal Técnico – Política, Coordinación Territorial y Facilitación. Contratación </w:t>
            </w:r>
            <w:proofErr w:type="gramStart"/>
            <w:r w:rsidRPr="00A51E75">
              <w:rPr>
                <w:rFonts w:ascii="Calibri" w:hAnsi="Calibri" w:cs="Calibri"/>
                <w:color w:val="000000"/>
                <w:sz w:val="16"/>
                <w:szCs w:val="16"/>
              </w:rPr>
              <w:t>de:•</w:t>
            </w:r>
            <w:proofErr w:type="gramEnd"/>
            <w:r w:rsidRPr="00A51E75">
              <w:rPr>
                <w:rFonts w:ascii="Calibri" w:hAnsi="Calibri" w:cs="Calibri"/>
                <w:color w:val="000000"/>
                <w:sz w:val="16"/>
                <w:szCs w:val="16"/>
              </w:rPr>
              <w:t xml:space="preserve"> 2 coordinadores territoriales (48 meses cada uno, 2.500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#6Total: USD 569.580 (Años 1–5).</w:t>
            </w:r>
          </w:p>
        </w:tc>
        <w:tc>
          <w:tcPr>
            <w:tcW w:w="308" w:type="pct"/>
            <w:tcBorders>
              <w:top w:val="nil"/>
              <w:left w:val="nil"/>
              <w:bottom w:val="single" w:sz="8" w:space="0" w:color="auto"/>
              <w:right w:val="single" w:sz="8" w:space="0" w:color="auto"/>
            </w:tcBorders>
            <w:noWrap/>
            <w:vAlign w:val="center"/>
            <w:hideMark/>
          </w:tcPr>
          <w:p w14:paraId="6832B86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240,000 </w:t>
            </w:r>
          </w:p>
        </w:tc>
        <w:tc>
          <w:tcPr>
            <w:tcW w:w="308" w:type="pct"/>
            <w:tcBorders>
              <w:top w:val="nil"/>
              <w:left w:val="nil"/>
              <w:bottom w:val="single" w:sz="8" w:space="0" w:color="auto"/>
              <w:right w:val="single" w:sz="8" w:space="0" w:color="auto"/>
            </w:tcBorders>
            <w:noWrap/>
            <w:vAlign w:val="center"/>
            <w:hideMark/>
          </w:tcPr>
          <w:p w14:paraId="7CD9584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91B93B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1FEFF7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E9A66B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240,000 </w:t>
            </w:r>
          </w:p>
        </w:tc>
        <w:tc>
          <w:tcPr>
            <w:tcW w:w="308" w:type="pct"/>
            <w:tcBorders>
              <w:top w:val="nil"/>
              <w:left w:val="nil"/>
              <w:bottom w:val="single" w:sz="8" w:space="0" w:color="auto"/>
              <w:right w:val="single" w:sz="8" w:space="0" w:color="auto"/>
            </w:tcBorders>
            <w:noWrap/>
            <w:vAlign w:val="center"/>
            <w:hideMark/>
          </w:tcPr>
          <w:p w14:paraId="6463849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8E1CC2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962AC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240,000 </w:t>
            </w:r>
          </w:p>
        </w:tc>
        <w:tc>
          <w:tcPr>
            <w:tcW w:w="302" w:type="pct"/>
            <w:tcBorders>
              <w:top w:val="nil"/>
              <w:left w:val="nil"/>
              <w:bottom w:val="single" w:sz="8" w:space="0" w:color="auto"/>
              <w:right w:val="single" w:sz="8" w:space="0" w:color="auto"/>
            </w:tcBorders>
            <w:vAlign w:val="center"/>
            <w:hideMark/>
          </w:tcPr>
          <w:p w14:paraId="098DB3C9" w14:textId="6060241A"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57DD794C"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02398CAC"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74D647B9" w14:textId="00CDCEF4"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Personal Técnico – Política, Coordinación Territorial y Facilitación. Contratación de:</w:t>
            </w:r>
            <w:r w:rsidR="001F1A3A">
              <w:rPr>
                <w:rFonts w:ascii="Calibri" w:hAnsi="Calibri" w:cs="Calibri"/>
                <w:color w:val="000000"/>
                <w:sz w:val="16"/>
                <w:szCs w:val="16"/>
              </w:rPr>
              <w:t xml:space="preserve"> </w:t>
            </w:r>
            <w:r w:rsidRPr="00A51E75">
              <w:rPr>
                <w:rFonts w:ascii="Calibri" w:hAnsi="Calibri" w:cs="Calibri"/>
                <w:color w:val="000000"/>
                <w:sz w:val="16"/>
                <w:szCs w:val="16"/>
              </w:rPr>
              <w:t>• 2 facilitadores comunitarios y enlaces de comunicación local (54 meses cada uno, 1.167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#7Total: USD 569.580 (Años 1–5).</w:t>
            </w:r>
          </w:p>
        </w:tc>
        <w:tc>
          <w:tcPr>
            <w:tcW w:w="308" w:type="pct"/>
            <w:tcBorders>
              <w:top w:val="nil"/>
              <w:left w:val="nil"/>
              <w:bottom w:val="single" w:sz="8" w:space="0" w:color="auto"/>
              <w:right w:val="single" w:sz="8" w:space="0" w:color="auto"/>
            </w:tcBorders>
            <w:noWrap/>
            <w:vAlign w:val="center"/>
            <w:hideMark/>
          </w:tcPr>
          <w:p w14:paraId="5B8A689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8" w:type="pct"/>
            <w:tcBorders>
              <w:top w:val="nil"/>
              <w:left w:val="nil"/>
              <w:bottom w:val="single" w:sz="8" w:space="0" w:color="auto"/>
              <w:right w:val="single" w:sz="8" w:space="0" w:color="auto"/>
            </w:tcBorders>
            <w:noWrap/>
            <w:vAlign w:val="center"/>
            <w:hideMark/>
          </w:tcPr>
          <w:p w14:paraId="67DC28D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418EB0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AFE04C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E0907F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8" w:type="pct"/>
            <w:tcBorders>
              <w:top w:val="nil"/>
              <w:left w:val="nil"/>
              <w:bottom w:val="single" w:sz="8" w:space="0" w:color="auto"/>
              <w:right w:val="single" w:sz="8" w:space="0" w:color="auto"/>
            </w:tcBorders>
            <w:noWrap/>
            <w:vAlign w:val="center"/>
            <w:hideMark/>
          </w:tcPr>
          <w:p w14:paraId="0B83CD9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A724C6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DE9061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126,036 </w:t>
            </w:r>
          </w:p>
        </w:tc>
        <w:tc>
          <w:tcPr>
            <w:tcW w:w="302" w:type="pct"/>
            <w:tcBorders>
              <w:top w:val="nil"/>
              <w:left w:val="nil"/>
              <w:bottom w:val="single" w:sz="8" w:space="0" w:color="auto"/>
              <w:right w:val="single" w:sz="8" w:space="0" w:color="auto"/>
            </w:tcBorders>
            <w:vAlign w:val="center"/>
            <w:hideMark/>
          </w:tcPr>
          <w:p w14:paraId="1F9CA7C8" w14:textId="713DCAAB"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04A045EA"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66834A0C"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Individual</w:t>
            </w:r>
          </w:p>
        </w:tc>
        <w:tc>
          <w:tcPr>
            <w:tcW w:w="1842" w:type="pct"/>
            <w:tcBorders>
              <w:top w:val="nil"/>
              <w:left w:val="nil"/>
              <w:bottom w:val="single" w:sz="8" w:space="0" w:color="auto"/>
              <w:right w:val="single" w:sz="8" w:space="0" w:color="auto"/>
            </w:tcBorders>
            <w:vAlign w:val="center"/>
            <w:hideMark/>
          </w:tcPr>
          <w:p w14:paraId="55BCAEB6" w14:textId="4995543F"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Personal Técnico – Política, Coordinación Territorial y Facilitación. Contratación de:</w:t>
            </w:r>
            <w:r w:rsidR="001F1A3A">
              <w:rPr>
                <w:rFonts w:ascii="Calibri" w:hAnsi="Calibri" w:cs="Calibri"/>
                <w:color w:val="000000"/>
                <w:sz w:val="16"/>
                <w:szCs w:val="16"/>
              </w:rPr>
              <w:t xml:space="preserve"> </w:t>
            </w:r>
            <w:r w:rsidRPr="00A51E75">
              <w:rPr>
                <w:rFonts w:ascii="Calibri" w:hAnsi="Calibri" w:cs="Calibri"/>
                <w:color w:val="000000"/>
                <w:sz w:val="16"/>
                <w:szCs w:val="16"/>
              </w:rPr>
              <w:t>• Especialista en Diseño de Proyectos y Movilización de Recursos (18 meses, 1.795 USD/mes).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#8Total: USD 569.580 (Años 1–5).</w:t>
            </w:r>
          </w:p>
        </w:tc>
        <w:tc>
          <w:tcPr>
            <w:tcW w:w="308" w:type="pct"/>
            <w:tcBorders>
              <w:top w:val="nil"/>
              <w:left w:val="nil"/>
              <w:bottom w:val="single" w:sz="8" w:space="0" w:color="auto"/>
              <w:right w:val="single" w:sz="8" w:space="0" w:color="auto"/>
            </w:tcBorders>
            <w:noWrap/>
            <w:vAlign w:val="center"/>
            <w:hideMark/>
          </w:tcPr>
          <w:p w14:paraId="42875BB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32,310 </w:t>
            </w:r>
          </w:p>
        </w:tc>
        <w:tc>
          <w:tcPr>
            <w:tcW w:w="308" w:type="pct"/>
            <w:tcBorders>
              <w:top w:val="nil"/>
              <w:left w:val="nil"/>
              <w:bottom w:val="single" w:sz="8" w:space="0" w:color="auto"/>
              <w:right w:val="single" w:sz="8" w:space="0" w:color="auto"/>
            </w:tcBorders>
            <w:noWrap/>
            <w:vAlign w:val="center"/>
            <w:hideMark/>
          </w:tcPr>
          <w:p w14:paraId="5DD6BFB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285C4D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0DC710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3E7D62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32,310 </w:t>
            </w:r>
          </w:p>
        </w:tc>
        <w:tc>
          <w:tcPr>
            <w:tcW w:w="308" w:type="pct"/>
            <w:tcBorders>
              <w:top w:val="nil"/>
              <w:left w:val="nil"/>
              <w:bottom w:val="single" w:sz="8" w:space="0" w:color="auto"/>
              <w:right w:val="single" w:sz="8" w:space="0" w:color="auto"/>
            </w:tcBorders>
            <w:noWrap/>
            <w:vAlign w:val="center"/>
            <w:hideMark/>
          </w:tcPr>
          <w:p w14:paraId="400E949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A68491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5DC7D89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32,310 </w:t>
            </w:r>
          </w:p>
        </w:tc>
        <w:tc>
          <w:tcPr>
            <w:tcW w:w="302" w:type="pct"/>
            <w:tcBorders>
              <w:top w:val="nil"/>
              <w:left w:val="nil"/>
              <w:bottom w:val="single" w:sz="8" w:space="0" w:color="auto"/>
              <w:right w:val="single" w:sz="8" w:space="0" w:color="auto"/>
            </w:tcBorders>
            <w:vAlign w:val="center"/>
            <w:hideMark/>
          </w:tcPr>
          <w:p w14:paraId="56CCA9F0" w14:textId="6F7053F3"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6D4D2961"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13A6E0CD"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Compañía</w:t>
            </w:r>
          </w:p>
        </w:tc>
        <w:tc>
          <w:tcPr>
            <w:tcW w:w="1842" w:type="pct"/>
            <w:tcBorders>
              <w:top w:val="nil"/>
              <w:left w:val="nil"/>
              <w:bottom w:val="single" w:sz="8" w:space="0" w:color="auto"/>
              <w:right w:val="single" w:sz="8" w:space="0" w:color="auto"/>
            </w:tcBorders>
            <w:vAlign w:val="center"/>
            <w:hideMark/>
          </w:tcPr>
          <w:p w14:paraId="040AD432" w14:textId="77777777" w:rsidR="00C15440" w:rsidRPr="00A51E75" w:rsidRDefault="00C15440" w:rsidP="001F1A3A">
            <w:pPr>
              <w:ind w:left="-57" w:right="-57"/>
              <w:rPr>
                <w:rFonts w:ascii="Calibri" w:hAnsi="Calibri" w:cs="Calibri"/>
                <w:color w:val="000000"/>
                <w:sz w:val="16"/>
                <w:szCs w:val="16"/>
                <w:lang w:val="en-US"/>
              </w:rPr>
            </w:pPr>
            <w:r w:rsidRPr="00A51E75">
              <w:rPr>
                <w:rFonts w:ascii="Calibri" w:hAnsi="Calibri" w:cs="Calibri"/>
                <w:color w:val="000000"/>
                <w:sz w:val="16"/>
                <w:szCs w:val="16"/>
              </w:rPr>
              <w:t xml:space="preserve">Servicios contractuales – Empresas. Diseño e implementación de un programa de formación en gestión y gobernanza territorial con enfoque en género y planificación participativa. </w:t>
            </w:r>
            <w:proofErr w:type="spellStart"/>
            <w:r w:rsidRPr="00A51E75">
              <w:rPr>
                <w:rFonts w:ascii="Calibri" w:hAnsi="Calibri" w:cs="Calibri"/>
                <w:color w:val="000000"/>
                <w:sz w:val="16"/>
                <w:szCs w:val="16"/>
              </w:rPr>
              <w:t>Contract</w:t>
            </w:r>
            <w:proofErr w:type="spellEnd"/>
            <w:r w:rsidRPr="00A51E75">
              <w:rPr>
                <w:rFonts w:ascii="Calibri" w:hAnsi="Calibri" w:cs="Calibri"/>
                <w:color w:val="000000"/>
                <w:sz w:val="16"/>
                <w:szCs w:val="16"/>
              </w:rPr>
              <w:t xml:space="preserve"> ofrecerá al menos 16 eventos presenciales. Total: USD 146.245 (años 1–5).</w:t>
            </w:r>
          </w:p>
        </w:tc>
        <w:tc>
          <w:tcPr>
            <w:tcW w:w="308" w:type="pct"/>
            <w:tcBorders>
              <w:top w:val="nil"/>
              <w:left w:val="nil"/>
              <w:bottom w:val="single" w:sz="8" w:space="0" w:color="auto"/>
              <w:right w:val="single" w:sz="8" w:space="0" w:color="auto"/>
            </w:tcBorders>
            <w:noWrap/>
            <w:vAlign w:val="center"/>
            <w:hideMark/>
          </w:tcPr>
          <w:p w14:paraId="2E7B2CB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146,245 </w:t>
            </w:r>
          </w:p>
        </w:tc>
        <w:tc>
          <w:tcPr>
            <w:tcW w:w="308" w:type="pct"/>
            <w:tcBorders>
              <w:top w:val="nil"/>
              <w:left w:val="nil"/>
              <w:bottom w:val="single" w:sz="8" w:space="0" w:color="auto"/>
              <w:right w:val="single" w:sz="8" w:space="0" w:color="auto"/>
            </w:tcBorders>
            <w:noWrap/>
            <w:vAlign w:val="center"/>
            <w:hideMark/>
          </w:tcPr>
          <w:p w14:paraId="466F95A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1CC85A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E301FA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73BF8A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146,245 </w:t>
            </w:r>
          </w:p>
        </w:tc>
        <w:tc>
          <w:tcPr>
            <w:tcW w:w="308" w:type="pct"/>
            <w:tcBorders>
              <w:top w:val="nil"/>
              <w:left w:val="nil"/>
              <w:bottom w:val="single" w:sz="8" w:space="0" w:color="auto"/>
              <w:right w:val="single" w:sz="8" w:space="0" w:color="auto"/>
            </w:tcBorders>
            <w:noWrap/>
            <w:vAlign w:val="center"/>
            <w:hideMark/>
          </w:tcPr>
          <w:p w14:paraId="52BFF3F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8FF32F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152ADE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146,245 </w:t>
            </w:r>
          </w:p>
        </w:tc>
        <w:tc>
          <w:tcPr>
            <w:tcW w:w="302" w:type="pct"/>
            <w:tcBorders>
              <w:top w:val="nil"/>
              <w:left w:val="nil"/>
              <w:bottom w:val="single" w:sz="8" w:space="0" w:color="auto"/>
              <w:right w:val="single" w:sz="8" w:space="0" w:color="auto"/>
            </w:tcBorders>
            <w:vAlign w:val="center"/>
            <w:hideMark/>
          </w:tcPr>
          <w:p w14:paraId="3BE57884" w14:textId="2C244366" w:rsidR="00C15440" w:rsidRPr="00A51E75" w:rsidRDefault="00C15440" w:rsidP="001F1A3A">
            <w:pPr>
              <w:ind w:left="-57" w:right="-57"/>
              <w:jc w:val="right"/>
              <w:rPr>
                <w:rFonts w:ascii="Calibri" w:hAnsi="Calibri" w:cs="Calibri"/>
                <w:color w:val="000000"/>
                <w:sz w:val="16"/>
                <w:szCs w:val="16"/>
              </w:rPr>
            </w:pPr>
            <w:r w:rsidRPr="00ED2E6C">
              <w:rPr>
                <w:rFonts w:ascii="Calibri" w:hAnsi="Calibri" w:cs="Calibri"/>
                <w:color w:val="000000"/>
                <w:sz w:val="16"/>
                <w:szCs w:val="16"/>
              </w:rPr>
              <w:t>PNUD</w:t>
            </w:r>
          </w:p>
        </w:tc>
      </w:tr>
      <w:tr w:rsidR="00C15440" w:rsidRPr="00A51E75" w14:paraId="734EBB1B" w14:textId="77777777" w:rsidTr="00EE70E2">
        <w:trPr>
          <w:trHeight w:val="850"/>
        </w:trPr>
        <w:tc>
          <w:tcPr>
            <w:tcW w:w="390" w:type="pct"/>
            <w:tcBorders>
              <w:top w:val="nil"/>
              <w:left w:val="single" w:sz="8" w:space="0" w:color="auto"/>
              <w:bottom w:val="single" w:sz="8" w:space="0" w:color="auto"/>
              <w:right w:val="single" w:sz="8" w:space="0" w:color="auto"/>
            </w:tcBorders>
            <w:noWrap/>
            <w:vAlign w:val="center"/>
            <w:hideMark/>
          </w:tcPr>
          <w:p w14:paraId="44396EBE"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Compañía</w:t>
            </w:r>
          </w:p>
        </w:tc>
        <w:tc>
          <w:tcPr>
            <w:tcW w:w="1842" w:type="pct"/>
            <w:tcBorders>
              <w:top w:val="nil"/>
              <w:left w:val="nil"/>
              <w:bottom w:val="single" w:sz="8" w:space="0" w:color="auto"/>
              <w:right w:val="single" w:sz="8" w:space="0" w:color="auto"/>
            </w:tcBorders>
            <w:vAlign w:val="center"/>
            <w:hideMark/>
          </w:tcPr>
          <w:p w14:paraId="6A5A3647" w14:textId="36FA8E4A"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Servicios Contractuales – Plataforma de aprendizaje en línea. Consultora para diseñar e implementar un programa de formación virtual sobre gobernanza del agua, restauración productiva y liderazgo con un enfoque de género. La plataforma será transferida formalmente a </w:t>
            </w:r>
            <w:r w:rsidR="009E221F">
              <w:rPr>
                <w:rFonts w:ascii="Calibri" w:hAnsi="Calibri" w:cs="Calibri"/>
                <w:color w:val="000000"/>
                <w:sz w:val="16"/>
                <w:szCs w:val="16"/>
              </w:rPr>
              <w:t>MAE</w:t>
            </w:r>
            <w:r w:rsidRPr="00A51E75">
              <w:rPr>
                <w:rFonts w:ascii="Calibri" w:hAnsi="Calibri" w:cs="Calibri"/>
                <w:color w:val="000000"/>
                <w:sz w:val="16"/>
                <w:szCs w:val="16"/>
              </w:rPr>
              <w:t xml:space="preserve"> y universidades asociadas para garantizar su continuidad.</w:t>
            </w:r>
            <w:r w:rsidRPr="00A51E75">
              <w:rPr>
                <w:rFonts w:ascii="Calibri" w:hAnsi="Calibri" w:cs="Calibri"/>
                <w:color w:val="000000"/>
                <w:sz w:val="16"/>
                <w:szCs w:val="16"/>
              </w:rPr>
              <w:br/>
              <w:t>Total: USD 146.245 (años 1–5).</w:t>
            </w:r>
          </w:p>
        </w:tc>
        <w:tc>
          <w:tcPr>
            <w:tcW w:w="308" w:type="pct"/>
            <w:tcBorders>
              <w:top w:val="nil"/>
              <w:left w:val="nil"/>
              <w:bottom w:val="single" w:sz="8" w:space="0" w:color="auto"/>
              <w:right w:val="single" w:sz="8" w:space="0" w:color="auto"/>
            </w:tcBorders>
            <w:noWrap/>
            <w:vAlign w:val="center"/>
            <w:hideMark/>
          </w:tcPr>
          <w:p w14:paraId="21E1380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82F568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B169DA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DAA129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146,245 </w:t>
            </w:r>
          </w:p>
        </w:tc>
        <w:tc>
          <w:tcPr>
            <w:tcW w:w="308" w:type="pct"/>
            <w:tcBorders>
              <w:top w:val="nil"/>
              <w:left w:val="nil"/>
              <w:bottom w:val="single" w:sz="8" w:space="0" w:color="auto"/>
              <w:right w:val="single" w:sz="8" w:space="0" w:color="auto"/>
            </w:tcBorders>
            <w:noWrap/>
            <w:vAlign w:val="center"/>
            <w:hideMark/>
          </w:tcPr>
          <w:p w14:paraId="2098E4C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146,245 </w:t>
            </w:r>
          </w:p>
        </w:tc>
        <w:tc>
          <w:tcPr>
            <w:tcW w:w="308" w:type="pct"/>
            <w:tcBorders>
              <w:top w:val="nil"/>
              <w:left w:val="nil"/>
              <w:bottom w:val="single" w:sz="8" w:space="0" w:color="auto"/>
              <w:right w:val="single" w:sz="8" w:space="0" w:color="auto"/>
            </w:tcBorders>
            <w:noWrap/>
            <w:vAlign w:val="center"/>
            <w:hideMark/>
          </w:tcPr>
          <w:p w14:paraId="248E8F8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C24D59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C23718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146,245 </w:t>
            </w:r>
          </w:p>
        </w:tc>
        <w:tc>
          <w:tcPr>
            <w:tcW w:w="302" w:type="pct"/>
            <w:tcBorders>
              <w:top w:val="nil"/>
              <w:left w:val="nil"/>
              <w:bottom w:val="single" w:sz="8" w:space="0" w:color="auto"/>
              <w:right w:val="single" w:sz="8" w:space="0" w:color="auto"/>
            </w:tcBorders>
            <w:vAlign w:val="center"/>
            <w:hideMark/>
          </w:tcPr>
          <w:p w14:paraId="76C80AAE" w14:textId="78DAB61B"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3B1FEF17"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2E6CEB6D"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Servicios contractuales - Compañía</w:t>
            </w:r>
          </w:p>
        </w:tc>
        <w:tc>
          <w:tcPr>
            <w:tcW w:w="1842" w:type="pct"/>
            <w:tcBorders>
              <w:top w:val="nil"/>
              <w:left w:val="nil"/>
              <w:bottom w:val="single" w:sz="8" w:space="0" w:color="auto"/>
              <w:right w:val="single" w:sz="8" w:space="0" w:color="auto"/>
            </w:tcBorders>
            <w:vAlign w:val="center"/>
            <w:hideMark/>
          </w:tcPr>
          <w:p w14:paraId="23908EBD"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Servicios Especializados – Finanzas Sostenibles y Movilización de Recursos. Consultorías para diseñar y validar instrumentos financieros innovadores y fortalecer las capacidades de movilización de recursos en la cuenca del río Napo. Total: USD 305.321</w:t>
            </w:r>
          </w:p>
        </w:tc>
        <w:tc>
          <w:tcPr>
            <w:tcW w:w="308" w:type="pct"/>
            <w:tcBorders>
              <w:top w:val="nil"/>
              <w:left w:val="nil"/>
              <w:bottom w:val="single" w:sz="8" w:space="0" w:color="auto"/>
              <w:right w:val="single" w:sz="8" w:space="0" w:color="auto"/>
            </w:tcBorders>
            <w:noWrap/>
            <w:vAlign w:val="center"/>
            <w:hideMark/>
          </w:tcPr>
          <w:p w14:paraId="7BC0AF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A26BA6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AC8C4A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305,321 </w:t>
            </w:r>
          </w:p>
        </w:tc>
        <w:tc>
          <w:tcPr>
            <w:tcW w:w="308" w:type="pct"/>
            <w:tcBorders>
              <w:top w:val="nil"/>
              <w:left w:val="nil"/>
              <w:bottom w:val="single" w:sz="8" w:space="0" w:color="auto"/>
              <w:right w:val="single" w:sz="8" w:space="0" w:color="auto"/>
            </w:tcBorders>
            <w:noWrap/>
            <w:vAlign w:val="center"/>
            <w:hideMark/>
          </w:tcPr>
          <w:p w14:paraId="732DE5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2C9883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305,321 </w:t>
            </w:r>
          </w:p>
        </w:tc>
        <w:tc>
          <w:tcPr>
            <w:tcW w:w="308" w:type="pct"/>
            <w:tcBorders>
              <w:top w:val="nil"/>
              <w:left w:val="nil"/>
              <w:bottom w:val="single" w:sz="8" w:space="0" w:color="auto"/>
              <w:right w:val="single" w:sz="8" w:space="0" w:color="auto"/>
            </w:tcBorders>
            <w:noWrap/>
            <w:vAlign w:val="center"/>
            <w:hideMark/>
          </w:tcPr>
          <w:p w14:paraId="487B421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BA2D78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1331CD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305,321 </w:t>
            </w:r>
          </w:p>
        </w:tc>
        <w:tc>
          <w:tcPr>
            <w:tcW w:w="302" w:type="pct"/>
            <w:tcBorders>
              <w:top w:val="nil"/>
              <w:left w:val="nil"/>
              <w:bottom w:val="single" w:sz="8" w:space="0" w:color="auto"/>
              <w:right w:val="single" w:sz="8" w:space="0" w:color="auto"/>
            </w:tcBorders>
            <w:vAlign w:val="center"/>
            <w:hideMark/>
          </w:tcPr>
          <w:p w14:paraId="50E6A39F" w14:textId="1C1AFDEA"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2D73C194"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53242783"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Consultores internacionales</w:t>
            </w:r>
          </w:p>
        </w:tc>
        <w:tc>
          <w:tcPr>
            <w:tcW w:w="1842" w:type="pct"/>
            <w:tcBorders>
              <w:top w:val="nil"/>
              <w:left w:val="nil"/>
              <w:bottom w:val="single" w:sz="8" w:space="0" w:color="auto"/>
              <w:right w:val="single" w:sz="8" w:space="0" w:color="auto"/>
            </w:tcBorders>
            <w:vAlign w:val="center"/>
            <w:hideMark/>
          </w:tcPr>
          <w:p w14:paraId="2D0CA47B" w14:textId="53E1882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Consultores – Evaluaciones independientes de proyectos. Dos consultores internacionales realizarán las evaluaciones del proyecto: • Revisión a medio plazo (</w:t>
            </w:r>
            <w:r w:rsidR="003057B2">
              <w:rPr>
                <w:rFonts w:ascii="Calibri" w:hAnsi="Calibri" w:cs="Calibri"/>
                <w:color w:val="000000"/>
                <w:sz w:val="16"/>
                <w:szCs w:val="16"/>
              </w:rPr>
              <w:t>RMT</w:t>
            </w:r>
            <w:r w:rsidRPr="00A51E75">
              <w:rPr>
                <w:rFonts w:ascii="Calibri" w:hAnsi="Calibri" w:cs="Calibri"/>
                <w:color w:val="000000"/>
                <w:sz w:val="16"/>
                <w:szCs w:val="16"/>
              </w:rPr>
              <w:t xml:space="preserve">) – Año 3, 29.250 USD (45 días a 650 USD/día). </w:t>
            </w:r>
            <w:r w:rsidR="00AF6ED3">
              <w:rPr>
                <w:rFonts w:ascii="Calibri" w:hAnsi="Calibri" w:cs="Calibri"/>
                <w:color w:val="000000"/>
                <w:sz w:val="16"/>
                <w:szCs w:val="16"/>
              </w:rPr>
              <w:t>Costos</w:t>
            </w:r>
            <w:r w:rsidRPr="00A51E75">
              <w:rPr>
                <w:rFonts w:ascii="Calibri" w:hAnsi="Calibri" w:cs="Calibri"/>
                <w:color w:val="000000"/>
                <w:sz w:val="16"/>
                <w:szCs w:val="16"/>
              </w:rPr>
              <w:t xml:space="preserve"> de movilización: 8.011 USD.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 xml:space="preserve">#27. Total: 74.523 USD </w:t>
            </w:r>
          </w:p>
        </w:tc>
        <w:tc>
          <w:tcPr>
            <w:tcW w:w="308" w:type="pct"/>
            <w:tcBorders>
              <w:top w:val="nil"/>
              <w:left w:val="nil"/>
              <w:bottom w:val="single" w:sz="8" w:space="0" w:color="auto"/>
              <w:right w:val="single" w:sz="8" w:space="0" w:color="auto"/>
            </w:tcBorders>
            <w:noWrap/>
            <w:vAlign w:val="center"/>
            <w:hideMark/>
          </w:tcPr>
          <w:p w14:paraId="590EDEF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A8DAE1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85C46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70890E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EAC054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85324F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37,261 </w:t>
            </w:r>
          </w:p>
        </w:tc>
        <w:tc>
          <w:tcPr>
            <w:tcW w:w="308" w:type="pct"/>
            <w:tcBorders>
              <w:top w:val="nil"/>
              <w:left w:val="nil"/>
              <w:bottom w:val="single" w:sz="8" w:space="0" w:color="auto"/>
              <w:right w:val="single" w:sz="8" w:space="0" w:color="auto"/>
            </w:tcBorders>
            <w:noWrap/>
            <w:vAlign w:val="center"/>
            <w:hideMark/>
          </w:tcPr>
          <w:p w14:paraId="28BE366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243AE90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37,261 </w:t>
            </w:r>
          </w:p>
        </w:tc>
        <w:tc>
          <w:tcPr>
            <w:tcW w:w="302" w:type="pct"/>
            <w:tcBorders>
              <w:top w:val="nil"/>
              <w:left w:val="nil"/>
              <w:bottom w:val="single" w:sz="8" w:space="0" w:color="auto"/>
              <w:right w:val="single" w:sz="8" w:space="0" w:color="auto"/>
            </w:tcBorders>
            <w:vAlign w:val="center"/>
            <w:hideMark/>
          </w:tcPr>
          <w:p w14:paraId="0309E3C5" w14:textId="54CD313C"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3E6DC3B0"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4CD60968"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Consultores internacionales</w:t>
            </w:r>
          </w:p>
        </w:tc>
        <w:tc>
          <w:tcPr>
            <w:tcW w:w="1842" w:type="pct"/>
            <w:tcBorders>
              <w:top w:val="nil"/>
              <w:left w:val="nil"/>
              <w:bottom w:val="single" w:sz="8" w:space="0" w:color="auto"/>
              <w:right w:val="single" w:sz="8" w:space="0" w:color="auto"/>
            </w:tcBorders>
            <w:vAlign w:val="center"/>
            <w:hideMark/>
          </w:tcPr>
          <w:p w14:paraId="4A33C5EE" w14:textId="3C8528BE"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Consultores – Evaluaciones independientes de proyectos. Dos consultores internacionales realizarán las evaluaciones del proyecto:</w:t>
            </w:r>
            <w:r w:rsidR="001874FC">
              <w:rPr>
                <w:rFonts w:ascii="Calibri" w:hAnsi="Calibri" w:cs="Calibri"/>
                <w:color w:val="000000"/>
                <w:sz w:val="16"/>
                <w:szCs w:val="16"/>
              </w:rPr>
              <w:t xml:space="preserve"> </w:t>
            </w:r>
            <w:r w:rsidRPr="00A51E75">
              <w:rPr>
                <w:rFonts w:ascii="Calibri" w:hAnsi="Calibri" w:cs="Calibri"/>
                <w:color w:val="000000"/>
                <w:sz w:val="16"/>
                <w:szCs w:val="16"/>
              </w:rPr>
              <w:t xml:space="preserve">• Evaluación Final (FE) – Año 5, 29.250 USD (45 días a 650 USD/día). </w:t>
            </w:r>
            <w:r w:rsidR="00AF6ED3">
              <w:rPr>
                <w:rFonts w:ascii="Calibri" w:hAnsi="Calibri" w:cs="Calibri"/>
                <w:color w:val="000000"/>
                <w:sz w:val="16"/>
                <w:szCs w:val="16"/>
              </w:rPr>
              <w:t>Costos</w:t>
            </w:r>
            <w:r w:rsidRPr="00A51E75">
              <w:rPr>
                <w:rFonts w:ascii="Calibri" w:hAnsi="Calibri" w:cs="Calibri"/>
                <w:color w:val="000000"/>
                <w:sz w:val="16"/>
                <w:szCs w:val="16"/>
              </w:rPr>
              <w:t xml:space="preserve"> de movilización: 8.012 USD.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 xml:space="preserve">#28. Total: 74.523 USD </w:t>
            </w:r>
          </w:p>
        </w:tc>
        <w:tc>
          <w:tcPr>
            <w:tcW w:w="308" w:type="pct"/>
            <w:tcBorders>
              <w:top w:val="nil"/>
              <w:left w:val="nil"/>
              <w:bottom w:val="single" w:sz="8" w:space="0" w:color="auto"/>
              <w:right w:val="single" w:sz="8" w:space="0" w:color="auto"/>
            </w:tcBorders>
            <w:noWrap/>
            <w:vAlign w:val="center"/>
            <w:hideMark/>
          </w:tcPr>
          <w:p w14:paraId="3F3D0B8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3F14D7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B35598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8B913B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F374FB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7FAFF3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37,262 </w:t>
            </w:r>
          </w:p>
        </w:tc>
        <w:tc>
          <w:tcPr>
            <w:tcW w:w="308" w:type="pct"/>
            <w:tcBorders>
              <w:top w:val="nil"/>
              <w:left w:val="nil"/>
              <w:bottom w:val="single" w:sz="8" w:space="0" w:color="auto"/>
              <w:right w:val="single" w:sz="8" w:space="0" w:color="auto"/>
            </w:tcBorders>
            <w:noWrap/>
            <w:vAlign w:val="center"/>
            <w:hideMark/>
          </w:tcPr>
          <w:p w14:paraId="431CEC9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7AE3FD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37,262 </w:t>
            </w:r>
          </w:p>
        </w:tc>
        <w:tc>
          <w:tcPr>
            <w:tcW w:w="302" w:type="pct"/>
            <w:tcBorders>
              <w:top w:val="nil"/>
              <w:left w:val="nil"/>
              <w:bottom w:val="single" w:sz="8" w:space="0" w:color="auto"/>
              <w:right w:val="single" w:sz="8" w:space="0" w:color="auto"/>
            </w:tcBorders>
            <w:vAlign w:val="center"/>
            <w:hideMark/>
          </w:tcPr>
          <w:p w14:paraId="02D4F2A8" w14:textId="510795BB"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26DD3FE1"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13F91AAC"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Consultores internacionales</w:t>
            </w:r>
          </w:p>
        </w:tc>
        <w:tc>
          <w:tcPr>
            <w:tcW w:w="1842" w:type="pct"/>
            <w:tcBorders>
              <w:top w:val="nil"/>
              <w:left w:val="nil"/>
              <w:bottom w:val="single" w:sz="8" w:space="0" w:color="auto"/>
              <w:right w:val="single" w:sz="8" w:space="0" w:color="auto"/>
            </w:tcBorders>
            <w:vAlign w:val="center"/>
            <w:hideMark/>
          </w:tcPr>
          <w:p w14:paraId="5680F9E5" w14:textId="17904727" w:rsidR="00C15440" w:rsidRPr="00D830D9" w:rsidRDefault="00C15440" w:rsidP="001F1A3A">
            <w:pPr>
              <w:ind w:left="-57" w:right="-57"/>
              <w:rPr>
                <w:rFonts w:ascii="Calibri" w:hAnsi="Calibri" w:cs="Calibri"/>
                <w:color w:val="000000"/>
                <w:sz w:val="16"/>
                <w:szCs w:val="16"/>
                <w:lang w:val="es-EC"/>
              </w:rPr>
            </w:pPr>
            <w:r w:rsidRPr="00A51E75">
              <w:rPr>
                <w:rFonts w:ascii="Calibri" w:hAnsi="Calibri" w:cs="Calibri"/>
                <w:color w:val="000000"/>
                <w:sz w:val="16"/>
                <w:szCs w:val="16"/>
              </w:rPr>
              <w:t>Consultoría Internacional – ESIA. Un equipo de consultoría (Anexo 7</w:t>
            </w:r>
            <w:r w:rsidR="00356E75">
              <w:rPr>
                <w:rFonts w:ascii="Calibri" w:hAnsi="Calibri" w:cs="Calibri"/>
                <w:color w:val="000000"/>
                <w:sz w:val="16"/>
                <w:szCs w:val="16"/>
              </w:rPr>
              <w:t xml:space="preserve"> TdR </w:t>
            </w:r>
            <w:r w:rsidRPr="00A51E75">
              <w:rPr>
                <w:rFonts w:ascii="Calibri" w:hAnsi="Calibri" w:cs="Calibri"/>
                <w:color w:val="000000"/>
                <w:sz w:val="16"/>
                <w:szCs w:val="16"/>
              </w:rPr>
              <w:t xml:space="preserve">#26) para realizar Evaluaciones de Impacto Ambiental y Social (ESIA), total: USD 13.151 (Año 1). </w:t>
            </w:r>
          </w:p>
        </w:tc>
        <w:tc>
          <w:tcPr>
            <w:tcW w:w="308" w:type="pct"/>
            <w:tcBorders>
              <w:top w:val="nil"/>
              <w:left w:val="nil"/>
              <w:bottom w:val="single" w:sz="8" w:space="0" w:color="auto"/>
              <w:right w:val="single" w:sz="8" w:space="0" w:color="auto"/>
            </w:tcBorders>
            <w:noWrap/>
            <w:vAlign w:val="center"/>
            <w:hideMark/>
          </w:tcPr>
          <w:p w14:paraId="2CFFB5F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13,151 </w:t>
            </w:r>
          </w:p>
        </w:tc>
        <w:tc>
          <w:tcPr>
            <w:tcW w:w="308" w:type="pct"/>
            <w:tcBorders>
              <w:top w:val="nil"/>
              <w:left w:val="nil"/>
              <w:bottom w:val="single" w:sz="8" w:space="0" w:color="auto"/>
              <w:right w:val="single" w:sz="8" w:space="0" w:color="auto"/>
            </w:tcBorders>
            <w:noWrap/>
            <w:vAlign w:val="center"/>
            <w:hideMark/>
          </w:tcPr>
          <w:p w14:paraId="68F55EA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83E4D1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921672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17FAC5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13,151 </w:t>
            </w:r>
          </w:p>
        </w:tc>
        <w:tc>
          <w:tcPr>
            <w:tcW w:w="308" w:type="pct"/>
            <w:tcBorders>
              <w:top w:val="nil"/>
              <w:left w:val="nil"/>
              <w:bottom w:val="single" w:sz="8" w:space="0" w:color="auto"/>
              <w:right w:val="single" w:sz="8" w:space="0" w:color="auto"/>
            </w:tcBorders>
            <w:noWrap/>
            <w:vAlign w:val="center"/>
            <w:hideMark/>
          </w:tcPr>
          <w:p w14:paraId="6A038FF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5B8164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223BB08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13,151 </w:t>
            </w:r>
          </w:p>
        </w:tc>
        <w:tc>
          <w:tcPr>
            <w:tcW w:w="302" w:type="pct"/>
            <w:tcBorders>
              <w:top w:val="nil"/>
              <w:left w:val="nil"/>
              <w:bottom w:val="single" w:sz="8" w:space="0" w:color="auto"/>
              <w:right w:val="single" w:sz="8" w:space="0" w:color="auto"/>
            </w:tcBorders>
            <w:vAlign w:val="center"/>
            <w:hideMark/>
          </w:tcPr>
          <w:p w14:paraId="66F02C38" w14:textId="6F17E652"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6075C56E"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10E864EC"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lastRenderedPageBreak/>
              <w:t>Consultores locales</w:t>
            </w:r>
          </w:p>
        </w:tc>
        <w:tc>
          <w:tcPr>
            <w:tcW w:w="1842" w:type="pct"/>
            <w:tcBorders>
              <w:top w:val="nil"/>
              <w:left w:val="nil"/>
              <w:bottom w:val="single" w:sz="8" w:space="0" w:color="auto"/>
              <w:right w:val="single" w:sz="8" w:space="0" w:color="auto"/>
            </w:tcBorders>
            <w:vAlign w:val="center"/>
            <w:hideMark/>
          </w:tcPr>
          <w:p w14:paraId="3E745E78"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Consultores – Metodología de trazabilidad. Dos consultores locales para diseñar, validar e implementar un sistema de trazabilidad en tres centros piloto de recogida, integrando producción sostenible, control de recursos y perspectiva de género.</w:t>
            </w:r>
            <w:r w:rsidRPr="00A51E75">
              <w:rPr>
                <w:rFonts w:ascii="Calibri" w:hAnsi="Calibri" w:cs="Calibri"/>
                <w:color w:val="000000"/>
                <w:sz w:val="16"/>
                <w:szCs w:val="16"/>
              </w:rPr>
              <w:br/>
              <w:t>Total: USD 156.621 (Años 1–3).</w:t>
            </w:r>
          </w:p>
        </w:tc>
        <w:tc>
          <w:tcPr>
            <w:tcW w:w="308" w:type="pct"/>
            <w:tcBorders>
              <w:top w:val="nil"/>
              <w:left w:val="nil"/>
              <w:bottom w:val="single" w:sz="8" w:space="0" w:color="auto"/>
              <w:right w:val="single" w:sz="8" w:space="0" w:color="auto"/>
            </w:tcBorders>
            <w:noWrap/>
            <w:vAlign w:val="center"/>
            <w:hideMark/>
          </w:tcPr>
          <w:p w14:paraId="1158E5E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A79A81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156,621 </w:t>
            </w:r>
          </w:p>
        </w:tc>
        <w:tc>
          <w:tcPr>
            <w:tcW w:w="308" w:type="pct"/>
            <w:tcBorders>
              <w:top w:val="nil"/>
              <w:left w:val="nil"/>
              <w:bottom w:val="single" w:sz="8" w:space="0" w:color="auto"/>
              <w:right w:val="single" w:sz="8" w:space="0" w:color="auto"/>
            </w:tcBorders>
            <w:noWrap/>
            <w:vAlign w:val="center"/>
            <w:hideMark/>
          </w:tcPr>
          <w:p w14:paraId="4833336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F47F29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631CA6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156,621 </w:t>
            </w:r>
          </w:p>
        </w:tc>
        <w:tc>
          <w:tcPr>
            <w:tcW w:w="308" w:type="pct"/>
            <w:tcBorders>
              <w:top w:val="nil"/>
              <w:left w:val="nil"/>
              <w:bottom w:val="single" w:sz="8" w:space="0" w:color="auto"/>
              <w:right w:val="single" w:sz="8" w:space="0" w:color="auto"/>
            </w:tcBorders>
            <w:noWrap/>
            <w:vAlign w:val="center"/>
            <w:hideMark/>
          </w:tcPr>
          <w:p w14:paraId="2F2F3C9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23559C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3C1319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156,621 </w:t>
            </w:r>
          </w:p>
        </w:tc>
        <w:tc>
          <w:tcPr>
            <w:tcW w:w="302" w:type="pct"/>
            <w:tcBorders>
              <w:top w:val="nil"/>
              <w:left w:val="nil"/>
              <w:bottom w:val="single" w:sz="8" w:space="0" w:color="auto"/>
              <w:right w:val="single" w:sz="8" w:space="0" w:color="auto"/>
            </w:tcBorders>
            <w:vAlign w:val="center"/>
            <w:hideMark/>
          </w:tcPr>
          <w:p w14:paraId="7597ED41" w14:textId="2ACA540B"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68EB4CC6"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2123FFAE"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Consultores locales</w:t>
            </w:r>
          </w:p>
        </w:tc>
        <w:tc>
          <w:tcPr>
            <w:tcW w:w="1842" w:type="pct"/>
            <w:tcBorders>
              <w:top w:val="nil"/>
              <w:left w:val="nil"/>
              <w:bottom w:val="single" w:sz="8" w:space="0" w:color="auto"/>
              <w:right w:val="single" w:sz="8" w:space="0" w:color="auto"/>
            </w:tcBorders>
            <w:vAlign w:val="center"/>
            <w:hideMark/>
          </w:tcPr>
          <w:p w14:paraId="7D146D34"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Consultores – Planes de Gestión de Áreas de Protección del Agua. Cuatro consultores locales para desarrollar, actualizar y proporcionar soporte técnico para ocho planes de gestión en territorios prioritarios de la cuenca del río Napo. Total: USD 233.366 (años 1–5).</w:t>
            </w:r>
          </w:p>
        </w:tc>
        <w:tc>
          <w:tcPr>
            <w:tcW w:w="308" w:type="pct"/>
            <w:tcBorders>
              <w:top w:val="nil"/>
              <w:left w:val="nil"/>
              <w:bottom w:val="single" w:sz="8" w:space="0" w:color="auto"/>
              <w:right w:val="single" w:sz="8" w:space="0" w:color="auto"/>
            </w:tcBorders>
            <w:noWrap/>
            <w:vAlign w:val="center"/>
            <w:hideMark/>
          </w:tcPr>
          <w:p w14:paraId="13AE708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61FE90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233,366 </w:t>
            </w:r>
          </w:p>
        </w:tc>
        <w:tc>
          <w:tcPr>
            <w:tcW w:w="308" w:type="pct"/>
            <w:tcBorders>
              <w:top w:val="nil"/>
              <w:left w:val="nil"/>
              <w:bottom w:val="single" w:sz="8" w:space="0" w:color="auto"/>
              <w:right w:val="single" w:sz="8" w:space="0" w:color="auto"/>
            </w:tcBorders>
            <w:noWrap/>
            <w:vAlign w:val="center"/>
            <w:hideMark/>
          </w:tcPr>
          <w:p w14:paraId="313A657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8525B9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A91A5B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233,366 </w:t>
            </w:r>
          </w:p>
        </w:tc>
        <w:tc>
          <w:tcPr>
            <w:tcW w:w="308" w:type="pct"/>
            <w:tcBorders>
              <w:top w:val="nil"/>
              <w:left w:val="nil"/>
              <w:bottom w:val="single" w:sz="8" w:space="0" w:color="auto"/>
              <w:right w:val="single" w:sz="8" w:space="0" w:color="auto"/>
            </w:tcBorders>
            <w:noWrap/>
            <w:vAlign w:val="center"/>
            <w:hideMark/>
          </w:tcPr>
          <w:p w14:paraId="4090791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1812B3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53638CA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233,366 </w:t>
            </w:r>
          </w:p>
        </w:tc>
        <w:tc>
          <w:tcPr>
            <w:tcW w:w="302" w:type="pct"/>
            <w:tcBorders>
              <w:top w:val="nil"/>
              <w:left w:val="nil"/>
              <w:bottom w:val="single" w:sz="8" w:space="0" w:color="auto"/>
              <w:right w:val="single" w:sz="8" w:space="0" w:color="auto"/>
            </w:tcBorders>
            <w:vAlign w:val="center"/>
            <w:hideMark/>
          </w:tcPr>
          <w:p w14:paraId="2D1710C6" w14:textId="3717A05D"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2959FEBA"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25ED47C2" w14:textId="2886278B"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1AE6B2AC" w14:textId="77777777" w:rsidR="00C15440" w:rsidRPr="00A51E75" w:rsidRDefault="00C15440" w:rsidP="001F1A3A">
            <w:pPr>
              <w:ind w:left="-57" w:right="-57"/>
              <w:rPr>
                <w:rFonts w:ascii="Calibri" w:hAnsi="Calibri" w:cs="Calibri"/>
                <w:color w:val="000000"/>
                <w:sz w:val="16"/>
                <w:szCs w:val="16"/>
                <w:lang w:val="en-US"/>
              </w:rPr>
            </w:pPr>
            <w:r w:rsidRPr="00A51E75">
              <w:rPr>
                <w:rFonts w:ascii="Calibri" w:hAnsi="Calibri" w:cs="Calibri"/>
                <w:color w:val="000000"/>
                <w:sz w:val="16"/>
                <w:szCs w:val="16"/>
              </w:rPr>
              <w:t xml:space="preserve">Formación – Mecanismos financieros, bioeconomía y comercialización. Al menos 20 talleres sobre finanzas verdes, bioeconomía y comercialización sostenible, priorizando a mujeres, jóvenes y pueblos indígenas. Los métodos combinan las prácticas de la Escuela de Campo y el conocimiento ancestral. Total: 181.575 USD </w:t>
            </w:r>
          </w:p>
        </w:tc>
        <w:tc>
          <w:tcPr>
            <w:tcW w:w="308" w:type="pct"/>
            <w:tcBorders>
              <w:top w:val="nil"/>
              <w:left w:val="nil"/>
              <w:bottom w:val="single" w:sz="8" w:space="0" w:color="auto"/>
              <w:right w:val="single" w:sz="8" w:space="0" w:color="auto"/>
            </w:tcBorders>
            <w:noWrap/>
            <w:vAlign w:val="center"/>
            <w:hideMark/>
          </w:tcPr>
          <w:p w14:paraId="1F61381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FB2A33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32DAB9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181,575 </w:t>
            </w:r>
          </w:p>
        </w:tc>
        <w:tc>
          <w:tcPr>
            <w:tcW w:w="308" w:type="pct"/>
            <w:tcBorders>
              <w:top w:val="nil"/>
              <w:left w:val="nil"/>
              <w:bottom w:val="single" w:sz="8" w:space="0" w:color="auto"/>
              <w:right w:val="single" w:sz="8" w:space="0" w:color="auto"/>
            </w:tcBorders>
            <w:noWrap/>
            <w:vAlign w:val="center"/>
            <w:hideMark/>
          </w:tcPr>
          <w:p w14:paraId="7A1D661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4E2B28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181,575 </w:t>
            </w:r>
          </w:p>
        </w:tc>
        <w:tc>
          <w:tcPr>
            <w:tcW w:w="308" w:type="pct"/>
            <w:tcBorders>
              <w:top w:val="nil"/>
              <w:left w:val="nil"/>
              <w:bottom w:val="single" w:sz="8" w:space="0" w:color="auto"/>
              <w:right w:val="single" w:sz="8" w:space="0" w:color="auto"/>
            </w:tcBorders>
            <w:noWrap/>
            <w:vAlign w:val="center"/>
            <w:hideMark/>
          </w:tcPr>
          <w:p w14:paraId="17E8098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BC1B4F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148416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181,575 </w:t>
            </w:r>
          </w:p>
        </w:tc>
        <w:tc>
          <w:tcPr>
            <w:tcW w:w="302" w:type="pct"/>
            <w:tcBorders>
              <w:top w:val="nil"/>
              <w:left w:val="nil"/>
              <w:bottom w:val="single" w:sz="8" w:space="0" w:color="auto"/>
              <w:right w:val="single" w:sz="8" w:space="0" w:color="auto"/>
            </w:tcBorders>
            <w:vAlign w:val="center"/>
            <w:hideMark/>
          </w:tcPr>
          <w:p w14:paraId="1C028FF9" w14:textId="7EECC19B"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4A1B85BE"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7C8DF30B"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Formación, talleres, reuniones</w:t>
            </w:r>
          </w:p>
        </w:tc>
        <w:tc>
          <w:tcPr>
            <w:tcW w:w="1842" w:type="pct"/>
            <w:tcBorders>
              <w:top w:val="nil"/>
              <w:left w:val="nil"/>
              <w:bottom w:val="single" w:sz="8" w:space="0" w:color="auto"/>
              <w:right w:val="single" w:sz="8" w:space="0" w:color="auto"/>
            </w:tcBorders>
            <w:vAlign w:val="center"/>
            <w:hideMark/>
          </w:tcPr>
          <w:p w14:paraId="6CB1E627"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Formación – Agroecología, Bioinsumos y Liderazgo. Al menos 40 eventos de formación en territorios prioritarios para empresas comunitarias, clubes agroecológicos y áreas de restauración. Total: USD 323.149 </w:t>
            </w:r>
          </w:p>
        </w:tc>
        <w:tc>
          <w:tcPr>
            <w:tcW w:w="308" w:type="pct"/>
            <w:tcBorders>
              <w:top w:val="nil"/>
              <w:left w:val="nil"/>
              <w:bottom w:val="single" w:sz="8" w:space="0" w:color="auto"/>
              <w:right w:val="single" w:sz="8" w:space="0" w:color="auto"/>
            </w:tcBorders>
            <w:noWrap/>
            <w:vAlign w:val="center"/>
            <w:hideMark/>
          </w:tcPr>
          <w:p w14:paraId="7FD75B6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3DB6F2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323,149 </w:t>
            </w:r>
          </w:p>
        </w:tc>
        <w:tc>
          <w:tcPr>
            <w:tcW w:w="308" w:type="pct"/>
            <w:tcBorders>
              <w:top w:val="nil"/>
              <w:left w:val="nil"/>
              <w:bottom w:val="single" w:sz="8" w:space="0" w:color="auto"/>
              <w:right w:val="single" w:sz="8" w:space="0" w:color="auto"/>
            </w:tcBorders>
            <w:noWrap/>
            <w:vAlign w:val="center"/>
            <w:hideMark/>
          </w:tcPr>
          <w:p w14:paraId="14438C6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E6CFF9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697017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323,149 </w:t>
            </w:r>
          </w:p>
        </w:tc>
        <w:tc>
          <w:tcPr>
            <w:tcW w:w="308" w:type="pct"/>
            <w:tcBorders>
              <w:top w:val="nil"/>
              <w:left w:val="nil"/>
              <w:bottom w:val="single" w:sz="8" w:space="0" w:color="auto"/>
              <w:right w:val="single" w:sz="8" w:space="0" w:color="auto"/>
            </w:tcBorders>
            <w:noWrap/>
            <w:vAlign w:val="center"/>
            <w:hideMark/>
          </w:tcPr>
          <w:p w14:paraId="5A207E4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B989B1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883B26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323,149 </w:t>
            </w:r>
          </w:p>
        </w:tc>
        <w:tc>
          <w:tcPr>
            <w:tcW w:w="302" w:type="pct"/>
            <w:tcBorders>
              <w:top w:val="nil"/>
              <w:left w:val="nil"/>
              <w:bottom w:val="single" w:sz="8" w:space="0" w:color="auto"/>
              <w:right w:val="single" w:sz="8" w:space="0" w:color="auto"/>
            </w:tcBorders>
            <w:vAlign w:val="center"/>
            <w:hideMark/>
          </w:tcPr>
          <w:p w14:paraId="0F5EFCF9" w14:textId="49011171"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779D81EE"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1CE6A716"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Formación, talleres, reuniones</w:t>
            </w:r>
          </w:p>
        </w:tc>
        <w:tc>
          <w:tcPr>
            <w:tcW w:w="1842" w:type="pct"/>
            <w:tcBorders>
              <w:top w:val="nil"/>
              <w:left w:val="nil"/>
              <w:bottom w:val="single" w:sz="8" w:space="0" w:color="auto"/>
              <w:right w:val="single" w:sz="8" w:space="0" w:color="auto"/>
            </w:tcBorders>
            <w:vAlign w:val="center"/>
            <w:hideMark/>
          </w:tcPr>
          <w:p w14:paraId="57A4C165"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Formación – Fortalecimiento de capacidades comunitarias y replicación. Al menos 18 eventos: un taller de inicio, diez talleres territoriales basados en FFS, cinco eventos de replicación y tres intercambios interculturales. Los temas incluyen restauración, supervisión, liderazgo juvenil y sostenibilidad, priorizando la participación de mujeres, jóvenes </w:t>
            </w:r>
            <w:proofErr w:type="spellStart"/>
            <w:r w:rsidRPr="00A51E75">
              <w:rPr>
                <w:rFonts w:ascii="Calibri" w:hAnsi="Calibri" w:cs="Calibri"/>
                <w:color w:val="000000"/>
                <w:sz w:val="16"/>
                <w:szCs w:val="16"/>
              </w:rPr>
              <w:t>y</w:t>
            </w:r>
            <w:proofErr w:type="spellEnd"/>
            <w:r w:rsidRPr="00A51E75">
              <w:rPr>
                <w:rFonts w:ascii="Calibri" w:hAnsi="Calibri" w:cs="Calibri"/>
                <w:color w:val="000000"/>
                <w:sz w:val="16"/>
                <w:szCs w:val="16"/>
              </w:rPr>
              <w:t xml:space="preserve"> indígenas. Total: 181.575 USD </w:t>
            </w:r>
          </w:p>
        </w:tc>
        <w:tc>
          <w:tcPr>
            <w:tcW w:w="308" w:type="pct"/>
            <w:tcBorders>
              <w:top w:val="nil"/>
              <w:left w:val="nil"/>
              <w:bottom w:val="single" w:sz="8" w:space="0" w:color="auto"/>
              <w:right w:val="single" w:sz="8" w:space="0" w:color="auto"/>
            </w:tcBorders>
            <w:noWrap/>
            <w:vAlign w:val="center"/>
            <w:hideMark/>
          </w:tcPr>
          <w:p w14:paraId="669C27B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FAB8FA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3B22DF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59B319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181,575 </w:t>
            </w:r>
          </w:p>
        </w:tc>
        <w:tc>
          <w:tcPr>
            <w:tcW w:w="308" w:type="pct"/>
            <w:tcBorders>
              <w:top w:val="nil"/>
              <w:left w:val="nil"/>
              <w:bottom w:val="single" w:sz="8" w:space="0" w:color="auto"/>
              <w:right w:val="single" w:sz="8" w:space="0" w:color="auto"/>
            </w:tcBorders>
            <w:noWrap/>
            <w:vAlign w:val="center"/>
            <w:hideMark/>
          </w:tcPr>
          <w:p w14:paraId="4DC9DF7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181,575 </w:t>
            </w:r>
          </w:p>
        </w:tc>
        <w:tc>
          <w:tcPr>
            <w:tcW w:w="308" w:type="pct"/>
            <w:tcBorders>
              <w:top w:val="nil"/>
              <w:left w:val="nil"/>
              <w:bottom w:val="single" w:sz="8" w:space="0" w:color="auto"/>
              <w:right w:val="single" w:sz="8" w:space="0" w:color="auto"/>
            </w:tcBorders>
            <w:noWrap/>
            <w:vAlign w:val="center"/>
            <w:hideMark/>
          </w:tcPr>
          <w:p w14:paraId="548EDD3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7C9E3B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731E80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181,575 </w:t>
            </w:r>
          </w:p>
        </w:tc>
        <w:tc>
          <w:tcPr>
            <w:tcW w:w="302" w:type="pct"/>
            <w:tcBorders>
              <w:top w:val="nil"/>
              <w:left w:val="nil"/>
              <w:bottom w:val="single" w:sz="8" w:space="0" w:color="auto"/>
              <w:right w:val="single" w:sz="8" w:space="0" w:color="auto"/>
            </w:tcBorders>
            <w:vAlign w:val="center"/>
            <w:hideMark/>
          </w:tcPr>
          <w:p w14:paraId="009F3AC0" w14:textId="29A12E2F" w:rsidR="00C15440" w:rsidRPr="00A51E75" w:rsidRDefault="00C15440" w:rsidP="001F1A3A">
            <w:pPr>
              <w:ind w:left="-57" w:right="-57"/>
              <w:jc w:val="right"/>
              <w:rPr>
                <w:rFonts w:ascii="Calibri" w:hAnsi="Calibri" w:cs="Calibri"/>
                <w:color w:val="000000"/>
                <w:sz w:val="16"/>
                <w:szCs w:val="16"/>
              </w:rPr>
            </w:pPr>
            <w:r w:rsidRPr="00EC1683">
              <w:rPr>
                <w:rFonts w:ascii="Calibri" w:hAnsi="Calibri" w:cs="Calibri"/>
                <w:color w:val="000000"/>
                <w:sz w:val="16"/>
                <w:szCs w:val="16"/>
              </w:rPr>
              <w:t>PNUD</w:t>
            </w:r>
          </w:p>
        </w:tc>
      </w:tr>
      <w:tr w:rsidR="00C15440" w:rsidRPr="00A51E75" w14:paraId="27971DA2" w14:textId="77777777" w:rsidTr="00EE70E2">
        <w:trPr>
          <w:trHeight w:val="720"/>
        </w:trPr>
        <w:tc>
          <w:tcPr>
            <w:tcW w:w="390" w:type="pct"/>
            <w:tcBorders>
              <w:top w:val="nil"/>
              <w:left w:val="single" w:sz="8" w:space="0" w:color="auto"/>
              <w:bottom w:val="single" w:sz="8" w:space="0" w:color="auto"/>
              <w:right w:val="single" w:sz="8" w:space="0" w:color="auto"/>
            </w:tcBorders>
            <w:noWrap/>
            <w:vAlign w:val="center"/>
            <w:hideMark/>
          </w:tcPr>
          <w:p w14:paraId="708E91C7"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Formación, talleres, reuniones</w:t>
            </w:r>
          </w:p>
        </w:tc>
        <w:tc>
          <w:tcPr>
            <w:tcW w:w="1842" w:type="pct"/>
            <w:tcBorders>
              <w:top w:val="nil"/>
              <w:left w:val="nil"/>
              <w:bottom w:val="single" w:sz="8" w:space="0" w:color="auto"/>
              <w:right w:val="single" w:sz="8" w:space="0" w:color="auto"/>
            </w:tcBorders>
            <w:vAlign w:val="center"/>
            <w:hideMark/>
          </w:tcPr>
          <w:p w14:paraId="287B7083"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Formación – Escuelas de Campo para Agricultores (FFS). Implementación de FFS en seis comunidades con módulos sobre restauración, supervisión, planificación de gestión y gobernanza forestal, utilizando metodologías inclusivas para mujeres, jóvenes y actores diversos. Total: 40.000 USD (años 2–5).</w:t>
            </w:r>
          </w:p>
        </w:tc>
        <w:tc>
          <w:tcPr>
            <w:tcW w:w="308" w:type="pct"/>
            <w:tcBorders>
              <w:top w:val="nil"/>
              <w:left w:val="nil"/>
              <w:bottom w:val="single" w:sz="8" w:space="0" w:color="auto"/>
              <w:right w:val="single" w:sz="8" w:space="0" w:color="auto"/>
            </w:tcBorders>
            <w:noWrap/>
            <w:vAlign w:val="center"/>
            <w:hideMark/>
          </w:tcPr>
          <w:p w14:paraId="229816C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FAD905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40,000 </w:t>
            </w:r>
          </w:p>
        </w:tc>
        <w:tc>
          <w:tcPr>
            <w:tcW w:w="308" w:type="pct"/>
            <w:tcBorders>
              <w:top w:val="nil"/>
              <w:left w:val="nil"/>
              <w:bottom w:val="single" w:sz="8" w:space="0" w:color="auto"/>
              <w:right w:val="single" w:sz="8" w:space="0" w:color="auto"/>
            </w:tcBorders>
            <w:noWrap/>
            <w:vAlign w:val="center"/>
            <w:hideMark/>
          </w:tcPr>
          <w:p w14:paraId="0086B26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A778CC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760D3A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40,000 </w:t>
            </w:r>
          </w:p>
        </w:tc>
        <w:tc>
          <w:tcPr>
            <w:tcW w:w="308" w:type="pct"/>
            <w:tcBorders>
              <w:top w:val="nil"/>
              <w:left w:val="nil"/>
              <w:bottom w:val="single" w:sz="8" w:space="0" w:color="auto"/>
              <w:right w:val="single" w:sz="8" w:space="0" w:color="auto"/>
            </w:tcBorders>
            <w:noWrap/>
            <w:vAlign w:val="center"/>
            <w:hideMark/>
          </w:tcPr>
          <w:p w14:paraId="08A4DB2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777479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60189E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40,000 </w:t>
            </w:r>
          </w:p>
        </w:tc>
        <w:tc>
          <w:tcPr>
            <w:tcW w:w="302" w:type="pct"/>
            <w:tcBorders>
              <w:top w:val="nil"/>
              <w:left w:val="nil"/>
              <w:bottom w:val="single" w:sz="8" w:space="0" w:color="auto"/>
              <w:right w:val="single" w:sz="8" w:space="0" w:color="auto"/>
            </w:tcBorders>
            <w:vAlign w:val="center"/>
            <w:hideMark/>
          </w:tcPr>
          <w:p w14:paraId="3415136D" w14:textId="182175EA"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309BDE74"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6B588BF1"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Viajes</w:t>
            </w:r>
          </w:p>
        </w:tc>
        <w:tc>
          <w:tcPr>
            <w:tcW w:w="1842" w:type="pct"/>
            <w:tcBorders>
              <w:top w:val="nil"/>
              <w:left w:val="nil"/>
              <w:bottom w:val="single" w:sz="8" w:space="0" w:color="auto"/>
              <w:right w:val="single" w:sz="8" w:space="0" w:color="auto"/>
            </w:tcBorders>
            <w:vAlign w:val="center"/>
            <w:hideMark/>
          </w:tcPr>
          <w:p w14:paraId="3EFD9051"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Misiones de Campo para Restauración Ecológica y Asistencia Técnica (Resultado 2.2) Gastos asociados al despliegue de equipos técnicos en al menos 60 misiones de campo en 20 comunidades priorizadas. Total: 214.614 USD.</w:t>
            </w:r>
          </w:p>
        </w:tc>
        <w:tc>
          <w:tcPr>
            <w:tcW w:w="308" w:type="pct"/>
            <w:tcBorders>
              <w:top w:val="nil"/>
              <w:left w:val="nil"/>
              <w:bottom w:val="single" w:sz="8" w:space="0" w:color="auto"/>
              <w:right w:val="single" w:sz="8" w:space="0" w:color="auto"/>
            </w:tcBorders>
            <w:noWrap/>
            <w:vAlign w:val="center"/>
            <w:hideMark/>
          </w:tcPr>
          <w:p w14:paraId="20963F5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F08536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214,614 </w:t>
            </w:r>
          </w:p>
        </w:tc>
        <w:tc>
          <w:tcPr>
            <w:tcW w:w="308" w:type="pct"/>
            <w:tcBorders>
              <w:top w:val="nil"/>
              <w:left w:val="nil"/>
              <w:bottom w:val="single" w:sz="8" w:space="0" w:color="auto"/>
              <w:right w:val="single" w:sz="8" w:space="0" w:color="auto"/>
            </w:tcBorders>
            <w:noWrap/>
            <w:vAlign w:val="center"/>
            <w:hideMark/>
          </w:tcPr>
          <w:p w14:paraId="3D757B9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F13983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DC3449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214,614 </w:t>
            </w:r>
          </w:p>
        </w:tc>
        <w:tc>
          <w:tcPr>
            <w:tcW w:w="308" w:type="pct"/>
            <w:tcBorders>
              <w:top w:val="nil"/>
              <w:left w:val="nil"/>
              <w:bottom w:val="single" w:sz="8" w:space="0" w:color="auto"/>
              <w:right w:val="single" w:sz="8" w:space="0" w:color="auto"/>
            </w:tcBorders>
            <w:noWrap/>
            <w:vAlign w:val="center"/>
            <w:hideMark/>
          </w:tcPr>
          <w:p w14:paraId="172AD05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088372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4B8DC4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214,614 </w:t>
            </w:r>
          </w:p>
        </w:tc>
        <w:tc>
          <w:tcPr>
            <w:tcW w:w="302" w:type="pct"/>
            <w:tcBorders>
              <w:top w:val="nil"/>
              <w:left w:val="nil"/>
              <w:bottom w:val="single" w:sz="8" w:space="0" w:color="auto"/>
              <w:right w:val="single" w:sz="8" w:space="0" w:color="auto"/>
            </w:tcBorders>
            <w:vAlign w:val="center"/>
            <w:hideMark/>
          </w:tcPr>
          <w:p w14:paraId="22E7C5CC" w14:textId="04A7672B"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01D814AD"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66B1DC95"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Viajes</w:t>
            </w:r>
          </w:p>
        </w:tc>
        <w:tc>
          <w:tcPr>
            <w:tcW w:w="1842" w:type="pct"/>
            <w:tcBorders>
              <w:top w:val="nil"/>
              <w:left w:val="nil"/>
              <w:bottom w:val="single" w:sz="8" w:space="0" w:color="auto"/>
              <w:right w:val="single" w:sz="8" w:space="0" w:color="auto"/>
            </w:tcBorders>
            <w:vAlign w:val="center"/>
            <w:hideMark/>
          </w:tcPr>
          <w:p w14:paraId="5068352B" w14:textId="31650E5A"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Misiones de Formación y Sistematización del </w:t>
            </w:r>
            <w:r w:rsidR="007525DB">
              <w:rPr>
                <w:rFonts w:ascii="Calibri" w:hAnsi="Calibri" w:cs="Calibri"/>
                <w:color w:val="000000"/>
                <w:sz w:val="16"/>
                <w:szCs w:val="16"/>
              </w:rPr>
              <w:t xml:space="preserve">Sistema de Alerta Temprana </w:t>
            </w:r>
            <w:r w:rsidRPr="00A51E75">
              <w:rPr>
                <w:rFonts w:ascii="Calibri" w:hAnsi="Calibri" w:cs="Calibri"/>
                <w:color w:val="000000"/>
                <w:sz w:val="16"/>
                <w:szCs w:val="16"/>
              </w:rPr>
              <w:t>(SAT) Gastos de viaje para el equipo técnico para realizar 10 visitas de campo centradas en actividades de formación, documentación y difusión relacionadas con el SAT. Total: 38.851 USD.</w:t>
            </w:r>
          </w:p>
        </w:tc>
        <w:tc>
          <w:tcPr>
            <w:tcW w:w="308" w:type="pct"/>
            <w:tcBorders>
              <w:top w:val="nil"/>
              <w:left w:val="nil"/>
              <w:bottom w:val="single" w:sz="8" w:space="0" w:color="auto"/>
              <w:right w:val="single" w:sz="8" w:space="0" w:color="auto"/>
            </w:tcBorders>
            <w:noWrap/>
            <w:vAlign w:val="center"/>
            <w:hideMark/>
          </w:tcPr>
          <w:p w14:paraId="48CC81D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89D2EE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11D370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8D5AD1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38,851 </w:t>
            </w:r>
          </w:p>
        </w:tc>
        <w:tc>
          <w:tcPr>
            <w:tcW w:w="308" w:type="pct"/>
            <w:tcBorders>
              <w:top w:val="nil"/>
              <w:left w:val="nil"/>
              <w:bottom w:val="single" w:sz="8" w:space="0" w:color="auto"/>
              <w:right w:val="single" w:sz="8" w:space="0" w:color="auto"/>
            </w:tcBorders>
            <w:noWrap/>
            <w:vAlign w:val="center"/>
            <w:hideMark/>
          </w:tcPr>
          <w:p w14:paraId="085EFEC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38,851 </w:t>
            </w:r>
          </w:p>
        </w:tc>
        <w:tc>
          <w:tcPr>
            <w:tcW w:w="308" w:type="pct"/>
            <w:tcBorders>
              <w:top w:val="nil"/>
              <w:left w:val="nil"/>
              <w:bottom w:val="single" w:sz="8" w:space="0" w:color="auto"/>
              <w:right w:val="single" w:sz="8" w:space="0" w:color="auto"/>
            </w:tcBorders>
            <w:noWrap/>
            <w:vAlign w:val="center"/>
            <w:hideMark/>
          </w:tcPr>
          <w:p w14:paraId="3F61494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244DD9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6F6D26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38,851 </w:t>
            </w:r>
          </w:p>
        </w:tc>
        <w:tc>
          <w:tcPr>
            <w:tcW w:w="302" w:type="pct"/>
            <w:tcBorders>
              <w:top w:val="nil"/>
              <w:left w:val="nil"/>
              <w:bottom w:val="single" w:sz="8" w:space="0" w:color="auto"/>
              <w:right w:val="single" w:sz="8" w:space="0" w:color="auto"/>
            </w:tcBorders>
            <w:vAlign w:val="center"/>
            <w:hideMark/>
          </w:tcPr>
          <w:p w14:paraId="75F2E214" w14:textId="615C90F9"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65095DDF" w14:textId="77777777" w:rsidTr="00EE70E2">
        <w:trPr>
          <w:trHeight w:val="850"/>
        </w:trPr>
        <w:tc>
          <w:tcPr>
            <w:tcW w:w="390" w:type="pct"/>
            <w:tcBorders>
              <w:top w:val="nil"/>
              <w:left w:val="single" w:sz="8" w:space="0" w:color="auto"/>
              <w:bottom w:val="single" w:sz="8" w:space="0" w:color="auto"/>
              <w:right w:val="single" w:sz="8" w:space="0" w:color="auto"/>
            </w:tcBorders>
            <w:noWrap/>
            <w:vAlign w:val="center"/>
            <w:hideMark/>
          </w:tcPr>
          <w:p w14:paraId="599DEA9E"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Viajes</w:t>
            </w:r>
          </w:p>
        </w:tc>
        <w:tc>
          <w:tcPr>
            <w:tcW w:w="1842" w:type="pct"/>
            <w:tcBorders>
              <w:top w:val="nil"/>
              <w:left w:val="nil"/>
              <w:bottom w:val="single" w:sz="8" w:space="0" w:color="auto"/>
              <w:right w:val="single" w:sz="8" w:space="0" w:color="auto"/>
            </w:tcBorders>
            <w:vAlign w:val="center"/>
            <w:hideMark/>
          </w:tcPr>
          <w:p w14:paraId="1A3E8AF7" w14:textId="272BE0B9"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Seguimiento de los Indicadores del </w:t>
            </w:r>
            <w:r w:rsidR="0078696E">
              <w:rPr>
                <w:rFonts w:ascii="Calibri" w:hAnsi="Calibri" w:cs="Calibri"/>
                <w:color w:val="000000"/>
                <w:sz w:val="16"/>
                <w:szCs w:val="16"/>
              </w:rPr>
              <w:t>FMAM</w:t>
            </w:r>
            <w:r w:rsidRPr="00A51E75">
              <w:rPr>
                <w:rFonts w:ascii="Calibri" w:hAnsi="Calibri" w:cs="Calibri"/>
                <w:color w:val="000000"/>
                <w:sz w:val="16"/>
                <w:szCs w:val="16"/>
              </w:rPr>
              <w:t xml:space="preserve">, el Marco de Resultados y las Salvaguardas. Gastos de viaje para el personal técnico para apoyar el seguimiento del Marco de Resultados del Proyecto (PRF), los indicadores clave del </w:t>
            </w:r>
            <w:r w:rsidR="0078696E">
              <w:rPr>
                <w:rFonts w:ascii="Calibri" w:hAnsi="Calibri" w:cs="Calibri"/>
                <w:color w:val="000000"/>
                <w:sz w:val="16"/>
                <w:szCs w:val="16"/>
              </w:rPr>
              <w:t>FMAM</w:t>
            </w:r>
            <w:r w:rsidRPr="00A51E75">
              <w:rPr>
                <w:rFonts w:ascii="Calibri" w:hAnsi="Calibri" w:cs="Calibri"/>
                <w:color w:val="000000"/>
                <w:sz w:val="16"/>
                <w:szCs w:val="16"/>
              </w:rPr>
              <w:t>, el plan de género y las salvaguardas. Incluye el taller de inicio (USD 5.000), la preparación anual del PIR (USD 6.000 en 5 años), el seguimiento de género y salvaguardas (USD 12.000), las misiones anuales de supervisión técnica/operativa (USD 10.000) y las misiones de aprendizaje (USD 5.000). Total: 38.000 USD.</w:t>
            </w:r>
          </w:p>
        </w:tc>
        <w:tc>
          <w:tcPr>
            <w:tcW w:w="308" w:type="pct"/>
            <w:tcBorders>
              <w:top w:val="nil"/>
              <w:left w:val="nil"/>
              <w:bottom w:val="single" w:sz="8" w:space="0" w:color="auto"/>
              <w:right w:val="single" w:sz="8" w:space="0" w:color="auto"/>
            </w:tcBorders>
            <w:noWrap/>
            <w:vAlign w:val="center"/>
            <w:hideMark/>
          </w:tcPr>
          <w:p w14:paraId="6C65EED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D89528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830C2F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1B44C1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CD8818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8ECCF3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38,000 </w:t>
            </w:r>
          </w:p>
        </w:tc>
        <w:tc>
          <w:tcPr>
            <w:tcW w:w="308" w:type="pct"/>
            <w:tcBorders>
              <w:top w:val="nil"/>
              <w:left w:val="nil"/>
              <w:bottom w:val="single" w:sz="8" w:space="0" w:color="auto"/>
              <w:right w:val="single" w:sz="8" w:space="0" w:color="auto"/>
            </w:tcBorders>
            <w:noWrap/>
            <w:vAlign w:val="center"/>
            <w:hideMark/>
          </w:tcPr>
          <w:p w14:paraId="0FD7126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8EAD37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38,000 </w:t>
            </w:r>
          </w:p>
        </w:tc>
        <w:tc>
          <w:tcPr>
            <w:tcW w:w="302" w:type="pct"/>
            <w:tcBorders>
              <w:top w:val="nil"/>
              <w:left w:val="nil"/>
              <w:bottom w:val="single" w:sz="8" w:space="0" w:color="auto"/>
              <w:right w:val="single" w:sz="8" w:space="0" w:color="auto"/>
            </w:tcBorders>
            <w:vAlign w:val="center"/>
            <w:hideMark/>
          </w:tcPr>
          <w:p w14:paraId="73BE427B" w14:textId="2B9DCCD4"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21FB589F"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33631126"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Viajes</w:t>
            </w:r>
          </w:p>
        </w:tc>
        <w:tc>
          <w:tcPr>
            <w:tcW w:w="1842" w:type="pct"/>
            <w:tcBorders>
              <w:top w:val="nil"/>
              <w:left w:val="nil"/>
              <w:bottom w:val="single" w:sz="8" w:space="0" w:color="auto"/>
              <w:right w:val="single" w:sz="8" w:space="0" w:color="auto"/>
            </w:tcBorders>
            <w:vAlign w:val="center"/>
            <w:hideMark/>
          </w:tcPr>
          <w:p w14:paraId="7A95B02C"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Misiones Técnicas para la Validación Territorial de la Planificación y la Gobernanza (Resultado 1.1). Cada misión </w:t>
            </w:r>
            <w:r w:rsidRPr="00A51E75">
              <w:rPr>
                <w:rFonts w:ascii="Calibri" w:hAnsi="Calibri" w:cs="Calibri"/>
                <w:color w:val="000000"/>
                <w:sz w:val="16"/>
                <w:szCs w:val="16"/>
              </w:rPr>
              <w:lastRenderedPageBreak/>
              <w:t>tendrá una duración estimada de tres días y está alineada con los Indicadores 6 y 7. Total: USD 60.594</w:t>
            </w:r>
          </w:p>
        </w:tc>
        <w:tc>
          <w:tcPr>
            <w:tcW w:w="308" w:type="pct"/>
            <w:tcBorders>
              <w:top w:val="nil"/>
              <w:left w:val="nil"/>
              <w:bottom w:val="single" w:sz="8" w:space="0" w:color="auto"/>
              <w:right w:val="single" w:sz="8" w:space="0" w:color="auto"/>
            </w:tcBorders>
            <w:noWrap/>
            <w:vAlign w:val="center"/>
            <w:hideMark/>
          </w:tcPr>
          <w:p w14:paraId="5B94923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lastRenderedPageBreak/>
              <w:t xml:space="preserve">               60,594 </w:t>
            </w:r>
          </w:p>
        </w:tc>
        <w:tc>
          <w:tcPr>
            <w:tcW w:w="308" w:type="pct"/>
            <w:tcBorders>
              <w:top w:val="nil"/>
              <w:left w:val="nil"/>
              <w:bottom w:val="single" w:sz="8" w:space="0" w:color="auto"/>
              <w:right w:val="single" w:sz="8" w:space="0" w:color="auto"/>
            </w:tcBorders>
            <w:noWrap/>
            <w:vAlign w:val="center"/>
            <w:hideMark/>
          </w:tcPr>
          <w:p w14:paraId="6DBA99D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AAD37C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241C99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0DFD98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60,594 </w:t>
            </w:r>
          </w:p>
        </w:tc>
        <w:tc>
          <w:tcPr>
            <w:tcW w:w="308" w:type="pct"/>
            <w:tcBorders>
              <w:top w:val="nil"/>
              <w:left w:val="nil"/>
              <w:bottom w:val="single" w:sz="8" w:space="0" w:color="auto"/>
              <w:right w:val="single" w:sz="8" w:space="0" w:color="auto"/>
            </w:tcBorders>
            <w:noWrap/>
            <w:vAlign w:val="center"/>
            <w:hideMark/>
          </w:tcPr>
          <w:p w14:paraId="66A9264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22E2C8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06F6D3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60,594 </w:t>
            </w:r>
          </w:p>
        </w:tc>
        <w:tc>
          <w:tcPr>
            <w:tcW w:w="302" w:type="pct"/>
            <w:tcBorders>
              <w:top w:val="nil"/>
              <w:left w:val="nil"/>
              <w:bottom w:val="single" w:sz="8" w:space="0" w:color="auto"/>
              <w:right w:val="single" w:sz="8" w:space="0" w:color="auto"/>
            </w:tcBorders>
            <w:vAlign w:val="center"/>
            <w:hideMark/>
          </w:tcPr>
          <w:p w14:paraId="0DBCE073" w14:textId="09169ABD"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577EFA1F"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4283921F"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Viajes</w:t>
            </w:r>
          </w:p>
        </w:tc>
        <w:tc>
          <w:tcPr>
            <w:tcW w:w="1842" w:type="pct"/>
            <w:tcBorders>
              <w:top w:val="nil"/>
              <w:left w:val="nil"/>
              <w:bottom w:val="single" w:sz="8" w:space="0" w:color="auto"/>
              <w:right w:val="single" w:sz="8" w:space="0" w:color="auto"/>
            </w:tcBorders>
            <w:vAlign w:val="center"/>
            <w:hideMark/>
          </w:tcPr>
          <w:p w14:paraId="4C89783E"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Viajes técnicos para monitorización, restauración y formación in situ. Garantiza cobertura operativa continua en comunidades rurales e intervenciones directas en los Indicadores 2, 3 y 10. Total: 145.690 USD.</w:t>
            </w:r>
          </w:p>
        </w:tc>
        <w:tc>
          <w:tcPr>
            <w:tcW w:w="308" w:type="pct"/>
            <w:tcBorders>
              <w:top w:val="nil"/>
              <w:left w:val="nil"/>
              <w:bottom w:val="single" w:sz="8" w:space="0" w:color="auto"/>
              <w:right w:val="single" w:sz="8" w:space="0" w:color="auto"/>
            </w:tcBorders>
            <w:noWrap/>
            <w:vAlign w:val="center"/>
            <w:hideMark/>
          </w:tcPr>
          <w:p w14:paraId="50D6B93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88C52E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145,690 </w:t>
            </w:r>
          </w:p>
        </w:tc>
        <w:tc>
          <w:tcPr>
            <w:tcW w:w="308" w:type="pct"/>
            <w:tcBorders>
              <w:top w:val="nil"/>
              <w:left w:val="nil"/>
              <w:bottom w:val="single" w:sz="8" w:space="0" w:color="auto"/>
              <w:right w:val="single" w:sz="8" w:space="0" w:color="auto"/>
            </w:tcBorders>
            <w:noWrap/>
            <w:vAlign w:val="center"/>
            <w:hideMark/>
          </w:tcPr>
          <w:p w14:paraId="1A54BB7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FA968E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12A2C2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145,690 </w:t>
            </w:r>
          </w:p>
        </w:tc>
        <w:tc>
          <w:tcPr>
            <w:tcW w:w="308" w:type="pct"/>
            <w:tcBorders>
              <w:top w:val="nil"/>
              <w:left w:val="nil"/>
              <w:bottom w:val="single" w:sz="8" w:space="0" w:color="auto"/>
              <w:right w:val="single" w:sz="8" w:space="0" w:color="auto"/>
            </w:tcBorders>
            <w:noWrap/>
            <w:vAlign w:val="center"/>
            <w:hideMark/>
          </w:tcPr>
          <w:p w14:paraId="29EBA90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0C076D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029BF54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145,690 </w:t>
            </w:r>
          </w:p>
        </w:tc>
        <w:tc>
          <w:tcPr>
            <w:tcW w:w="302" w:type="pct"/>
            <w:tcBorders>
              <w:top w:val="nil"/>
              <w:left w:val="nil"/>
              <w:bottom w:val="single" w:sz="8" w:space="0" w:color="auto"/>
              <w:right w:val="single" w:sz="8" w:space="0" w:color="auto"/>
            </w:tcBorders>
            <w:vAlign w:val="center"/>
            <w:hideMark/>
          </w:tcPr>
          <w:p w14:paraId="341CFF68" w14:textId="491D1F13"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417CAA83"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3D4E50BA"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Viajes</w:t>
            </w:r>
          </w:p>
        </w:tc>
        <w:tc>
          <w:tcPr>
            <w:tcW w:w="1842" w:type="pct"/>
            <w:tcBorders>
              <w:top w:val="nil"/>
              <w:left w:val="nil"/>
              <w:bottom w:val="single" w:sz="8" w:space="0" w:color="auto"/>
              <w:right w:val="single" w:sz="8" w:space="0" w:color="auto"/>
            </w:tcBorders>
            <w:vAlign w:val="center"/>
            <w:hideMark/>
          </w:tcPr>
          <w:p w14:paraId="007BC4C5"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Transporte y logística para los participantes en talleres de educación financiera. Gastos relacionados con el transporte de participantes a ocho (8) talleres locales y dos (2) reuniones nacionales sobre inclusión financiera con un enfoque intercultural. Incluye transporte terrestre y fluvial, dietas diarias, alojamiento y logística asociada. Total: 72.845 USD.</w:t>
            </w:r>
          </w:p>
        </w:tc>
        <w:tc>
          <w:tcPr>
            <w:tcW w:w="308" w:type="pct"/>
            <w:tcBorders>
              <w:top w:val="nil"/>
              <w:left w:val="nil"/>
              <w:bottom w:val="single" w:sz="8" w:space="0" w:color="auto"/>
              <w:right w:val="single" w:sz="8" w:space="0" w:color="auto"/>
            </w:tcBorders>
            <w:noWrap/>
            <w:vAlign w:val="center"/>
            <w:hideMark/>
          </w:tcPr>
          <w:p w14:paraId="27385AD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801901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F01D19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72,845 </w:t>
            </w:r>
          </w:p>
        </w:tc>
        <w:tc>
          <w:tcPr>
            <w:tcW w:w="308" w:type="pct"/>
            <w:tcBorders>
              <w:top w:val="nil"/>
              <w:left w:val="nil"/>
              <w:bottom w:val="single" w:sz="8" w:space="0" w:color="auto"/>
              <w:right w:val="single" w:sz="8" w:space="0" w:color="auto"/>
            </w:tcBorders>
            <w:noWrap/>
            <w:vAlign w:val="center"/>
            <w:hideMark/>
          </w:tcPr>
          <w:p w14:paraId="73D20FA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CAF614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72,845 </w:t>
            </w:r>
          </w:p>
        </w:tc>
        <w:tc>
          <w:tcPr>
            <w:tcW w:w="308" w:type="pct"/>
            <w:tcBorders>
              <w:top w:val="nil"/>
              <w:left w:val="nil"/>
              <w:bottom w:val="single" w:sz="8" w:space="0" w:color="auto"/>
              <w:right w:val="single" w:sz="8" w:space="0" w:color="auto"/>
            </w:tcBorders>
            <w:noWrap/>
            <w:vAlign w:val="center"/>
            <w:hideMark/>
          </w:tcPr>
          <w:p w14:paraId="4F345C2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6C113B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581D7C5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72,845 </w:t>
            </w:r>
          </w:p>
        </w:tc>
        <w:tc>
          <w:tcPr>
            <w:tcW w:w="302" w:type="pct"/>
            <w:tcBorders>
              <w:top w:val="nil"/>
              <w:left w:val="nil"/>
              <w:bottom w:val="single" w:sz="8" w:space="0" w:color="auto"/>
              <w:right w:val="single" w:sz="8" w:space="0" w:color="auto"/>
            </w:tcBorders>
            <w:vAlign w:val="center"/>
            <w:hideMark/>
          </w:tcPr>
          <w:p w14:paraId="7E37E5ED" w14:textId="4E7EFAE2"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29EC6E2D"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66A62F57" w14:textId="77777777"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Material de oficina</w:t>
            </w:r>
          </w:p>
        </w:tc>
        <w:tc>
          <w:tcPr>
            <w:tcW w:w="1842" w:type="pct"/>
            <w:tcBorders>
              <w:top w:val="nil"/>
              <w:left w:val="nil"/>
              <w:bottom w:val="single" w:sz="8" w:space="0" w:color="auto"/>
              <w:right w:val="single" w:sz="8" w:space="0" w:color="auto"/>
            </w:tcBorders>
            <w:vAlign w:val="center"/>
            <w:hideMark/>
          </w:tcPr>
          <w:p w14:paraId="10730EF3"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Suministros – Actividades presenciales. Adquisición de material de papelería, hojas técnicas, carpetas y kits de monitorización para formación y soporte de campo. Total: USD 46.114 </w:t>
            </w:r>
          </w:p>
        </w:tc>
        <w:tc>
          <w:tcPr>
            <w:tcW w:w="308" w:type="pct"/>
            <w:tcBorders>
              <w:top w:val="nil"/>
              <w:left w:val="nil"/>
              <w:bottom w:val="single" w:sz="8" w:space="0" w:color="auto"/>
              <w:right w:val="single" w:sz="8" w:space="0" w:color="auto"/>
            </w:tcBorders>
            <w:noWrap/>
            <w:vAlign w:val="center"/>
            <w:hideMark/>
          </w:tcPr>
          <w:p w14:paraId="29113AC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50978A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7658E2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E0A796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46,114 </w:t>
            </w:r>
          </w:p>
        </w:tc>
        <w:tc>
          <w:tcPr>
            <w:tcW w:w="308" w:type="pct"/>
            <w:tcBorders>
              <w:top w:val="nil"/>
              <w:left w:val="nil"/>
              <w:bottom w:val="single" w:sz="8" w:space="0" w:color="auto"/>
              <w:right w:val="single" w:sz="8" w:space="0" w:color="auto"/>
            </w:tcBorders>
            <w:noWrap/>
            <w:vAlign w:val="center"/>
            <w:hideMark/>
          </w:tcPr>
          <w:p w14:paraId="72E14AF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46,114 </w:t>
            </w:r>
          </w:p>
        </w:tc>
        <w:tc>
          <w:tcPr>
            <w:tcW w:w="308" w:type="pct"/>
            <w:tcBorders>
              <w:top w:val="nil"/>
              <w:left w:val="nil"/>
              <w:bottom w:val="single" w:sz="8" w:space="0" w:color="auto"/>
              <w:right w:val="single" w:sz="8" w:space="0" w:color="auto"/>
            </w:tcBorders>
            <w:noWrap/>
            <w:vAlign w:val="center"/>
            <w:hideMark/>
          </w:tcPr>
          <w:p w14:paraId="48052BF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974549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EDCC3C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46,114 </w:t>
            </w:r>
          </w:p>
        </w:tc>
        <w:tc>
          <w:tcPr>
            <w:tcW w:w="302" w:type="pct"/>
            <w:tcBorders>
              <w:top w:val="nil"/>
              <w:left w:val="nil"/>
              <w:bottom w:val="single" w:sz="8" w:space="0" w:color="auto"/>
              <w:right w:val="single" w:sz="8" w:space="0" w:color="auto"/>
            </w:tcBorders>
            <w:vAlign w:val="center"/>
            <w:hideMark/>
          </w:tcPr>
          <w:p w14:paraId="064F43E5" w14:textId="50BA32AC"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4502BD2F" w14:textId="77777777" w:rsidTr="00EE70E2">
        <w:trPr>
          <w:trHeight w:val="690"/>
        </w:trPr>
        <w:tc>
          <w:tcPr>
            <w:tcW w:w="390" w:type="pct"/>
            <w:tcBorders>
              <w:top w:val="nil"/>
              <w:left w:val="single" w:sz="8" w:space="0" w:color="auto"/>
              <w:bottom w:val="single" w:sz="8" w:space="0" w:color="auto"/>
              <w:right w:val="single" w:sz="8" w:space="0" w:color="auto"/>
            </w:tcBorders>
            <w:noWrap/>
            <w:vAlign w:val="center"/>
            <w:hideMark/>
          </w:tcPr>
          <w:p w14:paraId="6E4B80D9" w14:textId="6A5534E8"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619AF021"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Producción audiovisual e impresa – Visibilidad del liderazgo. Producción de 10 materiales multiformato (vídeos, cápsulas de radio, infografías) para mostrar el liderazgo de mujeres, jóvenes e indígenas en la implementación del proyecto. Total: USD 102.770 </w:t>
            </w:r>
          </w:p>
        </w:tc>
        <w:tc>
          <w:tcPr>
            <w:tcW w:w="308" w:type="pct"/>
            <w:tcBorders>
              <w:top w:val="nil"/>
              <w:left w:val="nil"/>
              <w:bottom w:val="single" w:sz="8" w:space="0" w:color="auto"/>
              <w:right w:val="single" w:sz="8" w:space="0" w:color="auto"/>
            </w:tcBorders>
            <w:noWrap/>
            <w:vAlign w:val="center"/>
            <w:hideMark/>
          </w:tcPr>
          <w:p w14:paraId="0FFB000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B3CBE7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462F43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33F521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102,770 </w:t>
            </w:r>
          </w:p>
        </w:tc>
        <w:tc>
          <w:tcPr>
            <w:tcW w:w="308" w:type="pct"/>
            <w:tcBorders>
              <w:top w:val="nil"/>
              <w:left w:val="nil"/>
              <w:bottom w:val="single" w:sz="8" w:space="0" w:color="auto"/>
              <w:right w:val="single" w:sz="8" w:space="0" w:color="auto"/>
            </w:tcBorders>
            <w:noWrap/>
            <w:vAlign w:val="center"/>
            <w:hideMark/>
          </w:tcPr>
          <w:p w14:paraId="5F3D4F7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102,770 </w:t>
            </w:r>
          </w:p>
        </w:tc>
        <w:tc>
          <w:tcPr>
            <w:tcW w:w="308" w:type="pct"/>
            <w:tcBorders>
              <w:top w:val="nil"/>
              <w:left w:val="nil"/>
              <w:bottom w:val="single" w:sz="8" w:space="0" w:color="auto"/>
              <w:right w:val="single" w:sz="8" w:space="0" w:color="auto"/>
            </w:tcBorders>
            <w:noWrap/>
            <w:vAlign w:val="center"/>
            <w:hideMark/>
          </w:tcPr>
          <w:p w14:paraId="4E1D6B1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9A2C87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54F17F6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102,770 </w:t>
            </w:r>
          </w:p>
        </w:tc>
        <w:tc>
          <w:tcPr>
            <w:tcW w:w="302" w:type="pct"/>
            <w:tcBorders>
              <w:top w:val="nil"/>
              <w:left w:val="nil"/>
              <w:bottom w:val="single" w:sz="8" w:space="0" w:color="auto"/>
              <w:right w:val="single" w:sz="8" w:space="0" w:color="auto"/>
            </w:tcBorders>
            <w:vAlign w:val="center"/>
            <w:hideMark/>
          </w:tcPr>
          <w:p w14:paraId="4FB099A2" w14:textId="5947B77B"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0E502639" w14:textId="77777777" w:rsidTr="00EE70E2">
        <w:trPr>
          <w:trHeight w:val="690"/>
        </w:trPr>
        <w:tc>
          <w:tcPr>
            <w:tcW w:w="390" w:type="pct"/>
            <w:tcBorders>
              <w:top w:val="nil"/>
              <w:left w:val="single" w:sz="8" w:space="0" w:color="auto"/>
              <w:bottom w:val="single" w:sz="8" w:space="0" w:color="auto"/>
              <w:right w:val="single" w:sz="8" w:space="0" w:color="auto"/>
            </w:tcBorders>
            <w:noWrap/>
            <w:vAlign w:val="center"/>
            <w:hideMark/>
          </w:tcPr>
          <w:p w14:paraId="15208C0B" w14:textId="3DCB090C"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1CA93EEA"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Producción audiovisual e impresa – Productos MEL. Producción y difusión de materiales (traducción, impresión, sistematización y comunicación) para fortalecer la visibilidad y transparencia de los resultados del MEL. Total: 20.650 USD </w:t>
            </w:r>
          </w:p>
        </w:tc>
        <w:tc>
          <w:tcPr>
            <w:tcW w:w="308" w:type="pct"/>
            <w:tcBorders>
              <w:top w:val="nil"/>
              <w:left w:val="nil"/>
              <w:bottom w:val="single" w:sz="8" w:space="0" w:color="auto"/>
              <w:right w:val="single" w:sz="8" w:space="0" w:color="auto"/>
            </w:tcBorders>
            <w:noWrap/>
            <w:vAlign w:val="center"/>
            <w:hideMark/>
          </w:tcPr>
          <w:p w14:paraId="23DF645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C18FC1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58C488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1C6A5F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CDA404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BE2046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20,650 </w:t>
            </w:r>
          </w:p>
        </w:tc>
        <w:tc>
          <w:tcPr>
            <w:tcW w:w="308" w:type="pct"/>
            <w:tcBorders>
              <w:top w:val="nil"/>
              <w:left w:val="nil"/>
              <w:bottom w:val="single" w:sz="8" w:space="0" w:color="auto"/>
              <w:right w:val="single" w:sz="8" w:space="0" w:color="auto"/>
            </w:tcBorders>
            <w:noWrap/>
            <w:vAlign w:val="center"/>
            <w:hideMark/>
          </w:tcPr>
          <w:p w14:paraId="68CF6D8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8A9E83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20,650 </w:t>
            </w:r>
          </w:p>
        </w:tc>
        <w:tc>
          <w:tcPr>
            <w:tcW w:w="302" w:type="pct"/>
            <w:tcBorders>
              <w:top w:val="nil"/>
              <w:left w:val="nil"/>
              <w:bottom w:val="single" w:sz="8" w:space="0" w:color="auto"/>
              <w:right w:val="single" w:sz="8" w:space="0" w:color="auto"/>
            </w:tcBorders>
            <w:vAlign w:val="center"/>
            <w:hideMark/>
          </w:tcPr>
          <w:p w14:paraId="293FC408" w14:textId="30696867"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5B37E59F" w14:textId="77777777" w:rsidTr="00EE70E2">
        <w:trPr>
          <w:trHeight w:val="690"/>
        </w:trPr>
        <w:tc>
          <w:tcPr>
            <w:tcW w:w="390" w:type="pct"/>
            <w:tcBorders>
              <w:top w:val="nil"/>
              <w:left w:val="single" w:sz="8" w:space="0" w:color="auto"/>
              <w:bottom w:val="single" w:sz="8" w:space="0" w:color="auto"/>
              <w:right w:val="single" w:sz="8" w:space="0" w:color="auto"/>
            </w:tcBorders>
            <w:noWrap/>
            <w:vAlign w:val="center"/>
            <w:hideMark/>
          </w:tcPr>
          <w:p w14:paraId="33D71ED7" w14:textId="39DB1A93"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5EC6F88B"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Producción audiovisual e impresa – Materiales pedagógicos. Producción de 10 productos audiovisuales que documentan las experiencias comunitarias en agricultura sostenible, restauración y trazabilidad, con enfoque en género e interculturalidad (Resultado 2.2). Total: USD 41.108 </w:t>
            </w:r>
          </w:p>
        </w:tc>
        <w:tc>
          <w:tcPr>
            <w:tcW w:w="308" w:type="pct"/>
            <w:tcBorders>
              <w:top w:val="nil"/>
              <w:left w:val="nil"/>
              <w:bottom w:val="single" w:sz="8" w:space="0" w:color="auto"/>
              <w:right w:val="single" w:sz="8" w:space="0" w:color="auto"/>
            </w:tcBorders>
            <w:noWrap/>
            <w:vAlign w:val="center"/>
            <w:hideMark/>
          </w:tcPr>
          <w:p w14:paraId="1239CF8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EDC330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41,108 </w:t>
            </w:r>
          </w:p>
        </w:tc>
        <w:tc>
          <w:tcPr>
            <w:tcW w:w="308" w:type="pct"/>
            <w:tcBorders>
              <w:top w:val="nil"/>
              <w:left w:val="nil"/>
              <w:bottom w:val="single" w:sz="8" w:space="0" w:color="auto"/>
              <w:right w:val="single" w:sz="8" w:space="0" w:color="auto"/>
            </w:tcBorders>
            <w:noWrap/>
            <w:vAlign w:val="center"/>
            <w:hideMark/>
          </w:tcPr>
          <w:p w14:paraId="709DA4F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ACDD43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5534F5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41,108 </w:t>
            </w:r>
          </w:p>
        </w:tc>
        <w:tc>
          <w:tcPr>
            <w:tcW w:w="308" w:type="pct"/>
            <w:tcBorders>
              <w:top w:val="nil"/>
              <w:left w:val="nil"/>
              <w:bottom w:val="single" w:sz="8" w:space="0" w:color="auto"/>
              <w:right w:val="single" w:sz="8" w:space="0" w:color="auto"/>
            </w:tcBorders>
            <w:noWrap/>
            <w:vAlign w:val="center"/>
            <w:hideMark/>
          </w:tcPr>
          <w:p w14:paraId="1818C01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88CE3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FFFABF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41,108 </w:t>
            </w:r>
          </w:p>
        </w:tc>
        <w:tc>
          <w:tcPr>
            <w:tcW w:w="302" w:type="pct"/>
            <w:tcBorders>
              <w:top w:val="nil"/>
              <w:left w:val="nil"/>
              <w:bottom w:val="single" w:sz="8" w:space="0" w:color="auto"/>
              <w:right w:val="single" w:sz="8" w:space="0" w:color="auto"/>
            </w:tcBorders>
            <w:vAlign w:val="center"/>
            <w:hideMark/>
          </w:tcPr>
          <w:p w14:paraId="2E750B1B" w14:textId="115C7E12" w:rsidR="00C15440" w:rsidRPr="00A51E75" w:rsidRDefault="00C15440" w:rsidP="001F1A3A">
            <w:pPr>
              <w:ind w:left="-57" w:right="-57"/>
              <w:jc w:val="right"/>
              <w:rPr>
                <w:rFonts w:ascii="Calibri" w:hAnsi="Calibri" w:cs="Calibri"/>
                <w:color w:val="000000"/>
                <w:sz w:val="16"/>
                <w:szCs w:val="16"/>
              </w:rPr>
            </w:pPr>
            <w:r w:rsidRPr="00597461">
              <w:rPr>
                <w:rFonts w:ascii="Calibri" w:hAnsi="Calibri" w:cs="Calibri"/>
                <w:color w:val="000000"/>
                <w:sz w:val="16"/>
                <w:szCs w:val="16"/>
              </w:rPr>
              <w:t>PNUD</w:t>
            </w:r>
          </w:p>
        </w:tc>
      </w:tr>
      <w:tr w:rsidR="00C15440" w:rsidRPr="00A51E75" w14:paraId="0947B177" w14:textId="77777777" w:rsidTr="00EE70E2">
        <w:trPr>
          <w:trHeight w:val="690"/>
        </w:trPr>
        <w:tc>
          <w:tcPr>
            <w:tcW w:w="390" w:type="pct"/>
            <w:tcBorders>
              <w:top w:val="nil"/>
              <w:left w:val="single" w:sz="8" w:space="0" w:color="auto"/>
              <w:bottom w:val="single" w:sz="8" w:space="0" w:color="auto"/>
              <w:right w:val="single" w:sz="8" w:space="0" w:color="auto"/>
            </w:tcBorders>
            <w:noWrap/>
            <w:vAlign w:val="center"/>
            <w:hideMark/>
          </w:tcPr>
          <w:p w14:paraId="0A70E44D" w14:textId="399220FF"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27F301CA"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Producción audiovisual e impresa – Empresas sostenibles. Producción de 15 materiales de comunicación para promover empresas lideradas por mujeres, jóvenes e indígenas (Output 2.2.3). Total: USD 61.662 </w:t>
            </w:r>
          </w:p>
        </w:tc>
        <w:tc>
          <w:tcPr>
            <w:tcW w:w="308" w:type="pct"/>
            <w:tcBorders>
              <w:top w:val="nil"/>
              <w:left w:val="nil"/>
              <w:bottom w:val="single" w:sz="8" w:space="0" w:color="auto"/>
              <w:right w:val="single" w:sz="8" w:space="0" w:color="auto"/>
            </w:tcBorders>
            <w:noWrap/>
            <w:vAlign w:val="center"/>
            <w:hideMark/>
          </w:tcPr>
          <w:p w14:paraId="309875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3DFB40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809F07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61,662 </w:t>
            </w:r>
          </w:p>
        </w:tc>
        <w:tc>
          <w:tcPr>
            <w:tcW w:w="308" w:type="pct"/>
            <w:tcBorders>
              <w:top w:val="nil"/>
              <w:left w:val="nil"/>
              <w:bottom w:val="single" w:sz="8" w:space="0" w:color="auto"/>
              <w:right w:val="single" w:sz="8" w:space="0" w:color="auto"/>
            </w:tcBorders>
            <w:noWrap/>
            <w:vAlign w:val="center"/>
            <w:hideMark/>
          </w:tcPr>
          <w:p w14:paraId="505AFE7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DE0F10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61,662 </w:t>
            </w:r>
          </w:p>
        </w:tc>
        <w:tc>
          <w:tcPr>
            <w:tcW w:w="308" w:type="pct"/>
            <w:tcBorders>
              <w:top w:val="nil"/>
              <w:left w:val="nil"/>
              <w:bottom w:val="single" w:sz="8" w:space="0" w:color="auto"/>
              <w:right w:val="single" w:sz="8" w:space="0" w:color="auto"/>
            </w:tcBorders>
            <w:noWrap/>
            <w:vAlign w:val="center"/>
            <w:hideMark/>
          </w:tcPr>
          <w:p w14:paraId="498B4C3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FF6EBE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3EC52A0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61,662 </w:t>
            </w:r>
          </w:p>
        </w:tc>
        <w:tc>
          <w:tcPr>
            <w:tcW w:w="302" w:type="pct"/>
            <w:tcBorders>
              <w:top w:val="nil"/>
              <w:left w:val="nil"/>
              <w:bottom w:val="single" w:sz="8" w:space="0" w:color="auto"/>
              <w:right w:val="single" w:sz="8" w:space="0" w:color="auto"/>
            </w:tcBorders>
            <w:vAlign w:val="center"/>
            <w:hideMark/>
          </w:tcPr>
          <w:p w14:paraId="2CE9329E" w14:textId="4698FF4D"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C15440" w:rsidRPr="00A51E75" w14:paraId="3D46739A" w14:textId="77777777" w:rsidTr="00EE70E2">
        <w:trPr>
          <w:trHeight w:val="300"/>
        </w:trPr>
        <w:tc>
          <w:tcPr>
            <w:tcW w:w="390" w:type="pct"/>
            <w:tcBorders>
              <w:top w:val="nil"/>
              <w:left w:val="single" w:sz="8" w:space="0" w:color="auto"/>
              <w:bottom w:val="single" w:sz="8" w:space="0" w:color="auto"/>
              <w:right w:val="single" w:sz="8" w:space="0" w:color="auto"/>
            </w:tcBorders>
            <w:noWrap/>
            <w:vAlign w:val="center"/>
            <w:hideMark/>
          </w:tcPr>
          <w:p w14:paraId="1E6FE272" w14:textId="07559F43"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454EFC71" w14:textId="77777777" w:rsidR="00C15440" w:rsidRPr="00D830D9" w:rsidRDefault="00C15440" w:rsidP="001F1A3A">
            <w:pPr>
              <w:ind w:left="-57" w:right="-57"/>
              <w:rPr>
                <w:rFonts w:ascii="Calibri" w:hAnsi="Calibri" w:cs="Calibri"/>
                <w:color w:val="000000"/>
                <w:sz w:val="16"/>
                <w:szCs w:val="16"/>
                <w:lang w:val="es-EC"/>
              </w:rPr>
            </w:pPr>
            <w:r w:rsidRPr="00A51E75">
              <w:rPr>
                <w:rFonts w:ascii="Calibri" w:hAnsi="Calibri" w:cs="Calibri"/>
                <w:color w:val="000000"/>
                <w:sz w:val="16"/>
                <w:szCs w:val="16"/>
              </w:rPr>
              <w:t xml:space="preserve">Servicios profesionales – Auditorías. Total: USD 50.024 </w:t>
            </w:r>
          </w:p>
        </w:tc>
        <w:tc>
          <w:tcPr>
            <w:tcW w:w="308" w:type="pct"/>
            <w:tcBorders>
              <w:top w:val="nil"/>
              <w:left w:val="nil"/>
              <w:bottom w:val="single" w:sz="8" w:space="0" w:color="auto"/>
              <w:right w:val="single" w:sz="8" w:space="0" w:color="auto"/>
            </w:tcBorders>
            <w:noWrap/>
            <w:vAlign w:val="center"/>
            <w:hideMark/>
          </w:tcPr>
          <w:p w14:paraId="02374A6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1E2E129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88C9F32"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5C43EAA"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4A509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A6961C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7D86AE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50,024 </w:t>
            </w:r>
          </w:p>
        </w:tc>
        <w:tc>
          <w:tcPr>
            <w:tcW w:w="310" w:type="pct"/>
            <w:tcBorders>
              <w:top w:val="nil"/>
              <w:left w:val="nil"/>
              <w:bottom w:val="single" w:sz="8" w:space="0" w:color="auto"/>
              <w:right w:val="single" w:sz="8" w:space="0" w:color="auto"/>
            </w:tcBorders>
            <w:vAlign w:val="center"/>
            <w:hideMark/>
          </w:tcPr>
          <w:p w14:paraId="548908F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50,024 </w:t>
            </w:r>
          </w:p>
        </w:tc>
        <w:tc>
          <w:tcPr>
            <w:tcW w:w="302" w:type="pct"/>
            <w:tcBorders>
              <w:top w:val="nil"/>
              <w:left w:val="nil"/>
              <w:bottom w:val="single" w:sz="8" w:space="0" w:color="auto"/>
              <w:right w:val="single" w:sz="8" w:space="0" w:color="auto"/>
            </w:tcBorders>
            <w:vAlign w:val="center"/>
            <w:hideMark/>
          </w:tcPr>
          <w:p w14:paraId="2828B8CE" w14:textId="34A7508A"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C15440" w:rsidRPr="00A51E75" w14:paraId="2A06FB54"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52CDC0B2" w14:textId="6C83FECF"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3A666021"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Alquiler y mantenimiento – Instalaciones. Cubre el alquiler, la conectividad, el mobiliario y el mantenimiento básico de oficinas descentralizadas y nodos territoriales de formación para apoyar los procesos formativos y la gestión de proyectos. Total: USD 63.485 </w:t>
            </w:r>
          </w:p>
        </w:tc>
        <w:tc>
          <w:tcPr>
            <w:tcW w:w="308" w:type="pct"/>
            <w:tcBorders>
              <w:top w:val="nil"/>
              <w:left w:val="nil"/>
              <w:bottom w:val="single" w:sz="8" w:space="0" w:color="auto"/>
              <w:right w:val="single" w:sz="8" w:space="0" w:color="auto"/>
            </w:tcBorders>
            <w:noWrap/>
            <w:vAlign w:val="center"/>
            <w:hideMark/>
          </w:tcPr>
          <w:p w14:paraId="0482A84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37F9BC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187897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7B17D3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63,485 </w:t>
            </w:r>
          </w:p>
        </w:tc>
        <w:tc>
          <w:tcPr>
            <w:tcW w:w="308" w:type="pct"/>
            <w:tcBorders>
              <w:top w:val="nil"/>
              <w:left w:val="nil"/>
              <w:bottom w:val="single" w:sz="8" w:space="0" w:color="auto"/>
              <w:right w:val="single" w:sz="8" w:space="0" w:color="auto"/>
            </w:tcBorders>
            <w:noWrap/>
            <w:vAlign w:val="center"/>
            <w:hideMark/>
          </w:tcPr>
          <w:p w14:paraId="6F1D588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63,485 </w:t>
            </w:r>
          </w:p>
        </w:tc>
        <w:tc>
          <w:tcPr>
            <w:tcW w:w="308" w:type="pct"/>
            <w:tcBorders>
              <w:top w:val="nil"/>
              <w:left w:val="nil"/>
              <w:bottom w:val="single" w:sz="8" w:space="0" w:color="auto"/>
              <w:right w:val="single" w:sz="8" w:space="0" w:color="auto"/>
            </w:tcBorders>
            <w:noWrap/>
            <w:vAlign w:val="center"/>
            <w:hideMark/>
          </w:tcPr>
          <w:p w14:paraId="53D94F9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2D01286"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13638C6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63,485 </w:t>
            </w:r>
          </w:p>
        </w:tc>
        <w:tc>
          <w:tcPr>
            <w:tcW w:w="302" w:type="pct"/>
            <w:tcBorders>
              <w:top w:val="nil"/>
              <w:left w:val="nil"/>
              <w:bottom w:val="single" w:sz="8" w:space="0" w:color="auto"/>
              <w:right w:val="single" w:sz="8" w:space="0" w:color="auto"/>
            </w:tcBorders>
            <w:vAlign w:val="center"/>
            <w:hideMark/>
          </w:tcPr>
          <w:p w14:paraId="6D0D15B7" w14:textId="7A5CE537"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C15440" w:rsidRPr="00A51E75" w14:paraId="720A32F9"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68E48414" w14:textId="2B177F22"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21ABE6CF"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Suministros y Equipos – Restauración y Producción Sostenible. Adquisición de herramientas, insumos, semillas y materiales para implementar la restauración y la producción sostenible en comunidades priorizadas</w:t>
            </w:r>
            <w:proofErr w:type="gramStart"/>
            <w:r w:rsidRPr="00A51E75">
              <w:rPr>
                <w:rFonts w:ascii="Calibri" w:hAnsi="Calibri" w:cs="Calibri"/>
                <w:color w:val="000000"/>
                <w:sz w:val="16"/>
                <w:szCs w:val="16"/>
              </w:rPr>
              <w:t>. .</w:t>
            </w:r>
            <w:proofErr w:type="gramEnd"/>
            <w:r w:rsidRPr="00A51E75">
              <w:rPr>
                <w:rFonts w:ascii="Calibri" w:hAnsi="Calibri" w:cs="Calibri"/>
                <w:color w:val="000000"/>
                <w:sz w:val="16"/>
                <w:szCs w:val="16"/>
              </w:rPr>
              <w:t xml:space="preserve"> Total: 711.077 USD </w:t>
            </w:r>
          </w:p>
        </w:tc>
        <w:tc>
          <w:tcPr>
            <w:tcW w:w="308" w:type="pct"/>
            <w:tcBorders>
              <w:top w:val="nil"/>
              <w:left w:val="nil"/>
              <w:bottom w:val="single" w:sz="8" w:space="0" w:color="auto"/>
              <w:right w:val="single" w:sz="8" w:space="0" w:color="auto"/>
            </w:tcBorders>
            <w:noWrap/>
            <w:vAlign w:val="center"/>
            <w:hideMark/>
          </w:tcPr>
          <w:p w14:paraId="5AC24A1F"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AA2669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711,077 </w:t>
            </w:r>
          </w:p>
        </w:tc>
        <w:tc>
          <w:tcPr>
            <w:tcW w:w="308" w:type="pct"/>
            <w:tcBorders>
              <w:top w:val="nil"/>
              <w:left w:val="nil"/>
              <w:bottom w:val="single" w:sz="8" w:space="0" w:color="auto"/>
              <w:right w:val="single" w:sz="8" w:space="0" w:color="auto"/>
            </w:tcBorders>
            <w:noWrap/>
            <w:vAlign w:val="center"/>
            <w:hideMark/>
          </w:tcPr>
          <w:p w14:paraId="7345CAA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77D2E4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866500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711,077 </w:t>
            </w:r>
          </w:p>
        </w:tc>
        <w:tc>
          <w:tcPr>
            <w:tcW w:w="308" w:type="pct"/>
            <w:tcBorders>
              <w:top w:val="nil"/>
              <w:left w:val="nil"/>
              <w:bottom w:val="single" w:sz="8" w:space="0" w:color="auto"/>
              <w:right w:val="single" w:sz="8" w:space="0" w:color="auto"/>
            </w:tcBorders>
            <w:noWrap/>
            <w:vAlign w:val="center"/>
            <w:hideMark/>
          </w:tcPr>
          <w:p w14:paraId="081A349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060DA2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4E9ECF3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711,077 </w:t>
            </w:r>
          </w:p>
        </w:tc>
        <w:tc>
          <w:tcPr>
            <w:tcW w:w="302" w:type="pct"/>
            <w:tcBorders>
              <w:top w:val="nil"/>
              <w:left w:val="nil"/>
              <w:bottom w:val="single" w:sz="8" w:space="0" w:color="auto"/>
              <w:right w:val="single" w:sz="8" w:space="0" w:color="auto"/>
            </w:tcBorders>
            <w:vAlign w:val="center"/>
            <w:hideMark/>
          </w:tcPr>
          <w:p w14:paraId="3D7FFC98" w14:textId="1DA99CAF"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C15440" w:rsidRPr="00A51E75" w14:paraId="6A219DFD" w14:textId="77777777" w:rsidTr="00EE70E2">
        <w:trPr>
          <w:trHeight w:val="430"/>
        </w:trPr>
        <w:tc>
          <w:tcPr>
            <w:tcW w:w="390" w:type="pct"/>
            <w:tcBorders>
              <w:top w:val="nil"/>
              <w:left w:val="single" w:sz="8" w:space="0" w:color="auto"/>
              <w:bottom w:val="single" w:sz="8" w:space="0" w:color="auto"/>
              <w:right w:val="single" w:sz="8" w:space="0" w:color="auto"/>
            </w:tcBorders>
            <w:noWrap/>
            <w:vAlign w:val="center"/>
            <w:hideMark/>
          </w:tcPr>
          <w:p w14:paraId="0C527FE8" w14:textId="05C41821"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5401AE16" w14:textId="638FA0B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Suministros y materiales – Restauración y Supervisión Comunitaria. Adquisición de herramientas, materiales y suministros para la restauración ecológica, monitoreo participativo del agua y la biodiversidad, y bioempresas </w:t>
            </w:r>
            <w:r w:rsidR="00414574">
              <w:rPr>
                <w:rFonts w:ascii="Calibri" w:hAnsi="Calibri" w:cs="Calibri"/>
                <w:color w:val="000000"/>
                <w:sz w:val="16"/>
                <w:szCs w:val="16"/>
              </w:rPr>
              <w:t>PFNM</w:t>
            </w:r>
            <w:r w:rsidRPr="00A51E75">
              <w:rPr>
                <w:rFonts w:ascii="Calibri" w:hAnsi="Calibri" w:cs="Calibri"/>
                <w:color w:val="000000"/>
                <w:sz w:val="16"/>
                <w:szCs w:val="16"/>
              </w:rPr>
              <w:t>. Total: USD 42.107 (años 1–5).</w:t>
            </w:r>
          </w:p>
        </w:tc>
        <w:tc>
          <w:tcPr>
            <w:tcW w:w="308" w:type="pct"/>
            <w:tcBorders>
              <w:top w:val="nil"/>
              <w:left w:val="nil"/>
              <w:bottom w:val="single" w:sz="8" w:space="0" w:color="auto"/>
              <w:right w:val="single" w:sz="8" w:space="0" w:color="auto"/>
            </w:tcBorders>
            <w:noWrap/>
            <w:vAlign w:val="center"/>
            <w:hideMark/>
          </w:tcPr>
          <w:p w14:paraId="5F8074C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E0D00F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42,107 </w:t>
            </w:r>
          </w:p>
        </w:tc>
        <w:tc>
          <w:tcPr>
            <w:tcW w:w="308" w:type="pct"/>
            <w:tcBorders>
              <w:top w:val="nil"/>
              <w:left w:val="nil"/>
              <w:bottom w:val="single" w:sz="8" w:space="0" w:color="auto"/>
              <w:right w:val="single" w:sz="8" w:space="0" w:color="auto"/>
            </w:tcBorders>
            <w:noWrap/>
            <w:vAlign w:val="center"/>
            <w:hideMark/>
          </w:tcPr>
          <w:p w14:paraId="33EBA5B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240C24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396A2078"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42,107 </w:t>
            </w:r>
          </w:p>
        </w:tc>
        <w:tc>
          <w:tcPr>
            <w:tcW w:w="308" w:type="pct"/>
            <w:tcBorders>
              <w:top w:val="nil"/>
              <w:left w:val="nil"/>
              <w:bottom w:val="single" w:sz="8" w:space="0" w:color="auto"/>
              <w:right w:val="single" w:sz="8" w:space="0" w:color="auto"/>
            </w:tcBorders>
            <w:noWrap/>
            <w:vAlign w:val="center"/>
            <w:hideMark/>
          </w:tcPr>
          <w:p w14:paraId="376C6D0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55A0037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76B26045"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42,107 </w:t>
            </w:r>
          </w:p>
        </w:tc>
        <w:tc>
          <w:tcPr>
            <w:tcW w:w="302" w:type="pct"/>
            <w:tcBorders>
              <w:top w:val="nil"/>
              <w:left w:val="nil"/>
              <w:bottom w:val="single" w:sz="8" w:space="0" w:color="auto"/>
              <w:right w:val="single" w:sz="8" w:space="0" w:color="auto"/>
            </w:tcBorders>
            <w:vAlign w:val="center"/>
            <w:hideMark/>
          </w:tcPr>
          <w:p w14:paraId="3424280F" w14:textId="2747E76C"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C15440" w:rsidRPr="00A51E75" w14:paraId="3E0EB33B" w14:textId="77777777" w:rsidTr="00EE70E2">
        <w:trPr>
          <w:trHeight w:val="640"/>
        </w:trPr>
        <w:tc>
          <w:tcPr>
            <w:tcW w:w="390" w:type="pct"/>
            <w:tcBorders>
              <w:top w:val="nil"/>
              <w:left w:val="single" w:sz="8" w:space="0" w:color="auto"/>
              <w:bottom w:val="single" w:sz="8" w:space="0" w:color="auto"/>
              <w:right w:val="single" w:sz="8" w:space="0" w:color="auto"/>
            </w:tcBorders>
            <w:noWrap/>
            <w:vAlign w:val="center"/>
            <w:hideMark/>
          </w:tcPr>
          <w:p w14:paraId="26B6EB3F" w14:textId="432D55FB"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lastRenderedPageBreak/>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526B9EC9"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Alquiler y mantenimiento de otros equipos: Esta línea presupuestaria cubrirá el alquiler, mantenimiento y apoyo operativo de equipos técnicos clave utilizados en la monitorización ambiental, la restauración ecológica y la gestión participativa de recursos hídricos. Incluye tabletas, dispositivos GPS, estaciones portátiles de monitorización y kits de análisis de agua y suelo. Coste total: USD 29.186 </w:t>
            </w:r>
          </w:p>
        </w:tc>
        <w:tc>
          <w:tcPr>
            <w:tcW w:w="308" w:type="pct"/>
            <w:tcBorders>
              <w:top w:val="nil"/>
              <w:left w:val="nil"/>
              <w:bottom w:val="single" w:sz="8" w:space="0" w:color="auto"/>
              <w:right w:val="single" w:sz="8" w:space="0" w:color="auto"/>
            </w:tcBorders>
            <w:noWrap/>
            <w:vAlign w:val="center"/>
            <w:hideMark/>
          </w:tcPr>
          <w:p w14:paraId="05B7692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848BDE0"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29,186 </w:t>
            </w:r>
          </w:p>
        </w:tc>
        <w:tc>
          <w:tcPr>
            <w:tcW w:w="308" w:type="pct"/>
            <w:tcBorders>
              <w:top w:val="nil"/>
              <w:left w:val="nil"/>
              <w:bottom w:val="single" w:sz="8" w:space="0" w:color="auto"/>
              <w:right w:val="single" w:sz="8" w:space="0" w:color="auto"/>
            </w:tcBorders>
            <w:noWrap/>
            <w:vAlign w:val="center"/>
            <w:hideMark/>
          </w:tcPr>
          <w:p w14:paraId="49A91EA1"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7808E1AC"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7C685DD"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29,186 </w:t>
            </w:r>
          </w:p>
        </w:tc>
        <w:tc>
          <w:tcPr>
            <w:tcW w:w="308" w:type="pct"/>
            <w:tcBorders>
              <w:top w:val="nil"/>
              <w:left w:val="nil"/>
              <w:bottom w:val="single" w:sz="8" w:space="0" w:color="auto"/>
              <w:right w:val="single" w:sz="8" w:space="0" w:color="auto"/>
            </w:tcBorders>
            <w:noWrap/>
            <w:vAlign w:val="center"/>
            <w:hideMark/>
          </w:tcPr>
          <w:p w14:paraId="660A24DB"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E34E0E4"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3DA463EB" w14:textId="26548C08"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29,186 </w:t>
            </w:r>
          </w:p>
        </w:tc>
        <w:tc>
          <w:tcPr>
            <w:tcW w:w="302" w:type="pct"/>
            <w:tcBorders>
              <w:top w:val="nil"/>
              <w:left w:val="nil"/>
              <w:bottom w:val="single" w:sz="8" w:space="0" w:color="auto"/>
              <w:right w:val="single" w:sz="8" w:space="0" w:color="auto"/>
            </w:tcBorders>
            <w:vAlign w:val="center"/>
            <w:hideMark/>
          </w:tcPr>
          <w:p w14:paraId="669A0716" w14:textId="0484ED0B"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C15440" w:rsidRPr="00A51E75" w14:paraId="34192C69" w14:textId="77777777" w:rsidTr="00EE70E2">
        <w:trPr>
          <w:trHeight w:val="690"/>
        </w:trPr>
        <w:tc>
          <w:tcPr>
            <w:tcW w:w="390" w:type="pct"/>
            <w:tcBorders>
              <w:top w:val="nil"/>
              <w:left w:val="single" w:sz="8" w:space="0" w:color="auto"/>
              <w:bottom w:val="single" w:sz="8" w:space="0" w:color="auto"/>
              <w:right w:val="single" w:sz="8" w:space="0" w:color="auto"/>
            </w:tcBorders>
            <w:noWrap/>
            <w:vAlign w:val="center"/>
            <w:hideMark/>
          </w:tcPr>
          <w:p w14:paraId="54FEA8E9" w14:textId="1B9C4D66" w:rsidR="00C15440" w:rsidRPr="00A51E75" w:rsidRDefault="00C15440" w:rsidP="001F1A3A">
            <w:pPr>
              <w:ind w:left="-113" w:right="-57"/>
              <w:rPr>
                <w:rFonts w:ascii="Calibri" w:hAnsi="Calibri" w:cs="Calibri"/>
                <w:color w:val="000000"/>
                <w:sz w:val="16"/>
                <w:szCs w:val="16"/>
              </w:rPr>
            </w:pPr>
            <w:r w:rsidRPr="00A51E75">
              <w:rPr>
                <w:rFonts w:ascii="Calibri" w:hAnsi="Calibri" w:cs="Calibri"/>
                <w:color w:val="000000"/>
                <w:sz w:val="16"/>
                <w:szCs w:val="16"/>
              </w:rPr>
              <w:t xml:space="preserve">Otros </w:t>
            </w:r>
            <w:r w:rsidR="00AF6ED3">
              <w:rPr>
                <w:rFonts w:ascii="Calibri" w:hAnsi="Calibri" w:cs="Calibri"/>
                <w:color w:val="000000"/>
                <w:sz w:val="16"/>
                <w:szCs w:val="16"/>
              </w:rPr>
              <w:t>costos</w:t>
            </w:r>
            <w:r w:rsidRPr="00A51E75">
              <w:rPr>
                <w:rFonts w:ascii="Calibri" w:hAnsi="Calibri" w:cs="Calibri"/>
                <w:color w:val="000000"/>
                <w:sz w:val="16"/>
                <w:szCs w:val="16"/>
              </w:rPr>
              <w:t xml:space="preserve"> operativos</w:t>
            </w:r>
          </w:p>
        </w:tc>
        <w:tc>
          <w:tcPr>
            <w:tcW w:w="1842" w:type="pct"/>
            <w:tcBorders>
              <w:top w:val="nil"/>
              <w:left w:val="nil"/>
              <w:bottom w:val="single" w:sz="8" w:space="0" w:color="auto"/>
              <w:right w:val="single" w:sz="8" w:space="0" w:color="auto"/>
            </w:tcBorders>
            <w:vAlign w:val="center"/>
            <w:hideMark/>
          </w:tcPr>
          <w:p w14:paraId="48A2E19D" w14:textId="77777777" w:rsidR="00C15440" w:rsidRPr="00A51E75" w:rsidRDefault="00C15440" w:rsidP="001F1A3A">
            <w:pPr>
              <w:ind w:left="-57" w:right="-57"/>
              <w:rPr>
                <w:rFonts w:ascii="Calibri" w:hAnsi="Calibri" w:cs="Calibri"/>
                <w:color w:val="000000"/>
                <w:sz w:val="16"/>
                <w:szCs w:val="16"/>
              </w:rPr>
            </w:pPr>
            <w:r w:rsidRPr="00A51E75">
              <w:rPr>
                <w:rFonts w:ascii="Calibri" w:hAnsi="Calibri" w:cs="Calibri"/>
                <w:color w:val="000000"/>
                <w:sz w:val="16"/>
                <w:szCs w:val="16"/>
              </w:rPr>
              <w:t xml:space="preserve">Alquiler, mantenimiento y operación de vehículos: Esta línea presupuestaria también incluye el mantenimiento preventivo y correctivo de los dos vehículos 4x4 asignados al proyecto, incluyendo seguros, repuestos, combustible y gastos operativos relacionados. Coste total: USD 19.458 </w:t>
            </w:r>
          </w:p>
        </w:tc>
        <w:tc>
          <w:tcPr>
            <w:tcW w:w="308" w:type="pct"/>
            <w:tcBorders>
              <w:top w:val="nil"/>
              <w:left w:val="nil"/>
              <w:bottom w:val="single" w:sz="8" w:space="0" w:color="auto"/>
              <w:right w:val="single" w:sz="8" w:space="0" w:color="auto"/>
            </w:tcBorders>
            <w:noWrap/>
            <w:vAlign w:val="center"/>
            <w:hideMark/>
          </w:tcPr>
          <w:p w14:paraId="2BB61E40" w14:textId="6C129E55"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04B34B67"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19,458 </w:t>
            </w:r>
          </w:p>
        </w:tc>
        <w:tc>
          <w:tcPr>
            <w:tcW w:w="308" w:type="pct"/>
            <w:tcBorders>
              <w:top w:val="nil"/>
              <w:left w:val="nil"/>
              <w:bottom w:val="single" w:sz="8" w:space="0" w:color="auto"/>
              <w:right w:val="single" w:sz="8" w:space="0" w:color="auto"/>
            </w:tcBorders>
            <w:noWrap/>
            <w:vAlign w:val="center"/>
            <w:hideMark/>
          </w:tcPr>
          <w:p w14:paraId="6D607333"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283061F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632C077E"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19,458 </w:t>
            </w:r>
          </w:p>
        </w:tc>
        <w:tc>
          <w:tcPr>
            <w:tcW w:w="308" w:type="pct"/>
            <w:tcBorders>
              <w:top w:val="nil"/>
              <w:left w:val="nil"/>
              <w:bottom w:val="single" w:sz="8" w:space="0" w:color="auto"/>
              <w:right w:val="single" w:sz="8" w:space="0" w:color="auto"/>
            </w:tcBorders>
            <w:noWrap/>
            <w:vAlign w:val="center"/>
            <w:hideMark/>
          </w:tcPr>
          <w:p w14:paraId="2B284BC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08" w:type="pct"/>
            <w:tcBorders>
              <w:top w:val="nil"/>
              <w:left w:val="nil"/>
              <w:bottom w:val="single" w:sz="8" w:space="0" w:color="auto"/>
              <w:right w:val="single" w:sz="8" w:space="0" w:color="auto"/>
            </w:tcBorders>
            <w:noWrap/>
            <w:vAlign w:val="center"/>
            <w:hideMark/>
          </w:tcPr>
          <w:p w14:paraId="43F01DC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   </w:t>
            </w:r>
          </w:p>
        </w:tc>
        <w:tc>
          <w:tcPr>
            <w:tcW w:w="310" w:type="pct"/>
            <w:tcBorders>
              <w:top w:val="nil"/>
              <w:left w:val="nil"/>
              <w:bottom w:val="single" w:sz="8" w:space="0" w:color="auto"/>
              <w:right w:val="single" w:sz="8" w:space="0" w:color="auto"/>
            </w:tcBorders>
            <w:vAlign w:val="center"/>
            <w:hideMark/>
          </w:tcPr>
          <w:p w14:paraId="6DB37199" w14:textId="77777777" w:rsidR="00C15440" w:rsidRPr="00A51E75" w:rsidRDefault="00C15440" w:rsidP="001F1A3A">
            <w:pPr>
              <w:ind w:left="-57" w:right="-57"/>
              <w:contextualSpacing/>
              <w:jc w:val="right"/>
              <w:rPr>
                <w:rFonts w:ascii="Calibri" w:hAnsi="Calibri" w:cs="Calibri"/>
                <w:color w:val="000000"/>
                <w:sz w:val="16"/>
                <w:szCs w:val="16"/>
              </w:rPr>
            </w:pPr>
            <w:r w:rsidRPr="00A51E75">
              <w:rPr>
                <w:rFonts w:ascii="Calibri" w:hAnsi="Calibri" w:cs="Calibri"/>
                <w:color w:val="000000"/>
                <w:sz w:val="16"/>
                <w:szCs w:val="16"/>
              </w:rPr>
              <w:t xml:space="preserve">              19,458 </w:t>
            </w:r>
          </w:p>
        </w:tc>
        <w:tc>
          <w:tcPr>
            <w:tcW w:w="302" w:type="pct"/>
            <w:tcBorders>
              <w:top w:val="nil"/>
              <w:left w:val="nil"/>
              <w:bottom w:val="single" w:sz="8" w:space="0" w:color="auto"/>
              <w:right w:val="single" w:sz="8" w:space="0" w:color="auto"/>
            </w:tcBorders>
            <w:vAlign w:val="center"/>
            <w:hideMark/>
          </w:tcPr>
          <w:p w14:paraId="1819E2A9" w14:textId="1227860A" w:rsidR="00C15440" w:rsidRPr="00A51E75" w:rsidRDefault="00C15440" w:rsidP="001F1A3A">
            <w:pPr>
              <w:ind w:left="-57" w:right="-57"/>
              <w:jc w:val="right"/>
              <w:rPr>
                <w:rFonts w:ascii="Calibri" w:hAnsi="Calibri" w:cs="Calibri"/>
                <w:color w:val="000000"/>
                <w:sz w:val="16"/>
                <w:szCs w:val="16"/>
              </w:rPr>
            </w:pPr>
            <w:r w:rsidRPr="008E32F6">
              <w:rPr>
                <w:rFonts w:ascii="Calibri" w:hAnsi="Calibri" w:cs="Calibri"/>
                <w:color w:val="000000"/>
                <w:sz w:val="16"/>
                <w:szCs w:val="16"/>
              </w:rPr>
              <w:t>PNUD</w:t>
            </w:r>
          </w:p>
        </w:tc>
      </w:tr>
      <w:tr w:rsidR="00742811" w:rsidRPr="00EE70E2" w14:paraId="24C116B2" w14:textId="77777777" w:rsidTr="00EE70E2">
        <w:trPr>
          <w:trHeight w:val="300"/>
        </w:trPr>
        <w:tc>
          <w:tcPr>
            <w:tcW w:w="390" w:type="pct"/>
            <w:tcBorders>
              <w:top w:val="nil"/>
              <w:left w:val="single" w:sz="8" w:space="0" w:color="auto"/>
              <w:bottom w:val="single" w:sz="8" w:space="0" w:color="auto"/>
              <w:right w:val="single" w:sz="8" w:space="0" w:color="auto"/>
            </w:tcBorders>
            <w:shd w:val="clear" w:color="000000" w:fill="D9E1F2"/>
            <w:noWrap/>
            <w:vAlign w:val="center"/>
            <w:hideMark/>
          </w:tcPr>
          <w:p w14:paraId="44C988C4" w14:textId="77777777" w:rsidR="00EE4B8D" w:rsidRPr="00EE70E2" w:rsidRDefault="00EE4B8D" w:rsidP="0047295E">
            <w:pPr>
              <w:ind w:left="-113" w:right="-57"/>
              <w:rPr>
                <w:rFonts w:ascii="Calibri" w:hAnsi="Calibri" w:cs="Calibri"/>
                <w:b/>
                <w:bCs/>
                <w:color w:val="000000"/>
                <w:sz w:val="16"/>
                <w:szCs w:val="16"/>
              </w:rPr>
            </w:pPr>
            <w:proofErr w:type="gramStart"/>
            <w:r w:rsidRPr="00EE70E2">
              <w:rPr>
                <w:rFonts w:ascii="Calibri" w:hAnsi="Calibri" w:cs="Calibri"/>
                <w:b/>
                <w:bCs/>
                <w:color w:val="000000"/>
                <w:sz w:val="16"/>
                <w:szCs w:val="16"/>
              </w:rPr>
              <w:t>Total</w:t>
            </w:r>
            <w:proofErr w:type="gramEnd"/>
            <w:r w:rsidRPr="00EE70E2">
              <w:rPr>
                <w:rFonts w:ascii="Calibri" w:hAnsi="Calibri" w:cs="Calibri"/>
                <w:b/>
                <w:bCs/>
                <w:color w:val="000000"/>
                <w:sz w:val="16"/>
                <w:szCs w:val="16"/>
              </w:rPr>
              <w:t xml:space="preserve"> general</w:t>
            </w:r>
          </w:p>
        </w:tc>
        <w:tc>
          <w:tcPr>
            <w:tcW w:w="1842" w:type="pct"/>
            <w:tcBorders>
              <w:top w:val="nil"/>
              <w:left w:val="nil"/>
              <w:bottom w:val="single" w:sz="8" w:space="0" w:color="auto"/>
              <w:right w:val="single" w:sz="8" w:space="0" w:color="auto"/>
            </w:tcBorders>
            <w:shd w:val="clear" w:color="000000" w:fill="D9E1F2"/>
            <w:noWrap/>
            <w:vAlign w:val="center"/>
            <w:hideMark/>
          </w:tcPr>
          <w:p w14:paraId="0290B221" w14:textId="77777777" w:rsidR="00EE4B8D" w:rsidRPr="00EE70E2" w:rsidRDefault="00EE4B8D" w:rsidP="0047295E">
            <w:pPr>
              <w:ind w:left="-57" w:right="-57"/>
              <w:rPr>
                <w:rFonts w:ascii="Calibri" w:hAnsi="Calibri" w:cs="Calibri"/>
                <w:b/>
                <w:bCs/>
                <w:color w:val="000000"/>
                <w:sz w:val="16"/>
                <w:szCs w:val="16"/>
              </w:rPr>
            </w:pPr>
            <w:r w:rsidRPr="00EE70E2">
              <w:rPr>
                <w:rFonts w:ascii="Calibri" w:hAnsi="Calibri" w:cs="Calibri"/>
                <w:b/>
                <w:bCs/>
                <w:color w:val="000000"/>
                <w:sz w:val="16"/>
                <w:szCs w:val="16"/>
              </w:rPr>
              <w:t> </w:t>
            </w:r>
          </w:p>
        </w:tc>
        <w:tc>
          <w:tcPr>
            <w:tcW w:w="308" w:type="pct"/>
            <w:tcBorders>
              <w:top w:val="nil"/>
              <w:left w:val="nil"/>
              <w:bottom w:val="single" w:sz="8" w:space="0" w:color="auto"/>
              <w:right w:val="single" w:sz="8" w:space="0" w:color="auto"/>
            </w:tcBorders>
            <w:shd w:val="clear" w:color="000000" w:fill="D9E1F2"/>
            <w:noWrap/>
            <w:vAlign w:val="center"/>
            <w:hideMark/>
          </w:tcPr>
          <w:p w14:paraId="040E5730"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789,570 </w:t>
            </w:r>
          </w:p>
        </w:tc>
        <w:tc>
          <w:tcPr>
            <w:tcW w:w="308" w:type="pct"/>
            <w:tcBorders>
              <w:top w:val="nil"/>
              <w:left w:val="nil"/>
              <w:bottom w:val="single" w:sz="8" w:space="0" w:color="auto"/>
              <w:right w:val="single" w:sz="8" w:space="0" w:color="auto"/>
            </w:tcBorders>
            <w:shd w:val="clear" w:color="000000" w:fill="D9E1F2"/>
            <w:noWrap/>
            <w:vAlign w:val="center"/>
            <w:hideMark/>
          </w:tcPr>
          <w:p w14:paraId="35336C96"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5,113,891 </w:t>
            </w:r>
          </w:p>
        </w:tc>
        <w:tc>
          <w:tcPr>
            <w:tcW w:w="308" w:type="pct"/>
            <w:tcBorders>
              <w:top w:val="nil"/>
              <w:left w:val="nil"/>
              <w:bottom w:val="single" w:sz="8" w:space="0" w:color="auto"/>
              <w:right w:val="single" w:sz="8" w:space="0" w:color="auto"/>
            </w:tcBorders>
            <w:shd w:val="clear" w:color="000000" w:fill="D9E1F2"/>
            <w:noWrap/>
            <w:vAlign w:val="center"/>
            <w:hideMark/>
          </w:tcPr>
          <w:p w14:paraId="10D97E0B"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1,044,320 </w:t>
            </w:r>
          </w:p>
        </w:tc>
        <w:tc>
          <w:tcPr>
            <w:tcW w:w="308" w:type="pct"/>
            <w:tcBorders>
              <w:top w:val="nil"/>
              <w:left w:val="nil"/>
              <w:bottom w:val="single" w:sz="8" w:space="0" w:color="auto"/>
              <w:right w:val="single" w:sz="8" w:space="0" w:color="auto"/>
            </w:tcBorders>
            <w:shd w:val="clear" w:color="000000" w:fill="D9E1F2"/>
            <w:noWrap/>
            <w:vAlign w:val="center"/>
            <w:hideMark/>
          </w:tcPr>
          <w:p w14:paraId="02C52223"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1,341,462 </w:t>
            </w:r>
          </w:p>
        </w:tc>
        <w:tc>
          <w:tcPr>
            <w:tcW w:w="308" w:type="pct"/>
            <w:tcBorders>
              <w:top w:val="nil"/>
              <w:left w:val="nil"/>
              <w:bottom w:val="single" w:sz="8" w:space="0" w:color="auto"/>
              <w:right w:val="single" w:sz="8" w:space="0" w:color="auto"/>
            </w:tcBorders>
            <w:shd w:val="clear" w:color="000000" w:fill="D9E1F2"/>
            <w:noWrap/>
            <w:vAlign w:val="center"/>
            <w:hideMark/>
          </w:tcPr>
          <w:p w14:paraId="5FBB4209"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8,289,243 </w:t>
            </w:r>
          </w:p>
        </w:tc>
        <w:tc>
          <w:tcPr>
            <w:tcW w:w="308" w:type="pct"/>
            <w:tcBorders>
              <w:top w:val="nil"/>
              <w:left w:val="nil"/>
              <w:bottom w:val="single" w:sz="8" w:space="0" w:color="auto"/>
              <w:right w:val="single" w:sz="8" w:space="0" w:color="auto"/>
            </w:tcBorders>
            <w:shd w:val="clear" w:color="000000" w:fill="D9E1F2"/>
            <w:noWrap/>
            <w:vAlign w:val="center"/>
            <w:hideMark/>
          </w:tcPr>
          <w:p w14:paraId="2DE14700"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269,473 </w:t>
            </w:r>
          </w:p>
        </w:tc>
        <w:tc>
          <w:tcPr>
            <w:tcW w:w="308" w:type="pct"/>
            <w:tcBorders>
              <w:top w:val="nil"/>
              <w:left w:val="nil"/>
              <w:bottom w:val="single" w:sz="8" w:space="0" w:color="auto"/>
              <w:right w:val="single" w:sz="8" w:space="0" w:color="auto"/>
            </w:tcBorders>
            <w:shd w:val="clear" w:color="000000" w:fill="D9E1F2"/>
            <w:noWrap/>
            <w:vAlign w:val="center"/>
            <w:hideMark/>
          </w:tcPr>
          <w:p w14:paraId="366D9721"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423,704 </w:t>
            </w:r>
          </w:p>
        </w:tc>
        <w:tc>
          <w:tcPr>
            <w:tcW w:w="310" w:type="pct"/>
            <w:tcBorders>
              <w:top w:val="nil"/>
              <w:left w:val="nil"/>
              <w:bottom w:val="single" w:sz="8" w:space="0" w:color="auto"/>
              <w:right w:val="single" w:sz="8" w:space="0" w:color="auto"/>
            </w:tcBorders>
            <w:shd w:val="clear" w:color="000000" w:fill="D9E1F2"/>
            <w:noWrap/>
            <w:vAlign w:val="center"/>
            <w:hideMark/>
          </w:tcPr>
          <w:p w14:paraId="254B9572" w14:textId="77777777" w:rsidR="00EE4B8D" w:rsidRPr="00EE70E2" w:rsidRDefault="00EE4B8D" w:rsidP="00342906">
            <w:pPr>
              <w:ind w:left="-57" w:right="-57"/>
              <w:contextualSpacing/>
              <w:jc w:val="right"/>
              <w:rPr>
                <w:rFonts w:ascii="Calibri" w:hAnsi="Calibri" w:cs="Calibri"/>
                <w:b/>
                <w:bCs/>
                <w:color w:val="000000"/>
                <w:sz w:val="16"/>
                <w:szCs w:val="16"/>
              </w:rPr>
            </w:pPr>
            <w:r w:rsidRPr="00EE70E2">
              <w:rPr>
                <w:rFonts w:ascii="Calibri" w:hAnsi="Calibri" w:cs="Calibri"/>
                <w:b/>
                <w:bCs/>
                <w:color w:val="000000"/>
                <w:sz w:val="16"/>
                <w:szCs w:val="16"/>
              </w:rPr>
              <w:t xml:space="preserve">         8,982,420 </w:t>
            </w:r>
          </w:p>
        </w:tc>
        <w:tc>
          <w:tcPr>
            <w:tcW w:w="302" w:type="pct"/>
            <w:tcBorders>
              <w:top w:val="nil"/>
              <w:left w:val="nil"/>
              <w:bottom w:val="single" w:sz="8" w:space="0" w:color="auto"/>
              <w:right w:val="single" w:sz="8" w:space="0" w:color="auto"/>
            </w:tcBorders>
            <w:shd w:val="clear" w:color="000000" w:fill="D9E1F2"/>
            <w:noWrap/>
            <w:vAlign w:val="center"/>
            <w:hideMark/>
          </w:tcPr>
          <w:p w14:paraId="5FB102B1" w14:textId="5F80F663" w:rsidR="00EE4B8D" w:rsidRPr="00EE70E2" w:rsidRDefault="00EE4B8D" w:rsidP="00342906">
            <w:pPr>
              <w:ind w:left="-57" w:right="-57"/>
              <w:jc w:val="right"/>
              <w:rPr>
                <w:rFonts w:ascii="Calibri" w:hAnsi="Calibri" w:cs="Calibri"/>
                <w:b/>
                <w:bCs/>
                <w:color w:val="000000"/>
                <w:sz w:val="16"/>
                <w:szCs w:val="16"/>
              </w:rPr>
            </w:pPr>
          </w:p>
        </w:tc>
      </w:tr>
    </w:tbl>
    <w:p w14:paraId="45BCF19C" w14:textId="77777777" w:rsidR="006B209D" w:rsidRPr="00A51E75" w:rsidRDefault="006B209D" w:rsidP="008B6F84">
      <w:pPr>
        <w:keepNext/>
        <w:spacing w:after="60"/>
        <w:jc w:val="both"/>
        <w:outlineLvl w:val="1"/>
        <w:rPr>
          <w:rFonts w:asciiTheme="minorHAnsi" w:eastAsia="SimSun" w:hAnsiTheme="minorHAnsi" w:cstheme="minorHAnsi"/>
          <w:b/>
          <w:bCs/>
          <w:sz w:val="20"/>
          <w:lang w:val="en-US"/>
        </w:rPr>
      </w:pPr>
    </w:p>
    <w:p w14:paraId="2DAB9EDE" w14:textId="794AA19B" w:rsidR="008B6F84" w:rsidRPr="00D830D9" w:rsidRDefault="006B209D" w:rsidP="008B6F84">
      <w:pPr>
        <w:keepNext/>
        <w:spacing w:after="60"/>
        <w:jc w:val="both"/>
        <w:outlineLvl w:val="1"/>
        <w:rPr>
          <w:rFonts w:asciiTheme="minorHAnsi" w:eastAsia="SimSun" w:hAnsiTheme="minorHAnsi" w:cstheme="minorHAnsi"/>
          <w:sz w:val="18"/>
          <w:szCs w:val="18"/>
          <w:lang w:val="es-EC"/>
        </w:rPr>
      </w:pPr>
      <w:r w:rsidRPr="00A51E75">
        <w:rPr>
          <w:rFonts w:asciiTheme="minorHAnsi" w:eastAsia="SimSun" w:hAnsiTheme="minorHAnsi" w:cstheme="minorHAnsi"/>
          <w:sz w:val="18"/>
          <w:szCs w:val="18"/>
        </w:rPr>
        <w:t xml:space="preserve">  </w:t>
      </w:r>
      <w:bookmarkStart w:id="65" w:name="_Toc221696305"/>
      <w:r w:rsidRPr="00A51E75">
        <w:rPr>
          <w:rFonts w:asciiTheme="minorHAnsi" w:eastAsia="SimSun" w:hAnsiTheme="minorHAnsi" w:cstheme="minorHAnsi"/>
          <w:sz w:val="18"/>
          <w:szCs w:val="18"/>
          <w:vertAlign w:val="superscript"/>
        </w:rPr>
        <w:t>20</w:t>
      </w:r>
      <w:r w:rsidRPr="00A51E75">
        <w:rPr>
          <w:rFonts w:asciiTheme="minorHAnsi" w:eastAsia="SimSun" w:hAnsiTheme="minorHAnsi" w:cstheme="minorHAnsi"/>
          <w:sz w:val="18"/>
          <w:szCs w:val="18"/>
        </w:rPr>
        <w:t xml:space="preserve"> PNUD proporcionará apoyo a la ejecución al </w:t>
      </w:r>
      <w:r w:rsidR="00EE70E2">
        <w:rPr>
          <w:rFonts w:asciiTheme="minorHAnsi" w:eastAsia="SimSun" w:hAnsiTheme="minorHAnsi" w:cstheme="minorHAnsi"/>
          <w:sz w:val="18"/>
          <w:szCs w:val="18"/>
        </w:rPr>
        <w:t>IP</w:t>
      </w:r>
      <w:r w:rsidRPr="00A51E75">
        <w:rPr>
          <w:rFonts w:asciiTheme="minorHAnsi" w:eastAsia="SimSun" w:hAnsiTheme="minorHAnsi" w:cstheme="minorHAnsi"/>
          <w:sz w:val="18"/>
          <w:szCs w:val="18"/>
        </w:rPr>
        <w:t xml:space="preserve"> (</w:t>
      </w:r>
      <w:r w:rsidR="009E221F">
        <w:rPr>
          <w:rFonts w:asciiTheme="minorHAnsi" w:eastAsia="SimSun" w:hAnsiTheme="minorHAnsi" w:cstheme="minorHAnsi"/>
          <w:sz w:val="18"/>
          <w:szCs w:val="18"/>
        </w:rPr>
        <w:t>MAE</w:t>
      </w:r>
      <w:r w:rsidRPr="00A51E75">
        <w:rPr>
          <w:rFonts w:asciiTheme="minorHAnsi" w:eastAsia="SimSun" w:hAnsiTheme="minorHAnsi" w:cstheme="minorHAnsi"/>
          <w:sz w:val="18"/>
          <w:szCs w:val="18"/>
        </w:rPr>
        <w:t xml:space="preserve">) para estas actividades, tal como lo solicite el Punto Focal Operativo del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en Ecuador. El PNUD utilizará sus propias normas y directrices operativas para estas actividades. El Socio Implementador mantendrá la responsabilidad y rendición de cuentas última por el uso de los recursos del </w:t>
      </w:r>
      <w:r w:rsidR="0078696E">
        <w:rPr>
          <w:rFonts w:asciiTheme="minorHAnsi" w:eastAsia="SimSun" w:hAnsiTheme="minorHAnsi" w:cstheme="minorHAnsi"/>
          <w:sz w:val="18"/>
          <w:szCs w:val="18"/>
        </w:rPr>
        <w:t>FMAM</w:t>
      </w:r>
      <w:r w:rsidRPr="00A51E75">
        <w:rPr>
          <w:rFonts w:asciiTheme="minorHAnsi" w:eastAsia="SimSun" w:hAnsiTheme="minorHAnsi" w:cstheme="minorHAnsi"/>
          <w:sz w:val="18"/>
          <w:szCs w:val="18"/>
        </w:rPr>
        <w:t xml:space="preserve"> y el logro exitoso de los resultados del proyecto, en consonancia con los planes de trabajo anuales aprobados.</w:t>
      </w:r>
      <w:bookmarkEnd w:id="65"/>
      <w:r w:rsidR="00211737" w:rsidRPr="00A51E75">
        <w:rPr>
          <w:rFonts w:asciiTheme="minorHAnsi" w:eastAsia="SimSun" w:hAnsiTheme="minorHAnsi" w:cstheme="minorHAnsi"/>
          <w:sz w:val="18"/>
          <w:szCs w:val="18"/>
        </w:rPr>
        <w:br w:type="page"/>
      </w:r>
    </w:p>
    <w:p w14:paraId="29FA671F" w14:textId="1FDDD923" w:rsidR="000122A2" w:rsidRPr="00FD148F" w:rsidRDefault="00211737" w:rsidP="008B6F84">
      <w:pPr>
        <w:keepNext/>
        <w:spacing w:after="60"/>
        <w:jc w:val="both"/>
        <w:outlineLvl w:val="1"/>
        <w:rPr>
          <w:rFonts w:ascii="Calibri" w:eastAsia="SimSun" w:hAnsi="Calibri" w:cs="Calibri"/>
          <w:b/>
          <w:bCs/>
          <w:sz w:val="20"/>
          <w:szCs w:val="20"/>
        </w:rPr>
      </w:pPr>
      <w:bookmarkStart w:id="66" w:name="_Toc221696306"/>
      <w:r w:rsidRPr="00FD148F">
        <w:rPr>
          <w:rFonts w:ascii="Calibri" w:eastAsia="SimSun" w:hAnsi="Calibri" w:cs="Calibri"/>
          <w:b/>
          <w:bCs/>
          <w:sz w:val="20"/>
          <w:szCs w:val="20"/>
        </w:rPr>
        <w:lastRenderedPageBreak/>
        <w:t xml:space="preserve">Anexo 2: Carta de apoyo a la ejecución del </w:t>
      </w:r>
      <w:r w:rsidR="0078696E" w:rsidRPr="00FD148F">
        <w:rPr>
          <w:rFonts w:ascii="Calibri" w:eastAsia="SimSun" w:hAnsi="Calibri" w:cs="Calibri"/>
          <w:b/>
          <w:bCs/>
          <w:sz w:val="20"/>
          <w:szCs w:val="20"/>
        </w:rPr>
        <w:t>FMAM</w:t>
      </w:r>
      <w:bookmarkEnd w:id="66"/>
      <w:r w:rsidRPr="00FD148F">
        <w:rPr>
          <w:rFonts w:ascii="Calibri" w:eastAsia="SimSun" w:hAnsi="Calibri" w:cs="Calibri"/>
          <w:b/>
          <w:bCs/>
          <w:sz w:val="20"/>
          <w:szCs w:val="20"/>
        </w:rPr>
        <w:t xml:space="preserve"> </w:t>
      </w:r>
    </w:p>
    <w:p w14:paraId="2C1AEA01" w14:textId="77777777" w:rsidR="00A97EB9" w:rsidRPr="00A51E75" w:rsidRDefault="00A97EB9" w:rsidP="00A97EB9">
      <w:pPr>
        <w:keepNext/>
        <w:spacing w:after="60"/>
        <w:jc w:val="both"/>
        <w:outlineLvl w:val="1"/>
        <w:rPr>
          <w:rFonts w:ascii="Calibri" w:eastAsia="SimSun" w:hAnsi="Calibri"/>
          <w:b/>
          <w:bCs/>
          <w:sz w:val="20"/>
        </w:rPr>
      </w:pPr>
    </w:p>
    <w:p w14:paraId="6DB2301C" w14:textId="760C31EE" w:rsidR="00A97EB9" w:rsidRPr="00A51E75" w:rsidRDefault="000A15E7" w:rsidP="00A33214">
      <w:pPr>
        <w:keepNext/>
        <w:spacing w:after="60"/>
        <w:jc w:val="center"/>
        <w:outlineLvl w:val="1"/>
        <w:rPr>
          <w:rFonts w:ascii="Calibri" w:eastAsia="SimSun" w:hAnsi="Calibri"/>
          <w:b/>
          <w:bCs/>
          <w:sz w:val="20"/>
        </w:rPr>
      </w:pPr>
      <w:bookmarkStart w:id="67" w:name="_Toc221696307"/>
      <w:r w:rsidRPr="00A51E75">
        <w:rPr>
          <w:rFonts w:ascii="Calibri" w:eastAsia="SimSun" w:hAnsi="Calibri"/>
          <w:b/>
          <w:bCs/>
          <w:noProof/>
          <w:sz w:val="20"/>
        </w:rPr>
        <w:drawing>
          <wp:inline distT="0" distB="0" distL="0" distR="0" wp14:anchorId="4CE4726B" wp14:editId="2655B626">
            <wp:extent cx="5458102" cy="7321550"/>
            <wp:effectExtent l="0" t="0" r="9525" b="0"/>
            <wp:docPr id="21111509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50957" name=""/>
                    <pic:cNvPicPr/>
                  </pic:nvPicPr>
                  <pic:blipFill>
                    <a:blip r:embed="rId31"/>
                    <a:stretch>
                      <a:fillRect/>
                    </a:stretch>
                  </pic:blipFill>
                  <pic:spPr>
                    <a:xfrm>
                      <a:off x="0" y="0"/>
                      <a:ext cx="5461252" cy="7325776"/>
                    </a:xfrm>
                    <a:prstGeom prst="rect">
                      <a:avLst/>
                    </a:prstGeom>
                  </pic:spPr>
                </pic:pic>
              </a:graphicData>
            </a:graphic>
          </wp:inline>
        </w:drawing>
      </w:r>
      <w:bookmarkEnd w:id="67"/>
    </w:p>
    <w:p w14:paraId="7AEA7C62" w14:textId="77777777" w:rsidR="00A97EB9" w:rsidRPr="00A51E75" w:rsidRDefault="00A97EB9" w:rsidP="00A97EB9">
      <w:pPr>
        <w:keepNext/>
        <w:spacing w:after="60"/>
        <w:jc w:val="both"/>
        <w:outlineLvl w:val="1"/>
        <w:rPr>
          <w:rFonts w:ascii="Calibri" w:eastAsia="SimSun" w:hAnsi="Calibri"/>
          <w:b/>
          <w:bCs/>
          <w:sz w:val="20"/>
        </w:rPr>
      </w:pPr>
    </w:p>
    <w:p w14:paraId="30E1E1EE" w14:textId="60193739" w:rsidR="00A97EB9" w:rsidRPr="00A51E75" w:rsidRDefault="00A33214" w:rsidP="00A33214">
      <w:pPr>
        <w:keepNext/>
        <w:spacing w:after="60"/>
        <w:jc w:val="center"/>
        <w:outlineLvl w:val="1"/>
        <w:rPr>
          <w:rFonts w:ascii="Calibri" w:eastAsia="SimSun" w:hAnsi="Calibri"/>
          <w:b/>
          <w:bCs/>
          <w:sz w:val="20"/>
        </w:rPr>
      </w:pPr>
      <w:bookmarkStart w:id="68" w:name="_Toc221696308"/>
      <w:r w:rsidRPr="00A51E75">
        <w:rPr>
          <w:rFonts w:ascii="Calibri" w:eastAsia="SimSun" w:hAnsi="Calibri"/>
          <w:b/>
          <w:bCs/>
          <w:noProof/>
          <w:sz w:val="20"/>
        </w:rPr>
        <w:lastRenderedPageBreak/>
        <w:drawing>
          <wp:inline distT="0" distB="0" distL="0" distR="0" wp14:anchorId="42687640" wp14:editId="6708CECC">
            <wp:extent cx="5759450" cy="8053257"/>
            <wp:effectExtent l="0" t="0" r="0" b="5080"/>
            <wp:docPr id="20021069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106924" name=""/>
                    <pic:cNvPicPr/>
                  </pic:nvPicPr>
                  <pic:blipFill>
                    <a:blip r:embed="rId32"/>
                    <a:stretch>
                      <a:fillRect/>
                    </a:stretch>
                  </pic:blipFill>
                  <pic:spPr>
                    <a:xfrm>
                      <a:off x="0" y="0"/>
                      <a:ext cx="5763404" cy="8058786"/>
                    </a:xfrm>
                    <a:prstGeom prst="rect">
                      <a:avLst/>
                    </a:prstGeom>
                  </pic:spPr>
                </pic:pic>
              </a:graphicData>
            </a:graphic>
          </wp:inline>
        </w:drawing>
      </w:r>
      <w:bookmarkEnd w:id="68"/>
    </w:p>
    <w:p w14:paraId="59EB53CD" w14:textId="04749A54" w:rsidR="00C14D0C" w:rsidRPr="00A51E75" w:rsidRDefault="00C14D0C" w:rsidP="00C14D0C">
      <w:pPr>
        <w:keepNext/>
        <w:spacing w:after="60"/>
        <w:outlineLvl w:val="1"/>
        <w:rPr>
          <w:rFonts w:ascii="Calibri" w:eastAsia="SimSun" w:hAnsi="Calibri"/>
          <w:b/>
          <w:bCs/>
          <w:sz w:val="20"/>
        </w:rPr>
      </w:pPr>
      <w:r w:rsidRPr="00A51E75">
        <w:rPr>
          <w:rFonts w:ascii="Calibri" w:eastAsia="SimSun" w:hAnsi="Calibri"/>
          <w:b/>
          <w:bCs/>
          <w:sz w:val="20"/>
        </w:rPr>
        <w:br w:type="page"/>
      </w:r>
    </w:p>
    <w:p w14:paraId="05811395" w14:textId="77777777" w:rsidR="008B6F84" w:rsidRPr="00125CE3" w:rsidRDefault="00211737" w:rsidP="008B6F84">
      <w:pPr>
        <w:keepNext/>
        <w:spacing w:after="60"/>
        <w:jc w:val="both"/>
        <w:outlineLvl w:val="1"/>
        <w:rPr>
          <w:rFonts w:ascii="Calibri" w:eastAsia="SimSun" w:hAnsi="Calibri" w:cs="Calibri"/>
          <w:b/>
          <w:bCs/>
          <w:sz w:val="20"/>
          <w:szCs w:val="20"/>
        </w:rPr>
      </w:pPr>
      <w:bookmarkStart w:id="69" w:name="_Toc221696309"/>
      <w:r w:rsidRPr="00125CE3">
        <w:rPr>
          <w:rFonts w:ascii="Calibri" w:eastAsia="SimSun" w:hAnsi="Calibri" w:cs="Calibri"/>
          <w:b/>
          <w:bCs/>
          <w:sz w:val="20"/>
          <w:szCs w:val="20"/>
        </w:rPr>
        <w:lastRenderedPageBreak/>
        <w:t>Anexo 3: Mapa del proyecto y coordenadas geoespaciales de los sitios del proyecto</w:t>
      </w:r>
      <w:bookmarkEnd w:id="69"/>
    </w:p>
    <w:p w14:paraId="374BAF6D" w14:textId="77777777" w:rsidR="008B6F84" w:rsidRPr="00D830D9" w:rsidRDefault="008B6F84" w:rsidP="008B6F84">
      <w:pPr>
        <w:spacing w:after="60"/>
        <w:jc w:val="both"/>
        <w:rPr>
          <w:rFonts w:asciiTheme="minorHAnsi" w:eastAsia="SimSun" w:hAnsiTheme="minorHAnsi" w:cstheme="minorHAnsi"/>
          <w:sz w:val="20"/>
          <w:lang w:val="es-EC"/>
        </w:rPr>
      </w:pPr>
    </w:p>
    <w:p w14:paraId="3E928A5E" w14:textId="1176AA2A" w:rsidR="00E7337C" w:rsidRPr="00A51E75" w:rsidRDefault="00D16C0D" w:rsidP="008B6F84">
      <w:pPr>
        <w:keepNext/>
        <w:spacing w:after="60"/>
        <w:jc w:val="both"/>
        <w:outlineLvl w:val="1"/>
        <w:rPr>
          <w:rFonts w:asciiTheme="minorHAnsi" w:eastAsia="SimSun" w:hAnsiTheme="minorHAnsi" w:cstheme="minorHAnsi"/>
          <w:b/>
          <w:bCs/>
          <w:sz w:val="20"/>
        </w:rPr>
      </w:pPr>
      <w:bookmarkStart w:id="70" w:name="_Toc221696310"/>
      <w:r w:rsidRPr="00A51E75">
        <w:rPr>
          <w:rFonts w:asciiTheme="minorHAnsi" w:eastAsia="SimSun" w:hAnsiTheme="minorHAnsi" w:cstheme="minorHAnsi"/>
          <w:b/>
          <w:bCs/>
          <w:noProof/>
          <w:sz w:val="20"/>
        </w:rPr>
        <w:drawing>
          <wp:inline distT="0" distB="0" distL="0" distR="0" wp14:anchorId="106AC30F" wp14:editId="5C07DF64">
            <wp:extent cx="6858000" cy="4833620"/>
            <wp:effectExtent l="0" t="0" r="0" b="5080"/>
            <wp:docPr id="2030596658"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96658" name="Imagen 1" descr="Mapa&#10;&#10;El contenido generado por IA puede ser incorrecto."/>
                    <pic:cNvPicPr/>
                  </pic:nvPicPr>
                  <pic:blipFill>
                    <a:blip r:embed="rId33"/>
                    <a:stretch>
                      <a:fillRect/>
                    </a:stretch>
                  </pic:blipFill>
                  <pic:spPr>
                    <a:xfrm>
                      <a:off x="0" y="0"/>
                      <a:ext cx="6858000" cy="4833620"/>
                    </a:xfrm>
                    <a:prstGeom prst="rect">
                      <a:avLst/>
                    </a:prstGeom>
                  </pic:spPr>
                </pic:pic>
              </a:graphicData>
            </a:graphic>
          </wp:inline>
        </w:drawing>
      </w:r>
      <w:bookmarkEnd w:id="70"/>
    </w:p>
    <w:p w14:paraId="3BB93053" w14:textId="77777777" w:rsidR="00E7337C" w:rsidRPr="00A51E75" w:rsidRDefault="00E7337C" w:rsidP="008B6F84">
      <w:pPr>
        <w:keepNext/>
        <w:spacing w:after="60"/>
        <w:jc w:val="both"/>
        <w:outlineLvl w:val="1"/>
        <w:rPr>
          <w:rFonts w:asciiTheme="minorHAnsi" w:eastAsia="SimSun" w:hAnsiTheme="minorHAnsi" w:cstheme="minorHAnsi"/>
          <w:b/>
          <w:bCs/>
          <w:sz w:val="20"/>
        </w:rPr>
      </w:pPr>
    </w:p>
    <w:p w14:paraId="2F0410D9" w14:textId="59ABF9AD" w:rsidR="0078382B" w:rsidRPr="00A51E75" w:rsidRDefault="0078382B" w:rsidP="008B6F84">
      <w:pPr>
        <w:keepNext/>
        <w:spacing w:after="60"/>
        <w:jc w:val="both"/>
        <w:outlineLvl w:val="1"/>
        <w:rPr>
          <w:rFonts w:asciiTheme="minorHAnsi" w:eastAsia="SimSun" w:hAnsiTheme="minorHAnsi" w:cstheme="minorHAnsi"/>
          <w:b/>
          <w:sz w:val="20"/>
          <w:lang w:val="en-US"/>
        </w:rPr>
        <w:sectPr w:rsidR="0078382B" w:rsidRPr="00A51E75" w:rsidSect="007D4F41">
          <w:pgSz w:w="12240" w:h="15840" w:code="1"/>
          <w:pgMar w:top="720" w:right="720" w:bottom="720" w:left="720" w:header="720" w:footer="720" w:gutter="0"/>
          <w:cols w:space="720"/>
          <w:docGrid w:linePitch="360"/>
        </w:sectPr>
      </w:pPr>
    </w:p>
    <w:p w14:paraId="03C97F65" w14:textId="1B8FD86E" w:rsidR="008B6F84" w:rsidRPr="00125CE3" w:rsidRDefault="00211737" w:rsidP="008B6F84">
      <w:pPr>
        <w:keepNext/>
        <w:spacing w:after="60"/>
        <w:jc w:val="both"/>
        <w:outlineLvl w:val="1"/>
        <w:rPr>
          <w:rFonts w:ascii="Calibri" w:eastAsia="SimSun" w:hAnsi="Calibri" w:cs="Calibri"/>
          <w:b/>
          <w:bCs/>
          <w:sz w:val="20"/>
          <w:szCs w:val="20"/>
        </w:rPr>
      </w:pPr>
      <w:bookmarkStart w:id="71" w:name="_Toc221696311"/>
      <w:r w:rsidRPr="00125CE3">
        <w:rPr>
          <w:rFonts w:ascii="Calibri" w:eastAsia="SimSun" w:hAnsi="Calibri" w:cs="Calibri"/>
          <w:b/>
          <w:bCs/>
          <w:sz w:val="20"/>
          <w:szCs w:val="20"/>
        </w:rPr>
        <w:lastRenderedPageBreak/>
        <w:t>Anexo 4: Plan de Trabajo Multianual</w:t>
      </w:r>
      <w:bookmarkEnd w:id="71"/>
      <w:r w:rsidRPr="00125CE3">
        <w:rPr>
          <w:rFonts w:ascii="Calibri" w:eastAsia="SimSun" w:hAnsi="Calibri" w:cs="Calibri"/>
          <w:b/>
          <w:bCs/>
          <w:sz w:val="20"/>
          <w:szCs w:val="20"/>
        </w:rPr>
        <w:t xml:space="preserve"> </w:t>
      </w:r>
    </w:p>
    <w:p w14:paraId="6428FF16" w14:textId="77777777" w:rsidR="008B6F84" w:rsidRPr="00A51E75" w:rsidRDefault="008B6F84" w:rsidP="008B6F84">
      <w:pPr>
        <w:spacing w:after="60"/>
        <w:jc w:val="both"/>
        <w:rPr>
          <w:rFonts w:asciiTheme="minorHAnsi" w:eastAsia="SimSun" w:hAnsiTheme="minorHAnsi" w:cstheme="minorHAnsi"/>
          <w:sz w:val="20"/>
          <w:lang w:val="en-US"/>
        </w:rPr>
      </w:pPr>
    </w:p>
    <w:tbl>
      <w:tblPr>
        <w:tblW w:w="5000" w:type="pct"/>
        <w:tblLayout w:type="fixed"/>
        <w:tblCellMar>
          <w:left w:w="70" w:type="dxa"/>
          <w:right w:w="70" w:type="dxa"/>
        </w:tblCellMar>
        <w:tblLook w:val="04A0" w:firstRow="1" w:lastRow="0" w:firstColumn="1" w:lastColumn="0" w:noHBand="0" w:noVBand="1"/>
      </w:tblPr>
      <w:tblGrid>
        <w:gridCol w:w="968"/>
        <w:gridCol w:w="1747"/>
        <w:gridCol w:w="2155"/>
        <w:gridCol w:w="296"/>
        <w:gridCol w:w="296"/>
        <w:gridCol w:w="296"/>
        <w:gridCol w:w="296"/>
        <w:gridCol w:w="296"/>
        <w:gridCol w:w="296"/>
        <w:gridCol w:w="296"/>
        <w:gridCol w:w="296"/>
        <w:gridCol w:w="296"/>
        <w:gridCol w:w="296"/>
        <w:gridCol w:w="296"/>
        <w:gridCol w:w="296"/>
        <w:gridCol w:w="296"/>
        <w:gridCol w:w="296"/>
        <w:gridCol w:w="296"/>
        <w:gridCol w:w="296"/>
        <w:gridCol w:w="296"/>
        <w:gridCol w:w="296"/>
        <w:gridCol w:w="296"/>
        <w:gridCol w:w="296"/>
      </w:tblGrid>
      <w:tr w:rsidR="00411770" w:rsidRPr="00A51E75" w14:paraId="374F1372" w14:textId="77777777" w:rsidTr="00411770">
        <w:trPr>
          <w:cantSplit/>
          <w:trHeight w:val="1134"/>
        </w:trPr>
        <w:tc>
          <w:tcPr>
            <w:tcW w:w="449" w:type="pct"/>
            <w:tcBorders>
              <w:top w:val="single" w:sz="4" w:space="0" w:color="auto"/>
              <w:left w:val="single" w:sz="4" w:space="0" w:color="auto"/>
              <w:bottom w:val="single" w:sz="4" w:space="0" w:color="auto"/>
              <w:right w:val="single" w:sz="4" w:space="0" w:color="auto"/>
            </w:tcBorders>
            <w:noWrap/>
            <w:vAlign w:val="center"/>
            <w:hideMark/>
          </w:tcPr>
          <w:p w14:paraId="125D5990" w14:textId="73BB1C3C" w:rsidR="00411770" w:rsidRPr="00411770" w:rsidRDefault="00411770" w:rsidP="00411770">
            <w:pP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Componente </w:t>
            </w:r>
          </w:p>
        </w:tc>
        <w:tc>
          <w:tcPr>
            <w:tcW w:w="810" w:type="pct"/>
            <w:tcBorders>
              <w:top w:val="single" w:sz="4" w:space="0" w:color="auto"/>
              <w:left w:val="nil"/>
              <w:bottom w:val="single" w:sz="4" w:space="0" w:color="auto"/>
              <w:right w:val="single" w:sz="4" w:space="0" w:color="auto"/>
            </w:tcBorders>
            <w:noWrap/>
            <w:vAlign w:val="center"/>
            <w:hideMark/>
          </w:tcPr>
          <w:p w14:paraId="2241ADB9" w14:textId="7A820B99" w:rsidR="00411770" w:rsidRPr="00411770" w:rsidRDefault="00411770" w:rsidP="00411770">
            <w:pP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Resultados </w:t>
            </w:r>
          </w:p>
        </w:tc>
        <w:tc>
          <w:tcPr>
            <w:tcW w:w="999" w:type="pct"/>
            <w:tcBorders>
              <w:top w:val="single" w:sz="4" w:space="0" w:color="auto"/>
              <w:left w:val="nil"/>
              <w:bottom w:val="single" w:sz="4" w:space="0" w:color="auto"/>
              <w:right w:val="single" w:sz="4" w:space="0" w:color="auto"/>
            </w:tcBorders>
            <w:noWrap/>
            <w:vAlign w:val="center"/>
            <w:hideMark/>
          </w:tcPr>
          <w:p w14:paraId="4CB265D4" w14:textId="31976440" w:rsidR="00411770" w:rsidRPr="00411770" w:rsidRDefault="00411770" w:rsidP="00411770">
            <w:pP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Productos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72F944C3" w14:textId="1681029C"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1 T1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5FCFE95E" w14:textId="3B7427C2"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1 T2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4638B728" w14:textId="3BEBBDFE"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1 T3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08D7449D" w14:textId="24A79450"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1 T4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456FEEA9" w14:textId="0C523E4E"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2 T1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7223A900" w14:textId="37212D19"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2 T2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5D175C82" w14:textId="411DFBA1"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2 T3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6444DCA3" w14:textId="7E77366C"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2 T4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40D14B42" w14:textId="62A1CE00"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3 T1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3840E7FC" w14:textId="72F75131"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3 T2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2D10938D" w14:textId="3F461714"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3 T3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6FF95C5D" w14:textId="5EBB709C"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3 T4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4C595B50" w14:textId="2DF69047"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4 T1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1B10EBE6" w14:textId="79E9C226"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4 T2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7336963E" w14:textId="3E750399"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4 T3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102EB180" w14:textId="72A2710C"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4 T4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6A5C4168" w14:textId="5ECDE620"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5 T1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70461EAD" w14:textId="1E432DF6" w:rsidR="00411770" w:rsidRPr="00411770" w:rsidRDefault="00411770" w:rsidP="00411770">
            <w:pPr>
              <w:ind w:left="113" w:right="113"/>
              <w:jc w:val="center"/>
              <w:rPr>
                <w:rFonts w:asciiTheme="minorHAnsi" w:hAnsiTheme="minorHAnsi" w:cstheme="minorHAnsi"/>
                <w:b/>
                <w:bCs/>
                <w:color w:val="000000"/>
                <w:sz w:val="14"/>
                <w:szCs w:val="14"/>
                <w:lang w:val="pt-BR"/>
              </w:rPr>
            </w:pPr>
            <w:r w:rsidRPr="00411770">
              <w:rPr>
                <w:rFonts w:asciiTheme="minorHAnsi" w:eastAsia="SimSun" w:hAnsiTheme="minorHAnsi" w:cstheme="minorHAnsi"/>
                <w:b/>
                <w:bCs/>
                <w:sz w:val="14"/>
                <w:szCs w:val="14"/>
              </w:rPr>
              <w:t xml:space="preserve"> Año 5 T2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4D13C244" w14:textId="48239702"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5 T3 </w:t>
            </w:r>
          </w:p>
        </w:tc>
        <w:tc>
          <w:tcPr>
            <w:tcW w:w="137" w:type="pct"/>
            <w:tcBorders>
              <w:top w:val="single" w:sz="4" w:space="0" w:color="auto"/>
              <w:left w:val="nil"/>
              <w:bottom w:val="single" w:sz="4" w:space="0" w:color="auto"/>
              <w:right w:val="single" w:sz="4" w:space="0" w:color="auto"/>
            </w:tcBorders>
            <w:noWrap/>
            <w:textDirection w:val="btLr"/>
            <w:vAlign w:val="center"/>
            <w:hideMark/>
          </w:tcPr>
          <w:p w14:paraId="0A108871" w14:textId="75BD8C0F" w:rsidR="00411770" w:rsidRPr="00411770" w:rsidRDefault="00411770" w:rsidP="00411770">
            <w:pPr>
              <w:ind w:left="113" w:right="113"/>
              <w:jc w:val="center"/>
              <w:rPr>
                <w:rFonts w:asciiTheme="minorHAnsi" w:hAnsiTheme="minorHAnsi" w:cstheme="minorHAnsi"/>
                <w:b/>
                <w:bCs/>
                <w:color w:val="000000"/>
                <w:sz w:val="14"/>
                <w:szCs w:val="14"/>
              </w:rPr>
            </w:pPr>
            <w:r w:rsidRPr="00411770">
              <w:rPr>
                <w:rFonts w:asciiTheme="minorHAnsi" w:eastAsia="SimSun" w:hAnsiTheme="minorHAnsi" w:cstheme="minorHAnsi"/>
                <w:b/>
                <w:bCs/>
                <w:sz w:val="14"/>
                <w:szCs w:val="14"/>
              </w:rPr>
              <w:t xml:space="preserve"> Año 5 T4 </w:t>
            </w:r>
          </w:p>
        </w:tc>
      </w:tr>
      <w:tr w:rsidR="00411770" w:rsidRPr="00A51E75" w14:paraId="02204D76" w14:textId="77777777" w:rsidTr="00411770">
        <w:trPr>
          <w:trHeight w:val="320"/>
        </w:trPr>
        <w:tc>
          <w:tcPr>
            <w:tcW w:w="449" w:type="pct"/>
            <w:tcBorders>
              <w:top w:val="nil"/>
              <w:left w:val="single" w:sz="4" w:space="0" w:color="auto"/>
              <w:bottom w:val="single" w:sz="4" w:space="0" w:color="auto"/>
              <w:right w:val="single" w:sz="4" w:space="0" w:color="auto"/>
            </w:tcBorders>
          </w:tcPr>
          <w:p w14:paraId="1F44AF88" w14:textId="7A9501B4" w:rsidR="00411770" w:rsidRPr="00A51E75" w:rsidRDefault="00411770" w:rsidP="00411770">
            <w:pPr>
              <w:rPr>
                <w:rFonts w:asciiTheme="minorHAnsi" w:eastAsia="SimSun" w:hAnsiTheme="minorHAnsi" w:cstheme="minorHAnsi"/>
                <w:sz w:val="14"/>
                <w:szCs w:val="14"/>
                <w:lang w:val="en-US"/>
              </w:rPr>
            </w:pPr>
            <w:r w:rsidRPr="00A51E75">
              <w:rPr>
                <w:rFonts w:asciiTheme="minorHAnsi" w:eastAsia="SimSun" w:hAnsiTheme="minorHAnsi" w:cstheme="minorHAnsi"/>
                <w:sz w:val="14"/>
                <w:szCs w:val="14"/>
              </w:rPr>
              <w:t>Gestión de proyectos</w:t>
            </w:r>
          </w:p>
        </w:tc>
        <w:tc>
          <w:tcPr>
            <w:tcW w:w="810" w:type="pct"/>
            <w:tcBorders>
              <w:top w:val="nil"/>
              <w:left w:val="single" w:sz="4" w:space="0" w:color="auto"/>
              <w:bottom w:val="single" w:sz="4" w:space="0" w:color="auto"/>
              <w:right w:val="single" w:sz="4" w:space="0" w:color="auto"/>
            </w:tcBorders>
          </w:tcPr>
          <w:p w14:paraId="290EC82E" w14:textId="77777777" w:rsidR="00411770" w:rsidRPr="00A51E75" w:rsidRDefault="00411770" w:rsidP="00411770">
            <w:pPr>
              <w:rPr>
                <w:rFonts w:asciiTheme="minorHAnsi" w:eastAsia="SimSun" w:hAnsiTheme="minorHAnsi" w:cstheme="minorHAnsi"/>
                <w:sz w:val="14"/>
                <w:szCs w:val="14"/>
                <w:lang w:val="en-US"/>
              </w:rPr>
            </w:pPr>
          </w:p>
        </w:tc>
        <w:tc>
          <w:tcPr>
            <w:tcW w:w="999" w:type="pct"/>
            <w:tcBorders>
              <w:top w:val="nil"/>
              <w:left w:val="nil"/>
              <w:bottom w:val="single" w:sz="4" w:space="0" w:color="auto"/>
              <w:right w:val="single" w:sz="4" w:space="0" w:color="auto"/>
            </w:tcBorders>
            <w:noWrap/>
            <w:vAlign w:val="center"/>
          </w:tcPr>
          <w:p w14:paraId="37224309" w14:textId="3444C37F" w:rsidR="00411770" w:rsidRPr="00D830D9" w:rsidRDefault="00411770" w:rsidP="00411770">
            <w:pPr>
              <w:rPr>
                <w:rFonts w:asciiTheme="minorHAnsi" w:eastAsia="SimSun" w:hAnsiTheme="minorHAnsi" w:cstheme="minorHAnsi"/>
                <w:sz w:val="14"/>
                <w:szCs w:val="14"/>
                <w:lang w:val="es-EC"/>
              </w:rPr>
            </w:pPr>
            <w:r w:rsidRPr="00411770">
              <w:rPr>
                <w:rFonts w:asciiTheme="minorHAnsi" w:eastAsia="SimSun" w:hAnsiTheme="minorHAnsi" w:cstheme="minorHAnsi"/>
                <w:sz w:val="14"/>
                <w:szCs w:val="14"/>
              </w:rPr>
              <w:t xml:space="preserve"> Establecimiento de la UGP (reclutamiento, logística, instalación de oficina) </w:t>
            </w:r>
          </w:p>
        </w:tc>
        <w:tc>
          <w:tcPr>
            <w:tcW w:w="137" w:type="pct"/>
            <w:tcBorders>
              <w:top w:val="nil"/>
              <w:left w:val="nil"/>
              <w:bottom w:val="single" w:sz="4" w:space="0" w:color="auto"/>
              <w:right w:val="single" w:sz="4" w:space="0" w:color="auto"/>
            </w:tcBorders>
            <w:noWrap/>
            <w:vAlign w:val="center"/>
          </w:tcPr>
          <w:p w14:paraId="38727E32" w14:textId="4427C443" w:rsidR="00411770" w:rsidRPr="00A51E75" w:rsidRDefault="00411770" w:rsidP="00411770">
            <w:pPr>
              <w:jc w:val="center"/>
              <w:rPr>
                <w:rFonts w:asciiTheme="minorHAnsi" w:hAnsiTheme="minorHAnsi" w:cstheme="minorHAnsi"/>
                <w:color w:val="000000"/>
                <w:sz w:val="18"/>
                <w:szCs w:val="18"/>
                <w:lang w:val="en-US"/>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1B601A69"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50E1E43E"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04FDFDE9"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1F028FE4"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4056D2CE"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5DE1EC6B"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3F37BEEE"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58A4862D"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3ABC64C2"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68723C58"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0181DBF5"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6DDFED44"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429E2A70"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48CEDCE2"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42FCADE8"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72A87505"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439E358E"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2779626D" w14:textId="77777777" w:rsidR="00411770" w:rsidRPr="00A51E75" w:rsidRDefault="00411770" w:rsidP="00411770">
            <w:pPr>
              <w:jc w:val="center"/>
              <w:rPr>
                <w:rFonts w:asciiTheme="minorHAnsi" w:hAnsiTheme="minorHAnsi" w:cstheme="minorHAnsi"/>
                <w:color w:val="000000"/>
                <w:sz w:val="18"/>
                <w:szCs w:val="18"/>
                <w:lang w:val="en-US"/>
              </w:rPr>
            </w:pPr>
          </w:p>
        </w:tc>
        <w:tc>
          <w:tcPr>
            <w:tcW w:w="137" w:type="pct"/>
            <w:tcBorders>
              <w:top w:val="nil"/>
              <w:left w:val="nil"/>
              <w:bottom w:val="single" w:sz="4" w:space="0" w:color="auto"/>
              <w:right w:val="single" w:sz="4" w:space="0" w:color="auto"/>
            </w:tcBorders>
            <w:noWrap/>
            <w:vAlign w:val="center"/>
          </w:tcPr>
          <w:p w14:paraId="76C1C144" w14:textId="77777777" w:rsidR="00411770" w:rsidRPr="00A51E75" w:rsidRDefault="00411770" w:rsidP="00411770">
            <w:pPr>
              <w:jc w:val="center"/>
              <w:rPr>
                <w:rFonts w:asciiTheme="minorHAnsi" w:hAnsiTheme="minorHAnsi" w:cstheme="minorHAnsi"/>
                <w:color w:val="000000"/>
                <w:sz w:val="18"/>
                <w:szCs w:val="18"/>
                <w:lang w:val="en-US"/>
              </w:rPr>
            </w:pPr>
          </w:p>
        </w:tc>
      </w:tr>
      <w:tr w:rsidR="00411770" w:rsidRPr="00A51E75" w14:paraId="14A091A9" w14:textId="77777777" w:rsidTr="00411770">
        <w:trPr>
          <w:trHeight w:val="320"/>
        </w:trPr>
        <w:tc>
          <w:tcPr>
            <w:tcW w:w="449" w:type="pct"/>
            <w:vMerge w:val="restart"/>
            <w:tcBorders>
              <w:top w:val="nil"/>
              <w:left w:val="single" w:sz="4" w:space="0" w:color="auto"/>
              <w:bottom w:val="single" w:sz="4" w:space="0" w:color="auto"/>
              <w:right w:val="single" w:sz="4" w:space="0" w:color="auto"/>
            </w:tcBorders>
            <w:hideMark/>
          </w:tcPr>
          <w:p w14:paraId="6FA9BF53" w14:textId="0A7AB6C3"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1: Marco de gobernanza y coordinación multinivel para la gestión territorial </w:t>
            </w:r>
          </w:p>
        </w:tc>
        <w:tc>
          <w:tcPr>
            <w:tcW w:w="810" w:type="pct"/>
            <w:vMerge w:val="restart"/>
            <w:tcBorders>
              <w:top w:val="nil"/>
              <w:left w:val="single" w:sz="4" w:space="0" w:color="auto"/>
              <w:bottom w:val="single" w:sz="4" w:space="0" w:color="auto"/>
              <w:right w:val="single" w:sz="4" w:space="0" w:color="auto"/>
            </w:tcBorders>
            <w:hideMark/>
          </w:tcPr>
          <w:p w14:paraId="5E1DB4DB" w14:textId="7EE2831A"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1.1: Se fortalece el marco regulatorio y los instrumentos de planificación territorial local mediante métodos participativos para la gestión integrada del paisaje, la biodiversidad y los recursos hídricos. </w:t>
            </w:r>
          </w:p>
        </w:tc>
        <w:tc>
          <w:tcPr>
            <w:tcW w:w="999" w:type="pct"/>
            <w:tcBorders>
              <w:top w:val="nil"/>
              <w:left w:val="nil"/>
              <w:bottom w:val="single" w:sz="4" w:space="0" w:color="auto"/>
              <w:right w:val="single" w:sz="4" w:space="0" w:color="auto"/>
            </w:tcBorders>
            <w:noWrap/>
            <w:vAlign w:val="center"/>
            <w:hideMark/>
          </w:tcPr>
          <w:p w14:paraId="34B0305E" w14:textId="3EC6E09B"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1.1.1. Implementación de políticas y regulaciones de planificación territorial y Neutralidad en la Degradación de Tierras (NDT), validadas por hombres y mujeres en el territorio. </w:t>
            </w:r>
          </w:p>
        </w:tc>
        <w:tc>
          <w:tcPr>
            <w:tcW w:w="137" w:type="pct"/>
            <w:tcBorders>
              <w:top w:val="nil"/>
              <w:left w:val="nil"/>
              <w:bottom w:val="single" w:sz="4" w:space="0" w:color="auto"/>
              <w:right w:val="single" w:sz="4" w:space="0" w:color="auto"/>
            </w:tcBorders>
            <w:noWrap/>
            <w:vAlign w:val="center"/>
          </w:tcPr>
          <w:p w14:paraId="663C54D2" w14:textId="59A3914C" w:rsidR="00411770" w:rsidRPr="00D830D9" w:rsidRDefault="00411770" w:rsidP="00411770">
            <w:pPr>
              <w:jc w:val="center"/>
              <w:rPr>
                <w:rFonts w:asciiTheme="minorHAnsi" w:hAnsiTheme="minorHAnsi" w:cstheme="minorHAnsi"/>
                <w:color w:val="000000"/>
                <w:sz w:val="18"/>
                <w:szCs w:val="18"/>
                <w:lang w:val="es-EC"/>
              </w:rPr>
            </w:pPr>
          </w:p>
        </w:tc>
        <w:tc>
          <w:tcPr>
            <w:tcW w:w="137" w:type="pct"/>
            <w:tcBorders>
              <w:top w:val="nil"/>
              <w:left w:val="nil"/>
              <w:bottom w:val="single" w:sz="4" w:space="0" w:color="auto"/>
              <w:right w:val="single" w:sz="4" w:space="0" w:color="auto"/>
            </w:tcBorders>
            <w:noWrap/>
            <w:vAlign w:val="center"/>
          </w:tcPr>
          <w:p w14:paraId="338EF1DA" w14:textId="7309FF6D"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0DE111D0" w14:textId="6198EB3C"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0E751555" w14:textId="428559B4"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3CC01D45" w14:textId="10CF205E"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312FAD2B" w14:textId="75195EAF"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D1320F1" w14:textId="695243AD"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1E37A9E" w14:textId="13FB3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EE3DAA8" w14:textId="278B8E20"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648686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2D902C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A4BF58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F169A6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12E25F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273C96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F0154B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11CFA4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FBB50C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0170FA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FC145D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63DC9DEC"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6F00CA59"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0C5F9CE4"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4B128150" w14:textId="631E1BFC"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1.1.2. Acuerdos de cogestión interinstitucional que promueven la formulación conjunta de proyectos entre MAE, gobiernos locales y otros ac</w:t>
            </w:r>
            <w:r w:rsidR="00B9385B">
              <w:rPr>
                <w:rFonts w:asciiTheme="minorHAnsi" w:eastAsia="SimSun" w:hAnsiTheme="minorHAnsi" w:cstheme="minorHAnsi"/>
                <w:sz w:val="14"/>
                <w:szCs w:val="14"/>
              </w:rPr>
              <w:t>t</w:t>
            </w:r>
            <w:r w:rsidRPr="00411770">
              <w:rPr>
                <w:rFonts w:asciiTheme="minorHAnsi" w:eastAsia="SimSun" w:hAnsiTheme="minorHAnsi" w:cstheme="minorHAnsi"/>
                <w:sz w:val="14"/>
                <w:szCs w:val="14"/>
              </w:rPr>
              <w:t xml:space="preserve">ores relevantes, incluyendo grupos indígenas y de mujeres. </w:t>
            </w:r>
          </w:p>
        </w:tc>
        <w:tc>
          <w:tcPr>
            <w:tcW w:w="137" w:type="pct"/>
            <w:tcBorders>
              <w:top w:val="nil"/>
              <w:left w:val="nil"/>
              <w:bottom w:val="single" w:sz="4" w:space="0" w:color="auto"/>
              <w:right w:val="single" w:sz="4" w:space="0" w:color="auto"/>
            </w:tcBorders>
            <w:noWrap/>
            <w:vAlign w:val="center"/>
          </w:tcPr>
          <w:p w14:paraId="1FF7B387" w14:textId="2FD81673" w:rsidR="00411770" w:rsidRPr="00D830D9" w:rsidRDefault="00411770" w:rsidP="00411770">
            <w:pPr>
              <w:jc w:val="center"/>
              <w:rPr>
                <w:rFonts w:asciiTheme="minorHAnsi" w:hAnsiTheme="minorHAnsi" w:cstheme="minorHAnsi"/>
                <w:color w:val="000000"/>
                <w:sz w:val="18"/>
                <w:szCs w:val="18"/>
                <w:lang w:val="es-EC"/>
              </w:rPr>
            </w:pPr>
          </w:p>
        </w:tc>
        <w:tc>
          <w:tcPr>
            <w:tcW w:w="137" w:type="pct"/>
            <w:tcBorders>
              <w:top w:val="nil"/>
              <w:left w:val="nil"/>
              <w:bottom w:val="single" w:sz="4" w:space="0" w:color="auto"/>
              <w:right w:val="single" w:sz="4" w:space="0" w:color="auto"/>
            </w:tcBorders>
            <w:noWrap/>
            <w:vAlign w:val="center"/>
          </w:tcPr>
          <w:p w14:paraId="7CAF173C" w14:textId="0FE215CB"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641B46CA" w14:textId="6F6AC251"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0577A61A" w14:textId="6DAD98C1"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5A2BEA71" w14:textId="37CA23B8"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61CDD753" w14:textId="60C90A35"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0CA8908" w14:textId="1B996E38"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4F7D7BD" w14:textId="68262173"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31C53B7" w14:textId="19DE2115"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0C4561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7279C8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5ADB22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3984F5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528C04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7645CE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04DA55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DCE0CF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4D46FA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4CCCA5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F7B2F9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26C8E534"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21A35541"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120A7562"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3645F11E" w14:textId="1AE0760F"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1.1.3. Proyectos diseñados con criterios que contribuyen a la gestión integrada del paisaje y la igualdad de género, reflejados en los Planes de Vida. </w:t>
            </w:r>
          </w:p>
        </w:tc>
        <w:tc>
          <w:tcPr>
            <w:tcW w:w="137" w:type="pct"/>
            <w:tcBorders>
              <w:top w:val="nil"/>
              <w:left w:val="nil"/>
              <w:bottom w:val="single" w:sz="4" w:space="0" w:color="auto"/>
              <w:right w:val="single" w:sz="4" w:space="0" w:color="auto"/>
            </w:tcBorders>
            <w:noWrap/>
            <w:vAlign w:val="center"/>
          </w:tcPr>
          <w:p w14:paraId="343FCE70" w14:textId="79A7D01B" w:rsidR="00411770" w:rsidRPr="00D830D9" w:rsidRDefault="00411770" w:rsidP="00411770">
            <w:pPr>
              <w:jc w:val="center"/>
              <w:rPr>
                <w:rFonts w:asciiTheme="minorHAnsi" w:hAnsiTheme="minorHAnsi" w:cstheme="minorHAnsi"/>
                <w:color w:val="000000"/>
                <w:sz w:val="18"/>
                <w:szCs w:val="18"/>
                <w:lang w:val="es-EC"/>
              </w:rPr>
            </w:pPr>
          </w:p>
        </w:tc>
        <w:tc>
          <w:tcPr>
            <w:tcW w:w="137" w:type="pct"/>
            <w:tcBorders>
              <w:top w:val="nil"/>
              <w:left w:val="nil"/>
              <w:bottom w:val="single" w:sz="4" w:space="0" w:color="auto"/>
              <w:right w:val="single" w:sz="4" w:space="0" w:color="auto"/>
            </w:tcBorders>
            <w:noWrap/>
            <w:vAlign w:val="center"/>
          </w:tcPr>
          <w:p w14:paraId="0EDF5D8E" w14:textId="35E7A5D4"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2A14D346" w14:textId="12D17FF9"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7BF9F13A" w14:textId="0A2731A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3EA8453E" w14:textId="1CA87E01"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tcPr>
          <w:p w14:paraId="58752913" w14:textId="06F6B7E5"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1B597AB" w14:textId="41F98344"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E8845D3" w14:textId="1C2D8E96"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CEB8D29" w14:textId="1AC3E3E4"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393521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5C1CB7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6A6B50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47A79A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999951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3F89D1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3B06FF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2C488C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8BF6A7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26552D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426FD1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2D9794C2" w14:textId="77777777" w:rsidTr="00411770">
        <w:trPr>
          <w:trHeight w:val="320"/>
        </w:trPr>
        <w:tc>
          <w:tcPr>
            <w:tcW w:w="449" w:type="pct"/>
            <w:vMerge w:val="restart"/>
            <w:tcBorders>
              <w:top w:val="nil"/>
              <w:left w:val="single" w:sz="4" w:space="0" w:color="auto"/>
              <w:bottom w:val="single" w:sz="4" w:space="0" w:color="auto"/>
              <w:right w:val="single" w:sz="4" w:space="0" w:color="auto"/>
            </w:tcBorders>
            <w:hideMark/>
          </w:tcPr>
          <w:p w14:paraId="040DC10E" w14:textId="771EBB12"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 Adopción de prácticas que contribuyen a la gestión integrada del paisaje para el uso sostenible de la tierra y la conservación de la biodiversidad </w:t>
            </w:r>
          </w:p>
        </w:tc>
        <w:tc>
          <w:tcPr>
            <w:tcW w:w="810" w:type="pct"/>
            <w:vMerge w:val="restart"/>
            <w:tcBorders>
              <w:top w:val="nil"/>
              <w:left w:val="single" w:sz="4" w:space="0" w:color="auto"/>
              <w:bottom w:val="single" w:sz="4" w:space="0" w:color="auto"/>
              <w:right w:val="single" w:sz="4" w:space="0" w:color="auto"/>
            </w:tcBorders>
            <w:hideMark/>
          </w:tcPr>
          <w:p w14:paraId="1EB3DC4D" w14:textId="053093C2"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2.1: Los bosques y cuencas hidrográficas nativas se conservan mediante mecanismos de conservación y manejo forestal sostenible que incorporan una perspectiva de género. </w:t>
            </w:r>
          </w:p>
        </w:tc>
        <w:tc>
          <w:tcPr>
            <w:tcW w:w="999" w:type="pct"/>
            <w:tcBorders>
              <w:top w:val="nil"/>
              <w:left w:val="nil"/>
              <w:bottom w:val="single" w:sz="4" w:space="0" w:color="auto"/>
              <w:right w:val="single" w:sz="4" w:space="0" w:color="auto"/>
            </w:tcBorders>
            <w:noWrap/>
            <w:vAlign w:val="center"/>
            <w:hideMark/>
          </w:tcPr>
          <w:p w14:paraId="751741DF" w14:textId="061B00C9"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2.1.1. Formulación y/o actualización de planes de manejo de áreas de protección hídrica e implementación de medidas de manejo sostenible que ayuden a prevenir la DT y protejan los recursos hídricos en la cuenca alta del Río Napo. </w:t>
            </w:r>
          </w:p>
        </w:tc>
        <w:tc>
          <w:tcPr>
            <w:tcW w:w="137" w:type="pct"/>
            <w:tcBorders>
              <w:top w:val="nil"/>
              <w:left w:val="nil"/>
              <w:bottom w:val="single" w:sz="4" w:space="0" w:color="auto"/>
              <w:right w:val="single" w:sz="4" w:space="0" w:color="auto"/>
            </w:tcBorders>
            <w:noWrap/>
            <w:vAlign w:val="center"/>
            <w:hideMark/>
          </w:tcPr>
          <w:p w14:paraId="1847084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7815D785"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8FA04F2"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A9CAD07" w14:textId="718A66B9"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7A6BBC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27EEA7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9F6501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96A7EC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58E99F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AB68F3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8A1516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FBCB22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50ABAC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7ABA0B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E411FB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36B634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9CCC84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02B2C3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34B580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C7DB50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1545C342"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2B3292A5"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4E30984F"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394FFCC5" w14:textId="10941239"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2.1.2. Programa de capacitación para la restauración de tierras y manejo sostenible que promueve la participación de las mujeres mediante acciones afirmativas. </w:t>
            </w:r>
          </w:p>
        </w:tc>
        <w:tc>
          <w:tcPr>
            <w:tcW w:w="137" w:type="pct"/>
            <w:tcBorders>
              <w:top w:val="nil"/>
              <w:left w:val="nil"/>
              <w:bottom w:val="single" w:sz="4" w:space="0" w:color="auto"/>
              <w:right w:val="single" w:sz="4" w:space="0" w:color="auto"/>
            </w:tcBorders>
            <w:noWrap/>
            <w:vAlign w:val="center"/>
            <w:hideMark/>
          </w:tcPr>
          <w:p w14:paraId="4CA0E4E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5379B1B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EA32D0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503D2F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EC2259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928674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E0FA1D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8C120D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4154FC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0A2CC0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079111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F925BB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CD4DDE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D510A9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910BE8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26A92F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D95F27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C83910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E60870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829C3B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60856340"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30607FE9"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0117EBAF"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0DB94A7B" w14:textId="5EB92BA8"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2.1.3. Planes de manejo formulados y/o actualizados para bosques protectores u otras formas de protección, como bosques comunitarios indígenas en la cuenca baja del Río Napo, incorporando medidas de manejo forestal sostenible (MFS). </w:t>
            </w:r>
          </w:p>
        </w:tc>
        <w:tc>
          <w:tcPr>
            <w:tcW w:w="137" w:type="pct"/>
            <w:tcBorders>
              <w:top w:val="nil"/>
              <w:left w:val="nil"/>
              <w:bottom w:val="single" w:sz="4" w:space="0" w:color="auto"/>
              <w:right w:val="single" w:sz="4" w:space="0" w:color="auto"/>
            </w:tcBorders>
            <w:noWrap/>
            <w:vAlign w:val="center"/>
            <w:hideMark/>
          </w:tcPr>
          <w:p w14:paraId="186B031D"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5C6337E1"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56387BE"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65B73D1" w14:textId="6593B460"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D76F31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7579A5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6C9847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BEC19F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BAD8DF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C2C507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B18ACB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CA7CD1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C72C91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A98340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C10690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C9AEB4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E407DD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B28C81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692226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F3DCA4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6AF5255B"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783D7234" w14:textId="77777777" w:rsidR="00411770" w:rsidRPr="00A51E75" w:rsidRDefault="00411770" w:rsidP="00411770">
            <w:pPr>
              <w:rPr>
                <w:rFonts w:asciiTheme="minorHAnsi" w:hAnsiTheme="minorHAnsi" w:cstheme="minorHAnsi"/>
                <w:color w:val="000000"/>
                <w:sz w:val="14"/>
                <w:szCs w:val="14"/>
              </w:rPr>
            </w:pPr>
          </w:p>
        </w:tc>
        <w:tc>
          <w:tcPr>
            <w:tcW w:w="810" w:type="pct"/>
            <w:vMerge w:val="restart"/>
            <w:tcBorders>
              <w:top w:val="nil"/>
              <w:left w:val="single" w:sz="4" w:space="0" w:color="auto"/>
              <w:bottom w:val="single" w:sz="4" w:space="0" w:color="auto"/>
              <w:right w:val="single" w:sz="4" w:space="0" w:color="auto"/>
            </w:tcBorders>
            <w:hideMark/>
          </w:tcPr>
          <w:p w14:paraId="68531A91" w14:textId="1EAC62A3"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2.2: Los sistemas de producción agrícola sostenibles y eficientes incrementan los beneficios sociales, económicos y ambientales.</w:t>
            </w:r>
          </w:p>
        </w:tc>
        <w:tc>
          <w:tcPr>
            <w:tcW w:w="999" w:type="pct"/>
            <w:tcBorders>
              <w:top w:val="nil"/>
              <w:left w:val="nil"/>
              <w:bottom w:val="single" w:sz="4" w:space="0" w:color="auto"/>
              <w:right w:val="single" w:sz="4" w:space="0" w:color="auto"/>
            </w:tcBorders>
            <w:noWrap/>
            <w:vAlign w:val="center"/>
            <w:hideMark/>
          </w:tcPr>
          <w:p w14:paraId="572F193F" w14:textId="46DEA3DB"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2.2.1. Programa de capacitación en Manejo Sostenible de Tierras (MST)/MFS para </w:t>
            </w:r>
            <w:proofErr w:type="gramStart"/>
            <w:r w:rsidRPr="00411770">
              <w:rPr>
                <w:rFonts w:asciiTheme="minorHAnsi" w:eastAsia="SimSun" w:hAnsiTheme="minorHAnsi" w:cstheme="minorHAnsi"/>
                <w:sz w:val="14"/>
                <w:szCs w:val="14"/>
              </w:rPr>
              <w:t>productores y productoras</w:t>
            </w:r>
            <w:proofErr w:type="gramEnd"/>
            <w:r w:rsidRPr="00411770">
              <w:rPr>
                <w:rFonts w:asciiTheme="minorHAnsi" w:eastAsia="SimSun" w:hAnsiTheme="minorHAnsi" w:cstheme="minorHAnsi"/>
                <w:sz w:val="14"/>
                <w:szCs w:val="14"/>
              </w:rPr>
              <w:t xml:space="preserve"> agrícolas con socios locales. </w:t>
            </w:r>
          </w:p>
        </w:tc>
        <w:tc>
          <w:tcPr>
            <w:tcW w:w="137" w:type="pct"/>
            <w:tcBorders>
              <w:top w:val="nil"/>
              <w:left w:val="nil"/>
              <w:bottom w:val="single" w:sz="4" w:space="0" w:color="auto"/>
              <w:right w:val="single" w:sz="4" w:space="0" w:color="auto"/>
            </w:tcBorders>
            <w:noWrap/>
            <w:vAlign w:val="center"/>
            <w:hideMark/>
          </w:tcPr>
          <w:p w14:paraId="44E8674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22CF872F"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E81CEE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4EA0EB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24343D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98D91C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71D510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AB9A6E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F4491F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4A12E8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68239B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CEE2C4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8257C2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119C93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548973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CDE3C8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4C5B4B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FB2422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4A1513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BB5DD3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3701397D"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59A6F6BD"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7554930A"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4899D36E" w14:textId="61378BD4"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2.2.2. Creación y fortalecimiento de empresas locales y/o modelos de negocio de producción agrícola sostenible en los Centros de Acopio, apoyando las capacidades administrativas de las mujeres dentro de los centros. </w:t>
            </w:r>
          </w:p>
        </w:tc>
        <w:tc>
          <w:tcPr>
            <w:tcW w:w="137" w:type="pct"/>
            <w:tcBorders>
              <w:top w:val="nil"/>
              <w:left w:val="nil"/>
              <w:bottom w:val="single" w:sz="4" w:space="0" w:color="auto"/>
              <w:right w:val="single" w:sz="4" w:space="0" w:color="auto"/>
            </w:tcBorders>
            <w:noWrap/>
            <w:vAlign w:val="center"/>
            <w:hideMark/>
          </w:tcPr>
          <w:p w14:paraId="5050F2E9"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4C83A737"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1B2C94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2DFF8D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55A205B" w14:textId="6E7BB9BD"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D980B3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CF313C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4496D4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FF18C3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09DE56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475F01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B88762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D28864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6B578F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AEF582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B15ACB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98F5BB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BBF668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8CC64F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449319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68A41215"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45074827"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4367CE8B"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006B8431" w14:textId="27A46E9E"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2.2.3. Prácticas de restauración con enfoque de conservación en áreas liberadas de la producción dentro de las parcelas. </w:t>
            </w:r>
          </w:p>
        </w:tc>
        <w:tc>
          <w:tcPr>
            <w:tcW w:w="137" w:type="pct"/>
            <w:tcBorders>
              <w:top w:val="nil"/>
              <w:left w:val="nil"/>
              <w:bottom w:val="single" w:sz="4" w:space="0" w:color="auto"/>
              <w:right w:val="single" w:sz="4" w:space="0" w:color="auto"/>
            </w:tcBorders>
            <w:noWrap/>
            <w:vAlign w:val="center"/>
            <w:hideMark/>
          </w:tcPr>
          <w:p w14:paraId="37BAE92C"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18901E9F"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BF36C5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4901062"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5D1643B" w14:textId="1B9172F6"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CFF032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E29A3B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E7AC9E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7A0404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9CF388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DB7ED6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41C67C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0C54C4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C0D031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A3D1A8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5302A5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3D6839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782DBB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235087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7920A5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0AD9F2A3"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7956A557"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0C11E229"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251DF392" w14:textId="7731A74F"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2.2.4. Metodología para la recolección de datos — integrando variables de género — sobre producción agrícola sostenible que contribuye a los mecanismos de trazabilidad de los Centros de Acopio. </w:t>
            </w:r>
          </w:p>
        </w:tc>
        <w:tc>
          <w:tcPr>
            <w:tcW w:w="137" w:type="pct"/>
            <w:tcBorders>
              <w:top w:val="nil"/>
              <w:left w:val="nil"/>
              <w:bottom w:val="single" w:sz="4" w:space="0" w:color="auto"/>
              <w:right w:val="single" w:sz="4" w:space="0" w:color="auto"/>
            </w:tcBorders>
            <w:noWrap/>
            <w:vAlign w:val="center"/>
            <w:hideMark/>
          </w:tcPr>
          <w:p w14:paraId="0915F61E"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2A8F9AB7"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22F32B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7B8DD29"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A094976" w14:textId="35F3FF0A"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153E5F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AAB2EF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435B6E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BB7DCA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79970E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48D0D2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23E9D1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71C270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E115A6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AC62A1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F4973D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FED135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50C82C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C018AF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23C356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68F80ECF" w14:textId="77777777" w:rsidTr="00411770">
        <w:trPr>
          <w:trHeight w:val="320"/>
        </w:trPr>
        <w:tc>
          <w:tcPr>
            <w:tcW w:w="449" w:type="pct"/>
            <w:vMerge w:val="restart"/>
            <w:tcBorders>
              <w:top w:val="nil"/>
              <w:left w:val="single" w:sz="4" w:space="0" w:color="auto"/>
              <w:bottom w:val="single" w:sz="4" w:space="0" w:color="auto"/>
              <w:right w:val="single" w:sz="4" w:space="0" w:color="auto"/>
            </w:tcBorders>
            <w:hideMark/>
          </w:tcPr>
          <w:p w14:paraId="663E037F" w14:textId="0BFE4A55"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lastRenderedPageBreak/>
              <w:t xml:space="preserve"> 3: Acceso a mecanismos financieros para escalar acciones que contribuyan a la NDT y al cambio climático </w:t>
            </w:r>
          </w:p>
        </w:tc>
        <w:tc>
          <w:tcPr>
            <w:tcW w:w="810" w:type="pct"/>
            <w:vMerge w:val="restart"/>
            <w:tcBorders>
              <w:top w:val="nil"/>
              <w:left w:val="single" w:sz="4" w:space="0" w:color="auto"/>
              <w:bottom w:val="single" w:sz="4" w:space="0" w:color="auto"/>
              <w:right w:val="single" w:sz="4" w:space="0" w:color="auto"/>
            </w:tcBorders>
            <w:hideMark/>
          </w:tcPr>
          <w:p w14:paraId="74190663" w14:textId="0442CA06"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3.1: Escalamiento de medidas que contribuyen a la restauración de tierras y conservación de la biodiversidad para mejorar la resiliencia climática de las comunidades mediante financiamiento y acceso a mercados. </w:t>
            </w:r>
          </w:p>
        </w:tc>
        <w:tc>
          <w:tcPr>
            <w:tcW w:w="999" w:type="pct"/>
            <w:tcBorders>
              <w:top w:val="nil"/>
              <w:left w:val="nil"/>
              <w:bottom w:val="single" w:sz="4" w:space="0" w:color="auto"/>
              <w:right w:val="single" w:sz="4" w:space="0" w:color="auto"/>
            </w:tcBorders>
            <w:noWrap/>
            <w:vAlign w:val="center"/>
            <w:hideMark/>
          </w:tcPr>
          <w:p w14:paraId="7F16E957" w14:textId="78044653"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3.1.1. Programa de capacitación sobre mecanismos financieros para gobiernos locales y/o Consorcios Públicos que enfatiza la igualdad de género y habilita el acceso a esquemas de incentivos. </w:t>
            </w:r>
          </w:p>
        </w:tc>
        <w:tc>
          <w:tcPr>
            <w:tcW w:w="137" w:type="pct"/>
            <w:tcBorders>
              <w:top w:val="nil"/>
              <w:left w:val="nil"/>
              <w:bottom w:val="single" w:sz="4" w:space="0" w:color="auto"/>
              <w:right w:val="single" w:sz="4" w:space="0" w:color="auto"/>
            </w:tcBorders>
            <w:noWrap/>
            <w:vAlign w:val="center"/>
            <w:hideMark/>
          </w:tcPr>
          <w:p w14:paraId="2D02A5A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599A5CB9"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1E4099D"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4518EC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7DFFBE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6CEC39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531BA5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FC6709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AD9907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7890A9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F67199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14DA98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B6E24B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B837DE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E82300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3797B5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67CDF8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F97A5F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7C7CF5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76A6D8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6E39C328"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0F5CFB56"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7D22C770"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3A4A128B" w14:textId="535AE4E9"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3.1.2. Mecanismos de sostenibilidad financiera identificados y promovidos por mujeres y hombres para la protección y conservación de áreas seleccionadas y zonas de protección hídrica. </w:t>
            </w:r>
          </w:p>
        </w:tc>
        <w:tc>
          <w:tcPr>
            <w:tcW w:w="137" w:type="pct"/>
            <w:tcBorders>
              <w:top w:val="nil"/>
              <w:left w:val="nil"/>
              <w:bottom w:val="single" w:sz="4" w:space="0" w:color="auto"/>
              <w:right w:val="single" w:sz="4" w:space="0" w:color="auto"/>
            </w:tcBorders>
            <w:noWrap/>
            <w:vAlign w:val="center"/>
            <w:hideMark/>
          </w:tcPr>
          <w:p w14:paraId="46B625E7"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54D8ECBA"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0FE854C"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F4C736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2F3F22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39CF9A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821C2A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2352B6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CCDF03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38669B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692809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D5C55B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A51D33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0205DC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4BAD77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EE7C15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BF14F1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3751F4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F3E619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73242C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47F1B08E"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3900CC12"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6EA18FCD"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47168D54" w14:textId="3CC6AD43"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3.1.3. Proyectos financiados vinculados a los Planes de Vida de pueblos y nacionalidades indígenas que apoyan la igualdad de género. </w:t>
            </w:r>
          </w:p>
        </w:tc>
        <w:tc>
          <w:tcPr>
            <w:tcW w:w="137" w:type="pct"/>
            <w:tcBorders>
              <w:top w:val="nil"/>
              <w:left w:val="nil"/>
              <w:bottom w:val="single" w:sz="4" w:space="0" w:color="auto"/>
              <w:right w:val="single" w:sz="4" w:space="0" w:color="auto"/>
            </w:tcBorders>
            <w:noWrap/>
            <w:vAlign w:val="center"/>
            <w:hideMark/>
          </w:tcPr>
          <w:p w14:paraId="4738B20C"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65134ABA"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026AFA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72CF9E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37BC5C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E5FE365"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FA39432"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17941C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3DCE2E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BFA9F7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8C5BF9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5534E9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7FA7E5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FCDFC7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C5B3CC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338103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8D3BB7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DCCA79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F471FE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69EDF8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3CD6CF47"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1E0F1D1E"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44DCC018"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63C23B66" w14:textId="4DFF6165"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3.1.4. Ampliación y promoción de productos y servicios financieros que apoyan la igualdad de género con instituciones financieras y actores locales. </w:t>
            </w:r>
          </w:p>
        </w:tc>
        <w:tc>
          <w:tcPr>
            <w:tcW w:w="137" w:type="pct"/>
            <w:tcBorders>
              <w:top w:val="nil"/>
              <w:left w:val="nil"/>
              <w:bottom w:val="single" w:sz="4" w:space="0" w:color="auto"/>
              <w:right w:val="single" w:sz="4" w:space="0" w:color="auto"/>
            </w:tcBorders>
            <w:noWrap/>
            <w:vAlign w:val="center"/>
            <w:hideMark/>
          </w:tcPr>
          <w:p w14:paraId="2D6D9A5D"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60C7A13F"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581E851"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3BA63FC"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09A9E5A"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6B9BA70"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E322910"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55E248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7AB2C9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CDACB3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0B2CA7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60DBD7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829C18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4F2A00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AF1FEA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0C39C9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B5B4F2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8F8868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14CB59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6DF3A9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441E5EE7"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17DAA146"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3969C309"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296C0A7C" w14:textId="4435782C"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3.1.5. Acuerdos comerciales nacionales e internacionales favorecen la producción de origen sostenible y liderada por mujeres. </w:t>
            </w:r>
          </w:p>
        </w:tc>
        <w:tc>
          <w:tcPr>
            <w:tcW w:w="137" w:type="pct"/>
            <w:tcBorders>
              <w:top w:val="nil"/>
              <w:left w:val="nil"/>
              <w:bottom w:val="single" w:sz="4" w:space="0" w:color="auto"/>
              <w:right w:val="single" w:sz="4" w:space="0" w:color="auto"/>
            </w:tcBorders>
            <w:noWrap/>
            <w:vAlign w:val="center"/>
            <w:hideMark/>
          </w:tcPr>
          <w:p w14:paraId="30DB053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5D633A4F"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2C0DF29"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C3E086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2D52F75"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78A85D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83CE64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35A86D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2F47CB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86052F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25B9E4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FD3EDB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0549E1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940B84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2EB892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0F8E6C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7B9F25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39337E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1D5085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4ACCC1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383D61A2" w14:textId="77777777" w:rsidTr="00411770">
        <w:trPr>
          <w:trHeight w:val="320"/>
        </w:trPr>
        <w:tc>
          <w:tcPr>
            <w:tcW w:w="449" w:type="pct"/>
            <w:vMerge w:val="restart"/>
            <w:tcBorders>
              <w:top w:val="nil"/>
              <w:left w:val="single" w:sz="4" w:space="0" w:color="auto"/>
              <w:bottom w:val="single" w:sz="4" w:space="0" w:color="auto"/>
              <w:right w:val="single" w:sz="4" w:space="0" w:color="auto"/>
            </w:tcBorders>
            <w:hideMark/>
          </w:tcPr>
          <w:p w14:paraId="5C2BA7DF" w14:textId="5A49DEEA"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4: Gestión del conocimiento mediante desarrollo de capacidades y comunicación </w:t>
            </w:r>
          </w:p>
        </w:tc>
        <w:tc>
          <w:tcPr>
            <w:tcW w:w="810" w:type="pct"/>
            <w:vMerge w:val="restart"/>
            <w:tcBorders>
              <w:top w:val="nil"/>
              <w:left w:val="single" w:sz="4" w:space="0" w:color="auto"/>
              <w:bottom w:val="single" w:sz="4" w:space="0" w:color="auto"/>
              <w:right w:val="single" w:sz="4" w:space="0" w:color="auto"/>
            </w:tcBorders>
            <w:hideMark/>
          </w:tcPr>
          <w:p w14:paraId="11D3FBB1" w14:textId="178179E6"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4.1: Gestión del conocimiento para la toma de decisiones y el empoderamiento de actores </w:t>
            </w:r>
          </w:p>
        </w:tc>
        <w:tc>
          <w:tcPr>
            <w:tcW w:w="999" w:type="pct"/>
            <w:tcBorders>
              <w:top w:val="nil"/>
              <w:left w:val="nil"/>
              <w:bottom w:val="single" w:sz="4" w:space="0" w:color="auto"/>
              <w:right w:val="single" w:sz="4" w:space="0" w:color="auto"/>
            </w:tcBorders>
            <w:noWrap/>
            <w:vAlign w:val="center"/>
            <w:hideMark/>
          </w:tcPr>
          <w:p w14:paraId="0C6B7B70" w14:textId="624B2432"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4.1.1. Programa de desarrollo de capacidades y capacitación sobre neutralidad en la degradación de tierras, cambio climático, biodiversidad, igualdad de género (incluyendo masculinidades) e interseccionalidad. </w:t>
            </w:r>
          </w:p>
        </w:tc>
        <w:tc>
          <w:tcPr>
            <w:tcW w:w="137" w:type="pct"/>
            <w:tcBorders>
              <w:top w:val="nil"/>
              <w:left w:val="nil"/>
              <w:bottom w:val="single" w:sz="4" w:space="0" w:color="auto"/>
              <w:right w:val="single" w:sz="4" w:space="0" w:color="auto"/>
            </w:tcBorders>
            <w:noWrap/>
            <w:vAlign w:val="center"/>
            <w:hideMark/>
          </w:tcPr>
          <w:p w14:paraId="126B2BC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347ABAE5"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360C1F9"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1FE650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7772CF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203DA2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8D4609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68A153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A5D883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13FBBF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51BA51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09A18F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2BC690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115C29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AD7A5E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E03AF8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E7133E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7DFEB0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4474E1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E8CBD0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57EBB939"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25D74963"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4F272405"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2B9DB17A" w14:textId="7B0B3D66"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4.1.2. Fortalecimiento de la red hidrometeorológica y cadena de información para el desarrollo de un sistema de alerta temprana. </w:t>
            </w:r>
          </w:p>
        </w:tc>
        <w:tc>
          <w:tcPr>
            <w:tcW w:w="137" w:type="pct"/>
            <w:tcBorders>
              <w:top w:val="nil"/>
              <w:left w:val="nil"/>
              <w:bottom w:val="single" w:sz="4" w:space="0" w:color="auto"/>
              <w:right w:val="single" w:sz="4" w:space="0" w:color="auto"/>
            </w:tcBorders>
            <w:noWrap/>
            <w:vAlign w:val="center"/>
            <w:hideMark/>
          </w:tcPr>
          <w:p w14:paraId="5BAE711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4E36063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998DA3A"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47F894A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66C6DC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8BBC58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695B74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8A482C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A399BF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F20B82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544B7A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8478B6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BBC4F5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23D147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C474BA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62D725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888B1D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F1BB2C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4A6CAE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DC19E8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7461C798"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092D962E"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34E7075A"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1E11DAB8" w14:textId="1328D30D"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4.1.3. Desarrollo e implementación de la estrategia de comunicación. </w:t>
            </w:r>
          </w:p>
        </w:tc>
        <w:tc>
          <w:tcPr>
            <w:tcW w:w="137" w:type="pct"/>
            <w:tcBorders>
              <w:top w:val="nil"/>
              <w:left w:val="nil"/>
              <w:bottom w:val="single" w:sz="4" w:space="0" w:color="auto"/>
              <w:right w:val="single" w:sz="4" w:space="0" w:color="auto"/>
            </w:tcBorders>
            <w:noWrap/>
            <w:vAlign w:val="center"/>
            <w:hideMark/>
          </w:tcPr>
          <w:p w14:paraId="2E00823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64902263"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88428D4"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11EFFF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D4E945A"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A9E109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CEE7CA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43083F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4441D5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425337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2345F4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E381B1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973CAE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A3AA97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784665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D56FA3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CC9C4F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395AE9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057AA8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E36B8F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r w:rsidR="00411770" w:rsidRPr="00A51E75" w14:paraId="2FFBE5F1" w14:textId="77777777" w:rsidTr="00411770">
        <w:trPr>
          <w:trHeight w:val="320"/>
        </w:trPr>
        <w:tc>
          <w:tcPr>
            <w:tcW w:w="449" w:type="pct"/>
            <w:vMerge w:val="restart"/>
            <w:tcBorders>
              <w:top w:val="nil"/>
              <w:left w:val="single" w:sz="4" w:space="0" w:color="auto"/>
              <w:bottom w:val="single" w:sz="4" w:space="0" w:color="auto"/>
              <w:right w:val="single" w:sz="4" w:space="0" w:color="auto"/>
            </w:tcBorders>
            <w:hideMark/>
          </w:tcPr>
          <w:p w14:paraId="66330E73" w14:textId="21DC721A" w:rsidR="00411770" w:rsidRPr="00A51E75" w:rsidRDefault="00411770" w:rsidP="00411770">
            <w:pPr>
              <w:rPr>
                <w:rFonts w:asciiTheme="minorHAnsi" w:hAnsiTheme="minorHAnsi" w:cstheme="minorHAnsi"/>
                <w:color w:val="000000"/>
                <w:sz w:val="14"/>
                <w:szCs w:val="14"/>
              </w:rPr>
            </w:pPr>
            <w:r w:rsidRPr="00411770">
              <w:rPr>
                <w:rFonts w:asciiTheme="minorHAnsi" w:eastAsia="SimSun" w:hAnsiTheme="minorHAnsi" w:cstheme="minorHAnsi"/>
                <w:sz w:val="14"/>
                <w:szCs w:val="14"/>
              </w:rPr>
              <w:t xml:space="preserve"> 5: Monitoreo y evaluación </w:t>
            </w:r>
          </w:p>
        </w:tc>
        <w:tc>
          <w:tcPr>
            <w:tcW w:w="810" w:type="pct"/>
            <w:vMerge w:val="restart"/>
            <w:tcBorders>
              <w:top w:val="nil"/>
              <w:left w:val="single" w:sz="4" w:space="0" w:color="auto"/>
              <w:bottom w:val="single" w:sz="4" w:space="0" w:color="auto"/>
              <w:right w:val="single" w:sz="4" w:space="0" w:color="auto"/>
            </w:tcBorders>
            <w:hideMark/>
          </w:tcPr>
          <w:p w14:paraId="4FBE31E9" w14:textId="068DF337"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5.1: Monitoreo y evaluación de las actividades e indicadores del proyecto </w:t>
            </w:r>
          </w:p>
        </w:tc>
        <w:tc>
          <w:tcPr>
            <w:tcW w:w="999" w:type="pct"/>
            <w:tcBorders>
              <w:top w:val="nil"/>
              <w:left w:val="nil"/>
              <w:bottom w:val="single" w:sz="4" w:space="0" w:color="auto"/>
              <w:right w:val="single" w:sz="4" w:space="0" w:color="auto"/>
            </w:tcBorders>
            <w:noWrap/>
            <w:vAlign w:val="center"/>
            <w:hideMark/>
          </w:tcPr>
          <w:p w14:paraId="4E8D9335" w14:textId="3B940486"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5.1.1. Monitoreo de riesgos identificados por el procedimiento de evaluación social y ambiental e implementación de acciones de mitigación. </w:t>
            </w:r>
          </w:p>
        </w:tc>
        <w:tc>
          <w:tcPr>
            <w:tcW w:w="137" w:type="pct"/>
            <w:tcBorders>
              <w:top w:val="nil"/>
              <w:left w:val="nil"/>
              <w:bottom w:val="single" w:sz="4" w:space="0" w:color="auto"/>
              <w:right w:val="single" w:sz="4" w:space="0" w:color="auto"/>
            </w:tcBorders>
            <w:noWrap/>
            <w:vAlign w:val="center"/>
            <w:hideMark/>
          </w:tcPr>
          <w:p w14:paraId="285530BF" w14:textId="680A5BAC" w:rsidR="00411770" w:rsidRPr="00D830D9" w:rsidRDefault="00411770" w:rsidP="00411770">
            <w:pPr>
              <w:jc w:val="center"/>
              <w:rPr>
                <w:rFonts w:asciiTheme="minorHAnsi" w:hAnsiTheme="minorHAnsi" w:cstheme="minorHAnsi"/>
                <w:color w:val="000000"/>
                <w:sz w:val="18"/>
                <w:szCs w:val="18"/>
                <w:lang w:val="es-EC"/>
              </w:rPr>
            </w:pPr>
          </w:p>
        </w:tc>
        <w:tc>
          <w:tcPr>
            <w:tcW w:w="137" w:type="pct"/>
            <w:tcBorders>
              <w:top w:val="nil"/>
              <w:left w:val="nil"/>
              <w:bottom w:val="single" w:sz="4" w:space="0" w:color="auto"/>
              <w:right w:val="single" w:sz="4" w:space="0" w:color="auto"/>
            </w:tcBorders>
            <w:noWrap/>
            <w:vAlign w:val="center"/>
            <w:hideMark/>
          </w:tcPr>
          <w:p w14:paraId="673BD6B7"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DA927A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D64526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CBAB7C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22A00A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067BDB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6E6E8E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381DFA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86ED00F"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E308B9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76900C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24F4D6B"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75A097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42AF7ED"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F75E7B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946F5D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2518F3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DF042F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544EB1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r>
      <w:tr w:rsidR="00411770" w:rsidRPr="00A51E75" w14:paraId="01AD600C"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6DB10971"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3BC42B6A"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6FC2429E" w14:textId="60EFF882"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5.1.2. Monitoreo y reporte sobre los resultados del proyecto. </w:t>
            </w:r>
          </w:p>
        </w:tc>
        <w:tc>
          <w:tcPr>
            <w:tcW w:w="137" w:type="pct"/>
            <w:tcBorders>
              <w:top w:val="nil"/>
              <w:left w:val="nil"/>
              <w:bottom w:val="single" w:sz="4" w:space="0" w:color="auto"/>
              <w:right w:val="single" w:sz="4" w:space="0" w:color="auto"/>
            </w:tcBorders>
            <w:noWrap/>
            <w:vAlign w:val="center"/>
            <w:hideMark/>
          </w:tcPr>
          <w:p w14:paraId="0A82A1AF" w14:textId="706BB803" w:rsidR="00411770" w:rsidRPr="00D830D9" w:rsidRDefault="00411770" w:rsidP="00411770">
            <w:pPr>
              <w:jc w:val="center"/>
              <w:rPr>
                <w:rFonts w:asciiTheme="minorHAnsi" w:hAnsiTheme="minorHAnsi" w:cstheme="minorHAnsi"/>
                <w:color w:val="000000"/>
                <w:sz w:val="18"/>
                <w:szCs w:val="18"/>
                <w:lang w:val="es-EC"/>
              </w:rPr>
            </w:pPr>
          </w:p>
        </w:tc>
        <w:tc>
          <w:tcPr>
            <w:tcW w:w="137" w:type="pct"/>
            <w:tcBorders>
              <w:top w:val="nil"/>
              <w:left w:val="nil"/>
              <w:bottom w:val="single" w:sz="4" w:space="0" w:color="auto"/>
              <w:right w:val="single" w:sz="4" w:space="0" w:color="auto"/>
            </w:tcBorders>
            <w:noWrap/>
            <w:vAlign w:val="center"/>
            <w:hideMark/>
          </w:tcPr>
          <w:p w14:paraId="50817AD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252296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50C119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B0BA34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88390F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2A5D3A2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58CF5FC"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BC59C2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703D18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88996E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116E457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E6B3574"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1EE737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33D06B48"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DB074D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57F11C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06D8F50E"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4C3DC8B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7949076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r>
      <w:tr w:rsidR="00411770" w:rsidRPr="00A51E75" w14:paraId="2E4354A2" w14:textId="77777777" w:rsidTr="00411770">
        <w:trPr>
          <w:trHeight w:val="320"/>
        </w:trPr>
        <w:tc>
          <w:tcPr>
            <w:tcW w:w="449" w:type="pct"/>
            <w:vMerge/>
            <w:tcBorders>
              <w:top w:val="nil"/>
              <w:left w:val="single" w:sz="4" w:space="0" w:color="auto"/>
              <w:bottom w:val="single" w:sz="4" w:space="0" w:color="auto"/>
              <w:right w:val="single" w:sz="4" w:space="0" w:color="auto"/>
            </w:tcBorders>
            <w:vAlign w:val="center"/>
            <w:hideMark/>
          </w:tcPr>
          <w:p w14:paraId="734A623B" w14:textId="77777777" w:rsidR="00411770" w:rsidRPr="00A51E75" w:rsidRDefault="00411770" w:rsidP="00411770">
            <w:pPr>
              <w:rPr>
                <w:rFonts w:asciiTheme="minorHAnsi" w:hAnsiTheme="minorHAnsi" w:cstheme="minorHAnsi"/>
                <w:color w:val="000000"/>
                <w:sz w:val="14"/>
                <w:szCs w:val="14"/>
              </w:rPr>
            </w:pPr>
          </w:p>
        </w:tc>
        <w:tc>
          <w:tcPr>
            <w:tcW w:w="810" w:type="pct"/>
            <w:vMerge/>
            <w:tcBorders>
              <w:top w:val="nil"/>
              <w:left w:val="single" w:sz="4" w:space="0" w:color="auto"/>
              <w:bottom w:val="single" w:sz="4" w:space="0" w:color="auto"/>
              <w:right w:val="single" w:sz="4" w:space="0" w:color="auto"/>
            </w:tcBorders>
            <w:vAlign w:val="center"/>
            <w:hideMark/>
          </w:tcPr>
          <w:p w14:paraId="07A76248" w14:textId="77777777" w:rsidR="00411770" w:rsidRPr="00A51E75" w:rsidRDefault="00411770" w:rsidP="00411770">
            <w:pPr>
              <w:rPr>
                <w:rFonts w:asciiTheme="minorHAnsi" w:hAnsiTheme="minorHAnsi" w:cstheme="minorHAnsi"/>
                <w:color w:val="000000"/>
                <w:sz w:val="14"/>
                <w:szCs w:val="14"/>
              </w:rPr>
            </w:pPr>
          </w:p>
        </w:tc>
        <w:tc>
          <w:tcPr>
            <w:tcW w:w="999" w:type="pct"/>
            <w:tcBorders>
              <w:top w:val="nil"/>
              <w:left w:val="nil"/>
              <w:bottom w:val="single" w:sz="4" w:space="0" w:color="auto"/>
              <w:right w:val="single" w:sz="4" w:space="0" w:color="auto"/>
            </w:tcBorders>
            <w:noWrap/>
            <w:vAlign w:val="center"/>
            <w:hideMark/>
          </w:tcPr>
          <w:p w14:paraId="3B721D7A" w14:textId="12E22059" w:rsidR="00411770" w:rsidRPr="00D830D9" w:rsidRDefault="00411770" w:rsidP="00411770">
            <w:pPr>
              <w:rPr>
                <w:rFonts w:asciiTheme="minorHAnsi" w:hAnsiTheme="minorHAnsi" w:cstheme="minorHAnsi"/>
                <w:color w:val="000000"/>
                <w:sz w:val="14"/>
                <w:szCs w:val="14"/>
                <w:lang w:val="es-EC"/>
              </w:rPr>
            </w:pPr>
            <w:r w:rsidRPr="00411770">
              <w:rPr>
                <w:rFonts w:asciiTheme="minorHAnsi" w:eastAsia="SimSun" w:hAnsiTheme="minorHAnsi" w:cstheme="minorHAnsi"/>
                <w:sz w:val="14"/>
                <w:szCs w:val="14"/>
              </w:rPr>
              <w:t xml:space="preserve"> 5.1.3. Revisión de medio término y evaluación final del proyecto. </w:t>
            </w:r>
          </w:p>
        </w:tc>
        <w:tc>
          <w:tcPr>
            <w:tcW w:w="137" w:type="pct"/>
            <w:tcBorders>
              <w:top w:val="nil"/>
              <w:left w:val="nil"/>
              <w:bottom w:val="single" w:sz="4" w:space="0" w:color="auto"/>
              <w:right w:val="single" w:sz="4" w:space="0" w:color="auto"/>
            </w:tcBorders>
            <w:noWrap/>
            <w:vAlign w:val="center"/>
            <w:hideMark/>
          </w:tcPr>
          <w:p w14:paraId="23E1A970"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xml:space="preserve"> </w:t>
            </w:r>
          </w:p>
        </w:tc>
        <w:tc>
          <w:tcPr>
            <w:tcW w:w="137" w:type="pct"/>
            <w:tcBorders>
              <w:top w:val="nil"/>
              <w:left w:val="nil"/>
              <w:bottom w:val="single" w:sz="4" w:space="0" w:color="auto"/>
              <w:right w:val="single" w:sz="4" w:space="0" w:color="auto"/>
            </w:tcBorders>
            <w:noWrap/>
            <w:vAlign w:val="center"/>
            <w:hideMark/>
          </w:tcPr>
          <w:p w14:paraId="232DF88B"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5A4B195"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A3D66BE"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09B30AE"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CA7831E"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15DCBC6"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565F3568" w14:textId="77777777" w:rsidR="00411770" w:rsidRPr="00D830D9" w:rsidRDefault="00411770" w:rsidP="00411770">
            <w:pPr>
              <w:jc w:val="center"/>
              <w:rPr>
                <w:rFonts w:asciiTheme="minorHAnsi" w:hAnsiTheme="minorHAnsi" w:cstheme="minorHAnsi"/>
                <w:color w:val="000000"/>
                <w:sz w:val="18"/>
                <w:szCs w:val="18"/>
                <w:lang w:val="es-EC"/>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D90C5C1" w14:textId="13EE1D1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55FF30F6"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3A0641E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D1A3FE3" w14:textId="30DEBECB" w:rsidR="00411770" w:rsidRPr="00A51E75" w:rsidRDefault="00411770" w:rsidP="00411770">
            <w:pPr>
              <w:jc w:val="center"/>
              <w:rPr>
                <w:rFonts w:asciiTheme="minorHAnsi" w:hAnsiTheme="minorHAnsi" w:cstheme="minorHAnsi"/>
                <w:color w:val="000000"/>
                <w:sz w:val="18"/>
                <w:szCs w:val="18"/>
              </w:rPr>
            </w:pPr>
          </w:p>
        </w:tc>
        <w:tc>
          <w:tcPr>
            <w:tcW w:w="137" w:type="pct"/>
            <w:tcBorders>
              <w:top w:val="nil"/>
              <w:left w:val="nil"/>
              <w:bottom w:val="single" w:sz="4" w:space="0" w:color="auto"/>
              <w:right w:val="single" w:sz="4" w:space="0" w:color="auto"/>
            </w:tcBorders>
            <w:noWrap/>
            <w:vAlign w:val="center"/>
            <w:hideMark/>
          </w:tcPr>
          <w:p w14:paraId="1311B791"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9BBEFD2"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29EC2355"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631437C3"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19AC236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7BD7386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c>
          <w:tcPr>
            <w:tcW w:w="137" w:type="pct"/>
            <w:tcBorders>
              <w:top w:val="nil"/>
              <w:left w:val="nil"/>
              <w:bottom w:val="single" w:sz="4" w:space="0" w:color="auto"/>
              <w:right w:val="single" w:sz="4" w:space="0" w:color="auto"/>
            </w:tcBorders>
            <w:noWrap/>
            <w:vAlign w:val="center"/>
            <w:hideMark/>
          </w:tcPr>
          <w:p w14:paraId="0A9AB4C9"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X</w:t>
            </w:r>
          </w:p>
        </w:tc>
        <w:tc>
          <w:tcPr>
            <w:tcW w:w="137" w:type="pct"/>
            <w:tcBorders>
              <w:top w:val="nil"/>
              <w:left w:val="nil"/>
              <w:bottom w:val="single" w:sz="4" w:space="0" w:color="auto"/>
              <w:right w:val="single" w:sz="4" w:space="0" w:color="auto"/>
            </w:tcBorders>
            <w:noWrap/>
            <w:vAlign w:val="center"/>
            <w:hideMark/>
          </w:tcPr>
          <w:p w14:paraId="6C164AE0" w14:textId="77777777" w:rsidR="00411770" w:rsidRPr="00A51E75" w:rsidRDefault="00411770" w:rsidP="00411770">
            <w:pPr>
              <w:jc w:val="center"/>
              <w:rPr>
                <w:rFonts w:asciiTheme="minorHAnsi" w:hAnsiTheme="minorHAnsi" w:cstheme="minorHAnsi"/>
                <w:color w:val="000000"/>
                <w:sz w:val="18"/>
                <w:szCs w:val="18"/>
              </w:rPr>
            </w:pPr>
            <w:r w:rsidRPr="00A51E75">
              <w:rPr>
                <w:rFonts w:asciiTheme="minorHAnsi" w:hAnsiTheme="minorHAnsi" w:cstheme="minorHAnsi"/>
                <w:color w:val="000000"/>
                <w:sz w:val="18"/>
                <w:szCs w:val="18"/>
              </w:rPr>
              <w:t> </w:t>
            </w:r>
          </w:p>
        </w:tc>
      </w:tr>
    </w:tbl>
    <w:p w14:paraId="27B67ED6" w14:textId="77777777" w:rsidR="0078382B" w:rsidRPr="00A51E75" w:rsidRDefault="0078382B" w:rsidP="008B6F84">
      <w:pPr>
        <w:spacing w:after="60"/>
        <w:jc w:val="both"/>
        <w:rPr>
          <w:rFonts w:asciiTheme="minorHAnsi" w:eastAsia="SimSun" w:hAnsiTheme="minorHAnsi" w:cstheme="minorHAnsi"/>
          <w:sz w:val="20"/>
        </w:rPr>
      </w:pPr>
    </w:p>
    <w:p w14:paraId="31307ED7" w14:textId="77777777" w:rsidR="004445BF" w:rsidRDefault="004445BF" w:rsidP="008B6F84">
      <w:pPr>
        <w:spacing w:after="60"/>
        <w:jc w:val="both"/>
        <w:rPr>
          <w:rFonts w:asciiTheme="minorHAnsi" w:eastAsia="SimSun" w:hAnsiTheme="minorHAnsi" w:cstheme="minorHAnsi"/>
          <w:sz w:val="20"/>
        </w:rPr>
      </w:pPr>
    </w:p>
    <w:p w14:paraId="0C9560DC" w14:textId="77777777" w:rsidR="00411770" w:rsidRDefault="00411770" w:rsidP="008B6F84">
      <w:pPr>
        <w:spacing w:after="60"/>
        <w:jc w:val="both"/>
        <w:rPr>
          <w:rFonts w:asciiTheme="minorHAnsi" w:eastAsia="SimSun" w:hAnsiTheme="minorHAnsi" w:cstheme="minorHAnsi"/>
          <w:sz w:val="20"/>
        </w:rPr>
      </w:pPr>
    </w:p>
    <w:p w14:paraId="0A92E678" w14:textId="77777777" w:rsidR="00411770" w:rsidRPr="00411770" w:rsidRDefault="00411770" w:rsidP="00411770">
      <w:pPr>
        <w:spacing w:after="60"/>
        <w:jc w:val="both"/>
        <w:rPr>
          <w:rFonts w:asciiTheme="minorHAnsi" w:eastAsia="SimSun" w:hAnsiTheme="minorHAnsi" w:cstheme="minorHAnsi"/>
          <w:sz w:val="20"/>
        </w:rPr>
      </w:pPr>
    </w:p>
    <w:p w14:paraId="47F1C873" w14:textId="301C4809" w:rsidR="00411770" w:rsidRPr="00A51E75" w:rsidRDefault="00411770" w:rsidP="00411770">
      <w:pPr>
        <w:spacing w:after="60"/>
        <w:jc w:val="both"/>
        <w:rPr>
          <w:rFonts w:asciiTheme="minorHAnsi" w:eastAsia="SimSun" w:hAnsiTheme="minorHAnsi" w:cstheme="minorHAnsi"/>
          <w:sz w:val="20"/>
        </w:rPr>
        <w:sectPr w:rsidR="00411770" w:rsidRPr="00A51E75" w:rsidSect="008B6F84">
          <w:pgSz w:w="12240" w:h="15840" w:code="1"/>
          <w:pgMar w:top="720" w:right="720" w:bottom="720" w:left="720" w:header="720" w:footer="720" w:gutter="0"/>
          <w:cols w:space="720"/>
          <w:docGrid w:linePitch="360"/>
        </w:sectPr>
      </w:pPr>
    </w:p>
    <w:p w14:paraId="36AAAA5A" w14:textId="77777777" w:rsidR="008B6F84" w:rsidRPr="00125CE3" w:rsidRDefault="00211737" w:rsidP="008B6F84">
      <w:pPr>
        <w:keepNext/>
        <w:spacing w:after="60"/>
        <w:jc w:val="both"/>
        <w:outlineLvl w:val="1"/>
        <w:rPr>
          <w:rFonts w:ascii="Calibri" w:eastAsia="SimSun" w:hAnsi="Calibri" w:cs="Calibri"/>
          <w:b/>
          <w:bCs/>
          <w:sz w:val="20"/>
          <w:szCs w:val="20"/>
        </w:rPr>
      </w:pPr>
      <w:bookmarkStart w:id="72" w:name="_Toc221696312"/>
      <w:bookmarkEnd w:id="32"/>
      <w:bookmarkEnd w:id="33"/>
      <w:r w:rsidRPr="00125CE3">
        <w:rPr>
          <w:rFonts w:ascii="Calibri" w:eastAsia="SimSun" w:hAnsi="Calibri" w:cs="Calibri"/>
          <w:b/>
          <w:bCs/>
          <w:sz w:val="20"/>
          <w:szCs w:val="20"/>
        </w:rPr>
        <w:lastRenderedPageBreak/>
        <w:t>Anexo 5: Procedimiento de Selección Social y Ambiental (SESP) del PNUD</w:t>
      </w:r>
      <w:bookmarkEnd w:id="72"/>
    </w:p>
    <w:p w14:paraId="3FA7A81B"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29B3DCFA" w14:textId="77777777" w:rsidR="00831616" w:rsidRPr="00A51E75" w:rsidRDefault="00831616" w:rsidP="00831616">
      <w:pPr>
        <w:pStyle w:val="Ttulo3"/>
        <w:rPr>
          <w:rFonts w:asciiTheme="minorHAnsi" w:hAnsiTheme="minorHAnsi" w:cstheme="minorHAnsi"/>
          <w:sz w:val="24"/>
          <w:szCs w:val="24"/>
        </w:rPr>
      </w:pPr>
      <w:r w:rsidRPr="00A51E75">
        <w:rPr>
          <w:rFonts w:asciiTheme="minorHAnsi" w:hAnsiTheme="minorHAnsi" w:cstheme="minorHAnsi"/>
          <w:color w:val="4F81BC"/>
          <w:sz w:val="24"/>
          <w:szCs w:val="24"/>
        </w:rPr>
        <w:t>Información del proyecto</w:t>
      </w:r>
    </w:p>
    <w:p w14:paraId="74312B20" w14:textId="77777777" w:rsidR="00831616" w:rsidRPr="00A51E75" w:rsidRDefault="00831616" w:rsidP="00831616">
      <w:pPr>
        <w:pStyle w:val="Textoindependiente"/>
        <w:spacing w:after="1"/>
        <w:rPr>
          <w:rFonts w:asciiTheme="minorHAnsi" w:hAnsiTheme="minorHAnsi" w:cstheme="minorHAnsi"/>
          <w:b/>
        </w:rPr>
      </w:pPr>
    </w:p>
    <w:tbl>
      <w:tblPr>
        <w:tblW w:w="13249"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9202"/>
      </w:tblGrid>
      <w:tr w:rsidR="00831616" w:rsidRPr="00A51E75" w14:paraId="7A112373" w14:textId="77777777">
        <w:trPr>
          <w:trHeight w:val="244"/>
        </w:trPr>
        <w:tc>
          <w:tcPr>
            <w:tcW w:w="4047" w:type="dxa"/>
            <w:shd w:val="clear" w:color="auto" w:fill="C5D9F0"/>
          </w:tcPr>
          <w:p w14:paraId="1D504F55" w14:textId="77777777" w:rsidR="00831616" w:rsidRPr="00A51E75" w:rsidRDefault="00831616">
            <w:pPr>
              <w:pStyle w:val="TableParagraph"/>
              <w:spacing w:before="1"/>
              <w:ind w:left="107"/>
              <w:rPr>
                <w:rFonts w:asciiTheme="minorHAnsi" w:hAnsiTheme="minorHAnsi" w:cstheme="minorHAnsi"/>
                <w:b/>
                <w:iCs/>
                <w:sz w:val="20"/>
              </w:rPr>
            </w:pPr>
            <w:proofErr w:type="spellStart"/>
            <w:r w:rsidRPr="00A51E75">
              <w:rPr>
                <w:rFonts w:asciiTheme="minorHAnsi" w:hAnsiTheme="minorHAnsi" w:cstheme="minorHAnsi"/>
                <w:b/>
                <w:iCs/>
                <w:sz w:val="20"/>
              </w:rPr>
              <w:t>Información</w:t>
            </w:r>
            <w:proofErr w:type="spellEnd"/>
            <w:r w:rsidRPr="00A51E75">
              <w:rPr>
                <w:rFonts w:asciiTheme="minorHAnsi" w:hAnsiTheme="minorHAnsi" w:cstheme="minorHAnsi"/>
                <w:b/>
                <w:iCs/>
                <w:sz w:val="20"/>
              </w:rPr>
              <w:t xml:space="preserve"> del proyecto </w:t>
            </w:r>
          </w:p>
        </w:tc>
        <w:tc>
          <w:tcPr>
            <w:tcW w:w="9202" w:type="dxa"/>
            <w:shd w:val="clear" w:color="auto" w:fill="C5D9F0"/>
          </w:tcPr>
          <w:p w14:paraId="2D002827" w14:textId="77777777" w:rsidR="00831616" w:rsidRPr="00A51E75" w:rsidRDefault="00831616">
            <w:pPr>
              <w:pStyle w:val="TableParagraph"/>
              <w:rPr>
                <w:rFonts w:asciiTheme="minorHAnsi" w:hAnsiTheme="minorHAnsi" w:cstheme="minorHAnsi"/>
                <w:sz w:val="16"/>
              </w:rPr>
            </w:pPr>
          </w:p>
        </w:tc>
      </w:tr>
      <w:tr w:rsidR="00831616" w:rsidRPr="007D4F41" w14:paraId="34C3808E" w14:textId="77777777">
        <w:trPr>
          <w:trHeight w:val="288"/>
        </w:trPr>
        <w:tc>
          <w:tcPr>
            <w:tcW w:w="4047" w:type="dxa"/>
          </w:tcPr>
          <w:p w14:paraId="7E89F752" w14:textId="77777777" w:rsidR="00831616" w:rsidRPr="00A51E75" w:rsidRDefault="00831616">
            <w:pPr>
              <w:pStyle w:val="TableParagraph"/>
              <w:tabs>
                <w:tab w:val="left" w:pos="468"/>
              </w:tabs>
              <w:spacing w:before="35"/>
              <w:ind w:left="107"/>
              <w:rPr>
                <w:rFonts w:asciiTheme="minorHAnsi" w:hAnsiTheme="minorHAnsi" w:cstheme="minorHAnsi"/>
                <w:sz w:val="18"/>
                <w:szCs w:val="18"/>
              </w:rPr>
            </w:pPr>
            <w:r w:rsidRPr="00A51E75">
              <w:rPr>
                <w:rFonts w:asciiTheme="minorHAnsi" w:hAnsiTheme="minorHAnsi" w:cstheme="minorHAnsi"/>
                <w:sz w:val="18"/>
                <w:szCs w:val="18"/>
              </w:rPr>
              <w:t>1.</w:t>
            </w:r>
            <w:r w:rsidRPr="00A51E75">
              <w:rPr>
                <w:rFonts w:asciiTheme="minorHAnsi" w:hAnsiTheme="minorHAnsi" w:cstheme="minorHAnsi"/>
                <w:sz w:val="18"/>
                <w:szCs w:val="18"/>
              </w:rPr>
              <w:tab/>
            </w:r>
            <w:proofErr w:type="spellStart"/>
            <w:r w:rsidRPr="00A51E75">
              <w:rPr>
                <w:rFonts w:asciiTheme="minorHAnsi" w:hAnsiTheme="minorHAnsi" w:cstheme="minorHAnsi"/>
                <w:sz w:val="18"/>
                <w:szCs w:val="18"/>
              </w:rPr>
              <w:t>Título</w:t>
            </w:r>
            <w:proofErr w:type="spellEnd"/>
            <w:r w:rsidRPr="00A51E75">
              <w:rPr>
                <w:rFonts w:asciiTheme="minorHAnsi" w:hAnsiTheme="minorHAnsi" w:cstheme="minorHAnsi"/>
                <w:sz w:val="18"/>
                <w:szCs w:val="18"/>
              </w:rPr>
              <w:t xml:space="preserve"> del proyecto</w:t>
            </w:r>
          </w:p>
        </w:tc>
        <w:tc>
          <w:tcPr>
            <w:tcW w:w="9202" w:type="dxa"/>
          </w:tcPr>
          <w:p w14:paraId="0DE2116F" w14:textId="43DE73B5" w:rsidR="00831616" w:rsidRPr="00D830D9" w:rsidRDefault="00831616">
            <w:pPr>
              <w:pStyle w:val="TableParagraph"/>
              <w:rPr>
                <w:rFonts w:asciiTheme="minorHAnsi" w:hAnsiTheme="minorHAnsi" w:cstheme="minorHAnsi"/>
                <w:sz w:val="18"/>
                <w:szCs w:val="18"/>
                <w:lang w:val="es-EC"/>
              </w:rPr>
            </w:pPr>
            <w:r w:rsidRPr="00D830D9">
              <w:rPr>
                <w:rFonts w:asciiTheme="minorHAnsi" w:hAnsiTheme="minorHAnsi" w:cstheme="minorHAnsi"/>
                <w:sz w:val="18"/>
                <w:szCs w:val="18"/>
                <w:lang w:val="es-EC"/>
              </w:rPr>
              <w:t xml:space="preserve">Gestión Integrada del Paisaje en la Cuenca del Río Napo para la </w:t>
            </w:r>
            <w:r w:rsidR="000A54C4">
              <w:rPr>
                <w:rFonts w:asciiTheme="minorHAnsi" w:hAnsiTheme="minorHAnsi" w:cstheme="minorHAnsi"/>
                <w:sz w:val="18"/>
                <w:szCs w:val="18"/>
                <w:lang w:val="es-EC"/>
              </w:rPr>
              <w:t>Manejo Sostenible de la Tierra</w:t>
            </w:r>
            <w:r w:rsidRPr="00D830D9">
              <w:rPr>
                <w:rFonts w:asciiTheme="minorHAnsi" w:hAnsiTheme="minorHAnsi" w:cstheme="minorHAnsi"/>
                <w:sz w:val="18"/>
                <w:szCs w:val="18"/>
                <w:lang w:val="es-EC"/>
              </w:rPr>
              <w:t xml:space="preserve"> y la Conservación de la Biodiversidad</w:t>
            </w:r>
          </w:p>
        </w:tc>
      </w:tr>
      <w:tr w:rsidR="00831616" w:rsidRPr="00A51E75" w14:paraId="24348B86" w14:textId="77777777">
        <w:trPr>
          <w:trHeight w:val="287"/>
        </w:trPr>
        <w:tc>
          <w:tcPr>
            <w:tcW w:w="4047" w:type="dxa"/>
          </w:tcPr>
          <w:p w14:paraId="4B278806" w14:textId="77777777" w:rsidR="00831616" w:rsidRPr="00A51E75" w:rsidRDefault="00831616">
            <w:pPr>
              <w:pStyle w:val="TableParagraph"/>
              <w:tabs>
                <w:tab w:val="left" w:pos="468"/>
              </w:tabs>
              <w:spacing w:before="35"/>
              <w:ind w:left="107"/>
              <w:rPr>
                <w:rFonts w:asciiTheme="minorHAnsi" w:hAnsiTheme="minorHAnsi" w:cstheme="minorHAnsi"/>
                <w:sz w:val="18"/>
                <w:szCs w:val="18"/>
              </w:rPr>
            </w:pPr>
            <w:r w:rsidRPr="00A51E75">
              <w:rPr>
                <w:rFonts w:asciiTheme="minorHAnsi" w:hAnsiTheme="minorHAnsi" w:cstheme="minorHAnsi"/>
                <w:sz w:val="18"/>
                <w:szCs w:val="18"/>
              </w:rPr>
              <w:t>2.</w:t>
            </w:r>
            <w:r w:rsidRPr="00A51E75">
              <w:rPr>
                <w:rFonts w:asciiTheme="minorHAnsi" w:hAnsiTheme="minorHAnsi" w:cstheme="minorHAnsi"/>
                <w:sz w:val="18"/>
                <w:szCs w:val="18"/>
              </w:rPr>
              <w:tab/>
            </w:r>
            <w:proofErr w:type="spellStart"/>
            <w:r w:rsidRPr="00A51E75">
              <w:rPr>
                <w:rFonts w:asciiTheme="minorHAnsi" w:hAnsiTheme="minorHAnsi" w:cstheme="minorHAnsi"/>
                <w:sz w:val="18"/>
                <w:szCs w:val="18"/>
              </w:rPr>
              <w:t>Número</w:t>
            </w:r>
            <w:proofErr w:type="spellEnd"/>
            <w:r w:rsidRPr="00A51E75">
              <w:rPr>
                <w:rFonts w:asciiTheme="minorHAnsi" w:hAnsiTheme="minorHAnsi" w:cstheme="minorHAnsi"/>
                <w:sz w:val="18"/>
                <w:szCs w:val="18"/>
              </w:rPr>
              <w:t xml:space="preserve"> de proyecto</w:t>
            </w:r>
          </w:p>
        </w:tc>
        <w:tc>
          <w:tcPr>
            <w:tcW w:w="9202" w:type="dxa"/>
          </w:tcPr>
          <w:p w14:paraId="469A301C" w14:textId="77777777" w:rsidR="00831616" w:rsidRPr="00A51E75" w:rsidRDefault="00831616">
            <w:pPr>
              <w:pStyle w:val="TableParagraph"/>
              <w:rPr>
                <w:rFonts w:asciiTheme="minorHAnsi" w:hAnsiTheme="minorHAnsi" w:cstheme="minorHAnsi"/>
                <w:sz w:val="18"/>
                <w:szCs w:val="18"/>
              </w:rPr>
            </w:pPr>
            <w:r w:rsidRPr="00A51E75">
              <w:rPr>
                <w:rFonts w:asciiTheme="minorHAnsi" w:hAnsiTheme="minorHAnsi" w:cstheme="minorHAnsi"/>
                <w:sz w:val="18"/>
                <w:szCs w:val="18"/>
              </w:rPr>
              <w:t>ID PIMS 9648</w:t>
            </w:r>
          </w:p>
        </w:tc>
      </w:tr>
      <w:tr w:rsidR="00831616" w:rsidRPr="00A51E75" w14:paraId="1143D9A2" w14:textId="77777777">
        <w:trPr>
          <w:trHeight w:val="287"/>
        </w:trPr>
        <w:tc>
          <w:tcPr>
            <w:tcW w:w="4047" w:type="dxa"/>
          </w:tcPr>
          <w:p w14:paraId="0ED955FF" w14:textId="77777777" w:rsidR="00831616" w:rsidRPr="00A51E75" w:rsidRDefault="00831616">
            <w:pPr>
              <w:pStyle w:val="TableParagraph"/>
              <w:tabs>
                <w:tab w:val="left" w:pos="468"/>
              </w:tabs>
              <w:spacing w:before="35"/>
              <w:ind w:left="107"/>
              <w:rPr>
                <w:rFonts w:asciiTheme="minorHAnsi" w:hAnsiTheme="minorHAnsi" w:cstheme="minorHAnsi"/>
                <w:sz w:val="18"/>
                <w:szCs w:val="18"/>
              </w:rPr>
            </w:pPr>
            <w:r w:rsidRPr="00A51E75">
              <w:rPr>
                <w:rFonts w:asciiTheme="minorHAnsi" w:hAnsiTheme="minorHAnsi" w:cstheme="minorHAnsi"/>
                <w:sz w:val="18"/>
                <w:szCs w:val="18"/>
              </w:rPr>
              <w:t>3.</w:t>
            </w:r>
            <w:r w:rsidRPr="00A51E75">
              <w:rPr>
                <w:rFonts w:asciiTheme="minorHAnsi" w:hAnsiTheme="minorHAnsi" w:cstheme="minorHAnsi"/>
                <w:sz w:val="18"/>
                <w:szCs w:val="18"/>
              </w:rPr>
              <w:tab/>
            </w:r>
            <w:proofErr w:type="spellStart"/>
            <w:r w:rsidRPr="00A51E75">
              <w:rPr>
                <w:rFonts w:asciiTheme="minorHAnsi" w:hAnsiTheme="minorHAnsi" w:cstheme="minorHAnsi"/>
                <w:sz w:val="18"/>
                <w:szCs w:val="18"/>
              </w:rPr>
              <w:t>Ubicación</w:t>
            </w:r>
            <w:proofErr w:type="spellEnd"/>
            <w:r w:rsidRPr="00A51E75">
              <w:rPr>
                <w:rFonts w:asciiTheme="minorHAnsi" w:hAnsiTheme="minorHAnsi" w:cstheme="minorHAnsi"/>
                <w:sz w:val="18"/>
                <w:szCs w:val="18"/>
              </w:rPr>
              <w:t xml:space="preserve"> (Global/</w:t>
            </w:r>
            <w:proofErr w:type="spellStart"/>
            <w:r w:rsidRPr="00A51E75">
              <w:rPr>
                <w:rFonts w:asciiTheme="minorHAnsi" w:hAnsiTheme="minorHAnsi" w:cstheme="minorHAnsi"/>
                <w:sz w:val="18"/>
                <w:szCs w:val="18"/>
              </w:rPr>
              <w:t>Región</w:t>
            </w:r>
            <w:proofErr w:type="spellEnd"/>
            <w:r w:rsidRPr="00A51E75">
              <w:rPr>
                <w:rFonts w:asciiTheme="minorHAnsi" w:hAnsiTheme="minorHAnsi" w:cstheme="minorHAnsi"/>
                <w:sz w:val="18"/>
                <w:szCs w:val="18"/>
              </w:rPr>
              <w:t>/País)</w:t>
            </w:r>
          </w:p>
        </w:tc>
        <w:tc>
          <w:tcPr>
            <w:tcW w:w="9202" w:type="dxa"/>
          </w:tcPr>
          <w:p w14:paraId="42C4C199" w14:textId="77777777" w:rsidR="00831616" w:rsidRPr="00A51E75" w:rsidRDefault="00831616">
            <w:pPr>
              <w:pStyle w:val="TableParagraph"/>
              <w:rPr>
                <w:rFonts w:asciiTheme="minorHAnsi" w:hAnsiTheme="minorHAnsi" w:cstheme="minorHAnsi"/>
                <w:sz w:val="18"/>
                <w:szCs w:val="18"/>
              </w:rPr>
            </w:pPr>
            <w:r w:rsidRPr="00A51E75">
              <w:rPr>
                <w:rFonts w:asciiTheme="minorHAnsi" w:hAnsiTheme="minorHAnsi" w:cstheme="minorHAnsi"/>
                <w:sz w:val="18"/>
                <w:szCs w:val="18"/>
              </w:rPr>
              <w:t>Ecuador</w:t>
            </w:r>
          </w:p>
        </w:tc>
      </w:tr>
      <w:tr w:rsidR="00831616" w:rsidRPr="00A51E75" w14:paraId="310BF496" w14:textId="77777777">
        <w:trPr>
          <w:trHeight w:val="290"/>
        </w:trPr>
        <w:tc>
          <w:tcPr>
            <w:tcW w:w="4047" w:type="dxa"/>
          </w:tcPr>
          <w:p w14:paraId="7300E787" w14:textId="77777777" w:rsidR="00831616" w:rsidRPr="00D830D9" w:rsidRDefault="00831616">
            <w:pPr>
              <w:pStyle w:val="TableParagraph"/>
              <w:tabs>
                <w:tab w:val="left" w:pos="468"/>
              </w:tabs>
              <w:spacing w:before="35"/>
              <w:ind w:left="107"/>
              <w:rPr>
                <w:rFonts w:asciiTheme="minorHAnsi" w:hAnsiTheme="minorHAnsi" w:cstheme="minorHAnsi"/>
                <w:sz w:val="18"/>
                <w:szCs w:val="18"/>
                <w:lang w:val="es-EC"/>
              </w:rPr>
            </w:pPr>
            <w:r w:rsidRPr="00D830D9">
              <w:rPr>
                <w:rFonts w:asciiTheme="minorHAnsi" w:hAnsiTheme="minorHAnsi" w:cstheme="minorHAnsi"/>
                <w:sz w:val="18"/>
                <w:szCs w:val="18"/>
                <w:lang w:val="es-EC"/>
              </w:rPr>
              <w:t>4.</w:t>
            </w:r>
            <w:r w:rsidRPr="00D830D9">
              <w:rPr>
                <w:rFonts w:asciiTheme="minorHAnsi" w:hAnsiTheme="minorHAnsi" w:cstheme="minorHAnsi"/>
                <w:sz w:val="18"/>
                <w:szCs w:val="18"/>
                <w:lang w:val="es-EC"/>
              </w:rPr>
              <w:tab/>
              <w:t>Fase del proyecto (diseño o implementación)</w:t>
            </w:r>
          </w:p>
        </w:tc>
        <w:tc>
          <w:tcPr>
            <w:tcW w:w="9202" w:type="dxa"/>
          </w:tcPr>
          <w:p w14:paraId="04BF116B" w14:textId="77777777" w:rsidR="00831616" w:rsidRPr="00A51E75" w:rsidRDefault="00831616">
            <w:pPr>
              <w:pStyle w:val="TableParagraph"/>
              <w:rPr>
                <w:rFonts w:asciiTheme="minorHAnsi" w:hAnsiTheme="minorHAnsi" w:cstheme="minorHAnsi"/>
                <w:sz w:val="18"/>
                <w:szCs w:val="18"/>
              </w:rPr>
            </w:pPr>
            <w:proofErr w:type="spellStart"/>
            <w:r w:rsidRPr="00A51E75">
              <w:rPr>
                <w:rFonts w:asciiTheme="minorHAnsi" w:hAnsiTheme="minorHAnsi" w:cstheme="minorHAnsi"/>
                <w:sz w:val="18"/>
                <w:szCs w:val="18"/>
              </w:rPr>
              <w:t>Diseño</w:t>
            </w:r>
            <w:proofErr w:type="spellEnd"/>
          </w:p>
        </w:tc>
      </w:tr>
      <w:tr w:rsidR="00831616" w:rsidRPr="00A51E75" w14:paraId="08C850C2" w14:textId="77777777">
        <w:trPr>
          <w:trHeight w:val="287"/>
        </w:trPr>
        <w:tc>
          <w:tcPr>
            <w:tcW w:w="4047" w:type="dxa"/>
          </w:tcPr>
          <w:p w14:paraId="32B2F99B" w14:textId="77777777" w:rsidR="00831616" w:rsidRPr="00A51E75" w:rsidRDefault="00831616">
            <w:pPr>
              <w:pStyle w:val="TableParagraph"/>
              <w:tabs>
                <w:tab w:val="left" w:pos="468"/>
              </w:tabs>
              <w:spacing w:before="35"/>
              <w:ind w:left="107"/>
              <w:rPr>
                <w:rFonts w:asciiTheme="minorHAnsi" w:hAnsiTheme="minorHAnsi" w:cstheme="minorHAnsi"/>
                <w:sz w:val="18"/>
                <w:szCs w:val="18"/>
              </w:rPr>
            </w:pPr>
            <w:r w:rsidRPr="00A51E75">
              <w:rPr>
                <w:rFonts w:asciiTheme="minorHAnsi" w:hAnsiTheme="minorHAnsi" w:cstheme="minorHAnsi"/>
                <w:sz w:val="18"/>
                <w:szCs w:val="18"/>
              </w:rPr>
              <w:t>5.</w:t>
            </w:r>
            <w:r w:rsidRPr="00A51E75">
              <w:rPr>
                <w:rFonts w:asciiTheme="minorHAnsi" w:hAnsiTheme="minorHAnsi" w:cstheme="minorHAnsi"/>
                <w:sz w:val="18"/>
                <w:szCs w:val="18"/>
              </w:rPr>
              <w:tab/>
              <w:t>Fecha</w:t>
            </w:r>
          </w:p>
        </w:tc>
        <w:tc>
          <w:tcPr>
            <w:tcW w:w="9202" w:type="dxa"/>
          </w:tcPr>
          <w:p w14:paraId="171E845B" w14:textId="77777777" w:rsidR="00831616" w:rsidRPr="00A51E75" w:rsidRDefault="00831616">
            <w:pPr>
              <w:pStyle w:val="TableParagraph"/>
              <w:rPr>
                <w:rFonts w:asciiTheme="minorHAnsi" w:hAnsiTheme="minorHAnsi" w:cstheme="minorHAnsi"/>
                <w:sz w:val="18"/>
                <w:szCs w:val="18"/>
              </w:rPr>
            </w:pPr>
            <w:r w:rsidRPr="00A51E75">
              <w:rPr>
                <w:rFonts w:asciiTheme="minorHAnsi" w:hAnsiTheme="minorHAnsi" w:cstheme="minorHAnsi"/>
                <w:sz w:val="18"/>
                <w:szCs w:val="18"/>
              </w:rPr>
              <w:t>22-05-2025</w:t>
            </w:r>
          </w:p>
        </w:tc>
      </w:tr>
    </w:tbl>
    <w:p w14:paraId="07CED0B6" w14:textId="77777777" w:rsidR="00831616" w:rsidRPr="00D830D9" w:rsidRDefault="00831616" w:rsidP="00831616">
      <w:pPr>
        <w:spacing w:before="200"/>
        <w:rPr>
          <w:rFonts w:cstheme="minorHAnsi"/>
          <w:b/>
          <w:color w:val="4F81BD"/>
          <w:lang w:val="es-EC"/>
        </w:rPr>
      </w:pPr>
      <w:r w:rsidRPr="00A51E75">
        <w:rPr>
          <w:rFonts w:cstheme="minorHAnsi"/>
          <w:b/>
          <w:bCs/>
          <w:color w:val="4F81BD"/>
        </w:rPr>
        <w:t>Parte A. Integración de principios de programación para fortalecer la sostenibilidad social y medioambiental</w:t>
      </w:r>
    </w:p>
    <w:tbl>
      <w:tblPr>
        <w:tblpPr w:leftFromText="141" w:rightFromText="141" w:vertAnchor="text" w:tblpY="1"/>
        <w:tblOverlap w:val="never"/>
        <w:tblW w:w="13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4"/>
      </w:tblGrid>
      <w:tr w:rsidR="00831616" w:rsidRPr="007D4F41" w14:paraId="68FAB91A" w14:textId="77777777">
        <w:trPr>
          <w:trHeight w:val="449"/>
        </w:trPr>
        <w:tc>
          <w:tcPr>
            <w:tcW w:w="13248" w:type="dxa"/>
            <w:shd w:val="clear" w:color="auto" w:fill="0F243E"/>
            <w:vAlign w:val="center"/>
          </w:tcPr>
          <w:p w14:paraId="24298C5E" w14:textId="77777777" w:rsidR="00831616" w:rsidRPr="00D830D9" w:rsidRDefault="00831616">
            <w:pPr>
              <w:rPr>
                <w:rFonts w:cstheme="minorHAnsi"/>
                <w:szCs w:val="20"/>
                <w:lang w:val="es-EC"/>
              </w:rPr>
            </w:pPr>
            <w:r w:rsidRPr="00A51E75">
              <w:rPr>
                <w:rFonts w:cstheme="minorHAnsi"/>
                <w:b/>
                <w:bCs/>
                <w:szCs w:val="20"/>
              </w:rPr>
              <w:t>PREGUNTA 1: ¿Cómo integra el Proyecto los principios de programación para fortalecer la sostenibilidad social y medioambiental?</w:t>
            </w:r>
          </w:p>
        </w:tc>
      </w:tr>
      <w:tr w:rsidR="00831616" w:rsidRPr="007D4F41" w14:paraId="00CB4313" w14:textId="77777777">
        <w:tc>
          <w:tcPr>
            <w:tcW w:w="13248" w:type="dxa"/>
            <w:shd w:val="clear" w:color="auto" w:fill="C6D9F1"/>
          </w:tcPr>
          <w:p w14:paraId="759C1B2B" w14:textId="77777777" w:rsidR="00831616" w:rsidRPr="00D830D9" w:rsidRDefault="00831616">
            <w:pPr>
              <w:tabs>
                <w:tab w:val="left" w:pos="432"/>
              </w:tabs>
              <w:spacing w:before="60" w:after="60"/>
              <w:rPr>
                <w:rFonts w:cstheme="minorHAnsi"/>
                <w:b/>
                <w:i/>
                <w:sz w:val="18"/>
                <w:szCs w:val="18"/>
                <w:lang w:val="es-EC"/>
              </w:rPr>
            </w:pPr>
            <w:r w:rsidRPr="00A51E75">
              <w:rPr>
                <w:rFonts w:cstheme="minorHAnsi"/>
                <w:b/>
                <w:i/>
                <w:sz w:val="18"/>
                <w:szCs w:val="18"/>
              </w:rPr>
              <w:t>En el espacio siguiente, describa brevemente cómo el Proyecto incorpora el enfoque basado en los derechos humanos.</w:t>
            </w:r>
          </w:p>
        </w:tc>
      </w:tr>
      <w:tr w:rsidR="00831616" w:rsidRPr="007D4F41" w14:paraId="4A774A5A" w14:textId="77777777">
        <w:trPr>
          <w:trHeight w:val="413"/>
        </w:trPr>
        <w:tc>
          <w:tcPr>
            <w:tcW w:w="13248" w:type="dxa"/>
          </w:tcPr>
          <w:p w14:paraId="10D8EC86" w14:textId="77777777" w:rsidR="00831616" w:rsidRPr="00D830D9" w:rsidRDefault="00831616">
            <w:pPr>
              <w:rPr>
                <w:rFonts w:cstheme="minorHAnsi"/>
                <w:sz w:val="20"/>
                <w:szCs w:val="20"/>
                <w:lang w:val="es-EC"/>
              </w:rPr>
            </w:pPr>
            <w:r w:rsidRPr="00A51E75">
              <w:rPr>
                <w:rFonts w:cstheme="minorHAnsi"/>
                <w:sz w:val="20"/>
                <w:szCs w:val="20"/>
              </w:rPr>
              <w:t>En base a los componentes del proyecto, se han identificado varias medidas necesarias para garantizar que el proyecto promueva un enfoque intercultural, de género y de derechos humanos que respete los derechos individuales y colectivos de individuos y comunidades que puedan estar asociados con la implementación de actividades en la cuenca del río Napo.</w:t>
            </w:r>
          </w:p>
          <w:p w14:paraId="6CF68222" w14:textId="34C6C400" w:rsidR="00831616" w:rsidRPr="0081552E" w:rsidRDefault="00831616">
            <w:pPr>
              <w:rPr>
                <w:rFonts w:cstheme="minorHAnsi"/>
                <w:sz w:val="20"/>
                <w:szCs w:val="20"/>
              </w:rPr>
            </w:pPr>
            <w:r w:rsidRPr="00A51E75">
              <w:rPr>
                <w:rFonts w:cstheme="minorHAnsi"/>
                <w:b/>
                <w:bCs/>
                <w:sz w:val="20"/>
                <w:szCs w:val="20"/>
              </w:rPr>
              <w:t>Componente 1:</w:t>
            </w:r>
            <w:r w:rsidRPr="00A51E75">
              <w:rPr>
                <w:rFonts w:cstheme="minorHAnsi"/>
                <w:sz w:val="20"/>
                <w:szCs w:val="20"/>
              </w:rPr>
              <w:t xml:space="preserve"> Este componente tiene como objetivo fortalecer la gobernanza territorial en el contexto de la lucha contra el cambio climático. Se implementará una serie de acciones para llevar a cabo los proyectos de Planes de Vida en colaboración con organizaciones locales de nacionalidad indígena. Estos proyectos serán documentos fundamentales que guiarán la gestión del territorio y sus recursos de acuerdo con las cosmovisiones y prácticas ancestrales de las comunidades, pero también alineados con las normativas nacionales e internacionales sobre cambio climático, derechos de los pueblos indígenas y desarrollo sostenible. Para garantizar la plena participación y el respeto a los derechos de las comunidades, se utilizarán herramientas clave como el Protocolo de </w:t>
            </w:r>
            <w:r w:rsidR="0081552E">
              <w:rPr>
                <w:rFonts w:cstheme="minorHAnsi"/>
                <w:sz w:val="20"/>
                <w:szCs w:val="20"/>
              </w:rPr>
              <w:t>Ingreso</w:t>
            </w:r>
            <w:r w:rsidRPr="00A51E75">
              <w:rPr>
                <w:rFonts w:cstheme="minorHAnsi"/>
                <w:sz w:val="20"/>
                <w:szCs w:val="20"/>
              </w:rPr>
              <w:t xml:space="preserve"> Comunitari</w:t>
            </w:r>
            <w:r w:rsidR="008F3072">
              <w:rPr>
                <w:rFonts w:cstheme="minorHAnsi"/>
                <w:sz w:val="20"/>
                <w:szCs w:val="20"/>
              </w:rPr>
              <w:t>o</w:t>
            </w:r>
            <w:r w:rsidRPr="00A51E75">
              <w:rPr>
                <w:rFonts w:cstheme="minorHAnsi"/>
                <w:sz w:val="20"/>
                <w:szCs w:val="20"/>
              </w:rPr>
              <w:t xml:space="preserve"> y la Guía Nacional de Consulta para la Implementación de Actividades REDD+. Estas herramientas garantizan que todas las actividades del proyecto se lleven a cabo cumpliendo con el principio de consentimiento libre, previo e informado, tal y como exige el marco legal nacional e internacional. Además, se celebrarán sesiones de formación para fortalecer las capacidades locales en la gestión territorial, fomentando un enfoque participativo e inclusivo en la toma de decisiones. Se fortalecerán las estructuras de gobernanza local, con énfasis en la </w:t>
            </w:r>
            <w:proofErr w:type="gramStart"/>
            <w:r w:rsidRPr="00A51E75">
              <w:rPr>
                <w:rFonts w:cstheme="minorHAnsi"/>
                <w:sz w:val="20"/>
                <w:szCs w:val="20"/>
              </w:rPr>
              <w:t>participación activa</w:t>
            </w:r>
            <w:proofErr w:type="gramEnd"/>
            <w:r w:rsidRPr="00A51E75">
              <w:rPr>
                <w:rFonts w:cstheme="minorHAnsi"/>
                <w:sz w:val="20"/>
                <w:szCs w:val="20"/>
              </w:rPr>
              <w:t xml:space="preserve"> de mujeres y jóvenes en los procesos de toma de decisiones y la gestión de los recursos naturales.</w:t>
            </w:r>
          </w:p>
          <w:p w14:paraId="47EB3332" w14:textId="77777777" w:rsidR="00831616" w:rsidRPr="00D830D9" w:rsidRDefault="00831616">
            <w:pPr>
              <w:rPr>
                <w:rFonts w:cstheme="minorHAnsi"/>
                <w:sz w:val="20"/>
                <w:szCs w:val="20"/>
                <w:lang w:val="es-EC"/>
              </w:rPr>
            </w:pPr>
            <w:r w:rsidRPr="00A51E75">
              <w:rPr>
                <w:rFonts w:cstheme="minorHAnsi"/>
                <w:b/>
                <w:bCs/>
                <w:sz w:val="20"/>
                <w:szCs w:val="20"/>
              </w:rPr>
              <w:t>Componente 2:</w:t>
            </w:r>
            <w:r w:rsidRPr="00A51E75">
              <w:rPr>
                <w:rFonts w:cstheme="minorHAnsi"/>
                <w:sz w:val="20"/>
                <w:szCs w:val="20"/>
              </w:rPr>
              <w:t xml:space="preserve"> El componente de restauración ecológica se centra en la recuperación de ecosistemas degradados y la protección de áreas de alta biodiversidad. Las actividades planificadas incluyen la reforestación de bosques degradados, la protección de cuencas hidrográficas y la implementación de prácticas agroforestales sostenibles que permitan a las comunidades locales mejorar sus medios de vida mientras conservan los recursos naturales. Se identificarán y restaurarán áreas de alto valor ecológico, cruciales para la regulación climática y la biodiversidad. La participación comunitaria será clave durante todo el proceso, desde la planificación hasta la implementación. A través de talleres y sesiones de formación, con al menos un 40% de participación de mujeres, así como de participación exclusivamente femenina, las comunidades recibirán los conocimientos técnicos necesarios para implementar prácticas sostenibles de gestión de ecosistemas, incluyendo la restauración de tierras agrícolas degradadas mediante técnicas como la agroecología, el uso de plantas autóctonas y los sistemas agroforestales. Este componente no solo busca mejorar la resiliencia de los ecosistemas locales frente al cambio climático, sino también aumentar la </w:t>
            </w:r>
            <w:r w:rsidRPr="00A51E75">
              <w:rPr>
                <w:rFonts w:cstheme="minorHAnsi"/>
                <w:sz w:val="20"/>
                <w:szCs w:val="20"/>
              </w:rPr>
              <w:lastRenderedPageBreak/>
              <w:t xml:space="preserve">capacidad de las comunidades para adaptarse a los impactos climáticos, diversificando sus fuentes de ingresos y mejorando la seguridad alimentaria y la producción sostenible de recursos. Además, se fortalecerán los mecanismos de monitoreo del ecosistema comunitario, utilizando herramientas locales de observación y evaluación. </w:t>
            </w:r>
          </w:p>
          <w:p w14:paraId="2517E97F" w14:textId="77777777" w:rsidR="00831616" w:rsidRPr="00D830D9" w:rsidRDefault="00831616">
            <w:pPr>
              <w:rPr>
                <w:rFonts w:cstheme="minorHAnsi"/>
                <w:sz w:val="20"/>
                <w:szCs w:val="20"/>
                <w:lang w:val="es-EC"/>
              </w:rPr>
            </w:pPr>
            <w:r w:rsidRPr="00A51E75">
              <w:rPr>
                <w:rFonts w:cstheme="minorHAnsi"/>
                <w:b/>
                <w:bCs/>
                <w:sz w:val="20"/>
                <w:szCs w:val="20"/>
              </w:rPr>
              <w:t>Componente 3:</w:t>
            </w:r>
            <w:r w:rsidRPr="00A51E75">
              <w:rPr>
                <w:rFonts w:cstheme="minorHAnsi"/>
                <w:sz w:val="20"/>
                <w:szCs w:val="20"/>
              </w:rPr>
              <w:t xml:space="preserve"> Se desarrollarán procesos de acceso a la financiación basados en consideraciones ambientales y de género que Ecuador ha desarrollado como parte de la iniciativa PROAmazonía, como el conjunto de herramientas para incorporar criterios de género en fondos competitivos, así como las lecciones aprendidas de experiencias con el sector financiero y entidades clave como BanEcuador. El proyecto se basará en instrumentos que refuercen la gobernanza local y la planificación territorial desde una perspectiva de desarrollo comunitario, así como en los instrumentos y marcos legales actuales para la financiación de propuestas en la cuenca del río Napo. Con el objetivo de una intervención coordinada y de impacto, se analizará la posibilidad de trabajar con socios como los gobiernos locales y mecanismos financieros existentes, como el Fondo de Desarrollo Sostenible de Napo (FODESNA) o FONAG, responsables de la conservación del agua en la cuenca alta de Napo. También se dará prioridad a promover y acceder a créditos para las mujeres, con campañas de formación y sensibilización dirigidas a instituciones financieras. Se establecerá una estrategia de género para promover el acceso a crédito productivo para al menos el 40% de las beneficiarias.</w:t>
            </w:r>
          </w:p>
          <w:p w14:paraId="216568EF" w14:textId="77777777" w:rsidR="00831616" w:rsidRPr="00D830D9" w:rsidRDefault="00831616">
            <w:pPr>
              <w:rPr>
                <w:rFonts w:cstheme="minorHAnsi"/>
                <w:sz w:val="20"/>
                <w:szCs w:val="20"/>
                <w:lang w:val="es-EC"/>
              </w:rPr>
            </w:pPr>
            <w:r w:rsidRPr="00A51E75">
              <w:rPr>
                <w:rFonts w:cstheme="minorHAnsi"/>
                <w:b/>
                <w:bCs/>
                <w:sz w:val="20"/>
                <w:szCs w:val="20"/>
              </w:rPr>
              <w:t>Componente 4:</w:t>
            </w:r>
            <w:r w:rsidRPr="00A51E75">
              <w:rPr>
                <w:rFonts w:cstheme="minorHAnsi"/>
                <w:sz w:val="20"/>
                <w:szCs w:val="20"/>
              </w:rPr>
              <w:t xml:space="preserve"> La gestión del conocimiento se coordinará con los demás componentes para asegurar que se implementen medidas específicas que garanticen el respeto a los derechos indígenas.</w:t>
            </w:r>
          </w:p>
        </w:tc>
      </w:tr>
      <w:tr w:rsidR="00831616" w:rsidRPr="007D4F41" w14:paraId="1C208D2D" w14:textId="77777777">
        <w:trPr>
          <w:trHeight w:val="296"/>
        </w:trPr>
        <w:tc>
          <w:tcPr>
            <w:tcW w:w="13248" w:type="dxa"/>
            <w:shd w:val="clear" w:color="auto" w:fill="C6D9F1"/>
          </w:tcPr>
          <w:p w14:paraId="5D6C3B01" w14:textId="77777777" w:rsidR="00831616" w:rsidRPr="00D830D9" w:rsidRDefault="00831616">
            <w:pPr>
              <w:spacing w:after="120"/>
              <w:contextualSpacing/>
              <w:rPr>
                <w:rFonts w:cstheme="minorHAnsi"/>
                <w:b/>
                <w:i/>
                <w:sz w:val="18"/>
                <w:szCs w:val="18"/>
                <w:lang w:val="es-EC"/>
              </w:rPr>
            </w:pPr>
            <w:r w:rsidRPr="00A51E75">
              <w:rPr>
                <w:rFonts w:cstheme="minorHAnsi"/>
                <w:b/>
                <w:bCs/>
                <w:i/>
                <w:iCs/>
                <w:sz w:val="18"/>
                <w:szCs w:val="18"/>
              </w:rPr>
              <w:lastRenderedPageBreak/>
              <w:t>En el espacio siguiente, describa brevemente cómo el Proyecto pretende mejorar la igualdad de género y el empoderamiento de las mujeres.</w:t>
            </w:r>
          </w:p>
        </w:tc>
      </w:tr>
      <w:tr w:rsidR="00831616" w:rsidRPr="007D4F41" w14:paraId="5F5D87BF" w14:textId="77777777">
        <w:trPr>
          <w:trHeight w:val="440"/>
        </w:trPr>
        <w:tc>
          <w:tcPr>
            <w:tcW w:w="13248" w:type="dxa"/>
          </w:tcPr>
          <w:p w14:paraId="27D4BBD5" w14:textId="43F9A550" w:rsidR="00831616" w:rsidRPr="00D830D9" w:rsidRDefault="00831616">
            <w:pPr>
              <w:rPr>
                <w:rStyle w:val="rynqvb"/>
                <w:rFonts w:cstheme="minorHAnsi"/>
                <w:sz w:val="20"/>
                <w:szCs w:val="20"/>
                <w:lang w:val="es-EC"/>
              </w:rPr>
            </w:pPr>
            <w:r w:rsidRPr="00A51E75">
              <w:rPr>
                <w:rStyle w:val="rynqvb"/>
                <w:rFonts w:cstheme="minorHAnsi"/>
                <w:sz w:val="20"/>
                <w:szCs w:val="20"/>
              </w:rPr>
              <w:t xml:space="preserve">En provincias como Napo, el 56,4% de las mujeres ha sufrido violencia física, el 33,4% violencia sexual, el 70,1% violencia psicológica y el 12,6% violencia patrimonial. Cabe destacar que las cifras de violencia física, sexual y psicológica superan las cifras nacionales y regionales (INEC, 2019). Es preocupante que, en comparación con los datos de ENEMDU de 2011, las cifras de violencia de género (con la excepción de la violencia patrimonial) hayan aumentado en la provincia, quizás porque el problema se ha vuelto más visible y las mujeres se avergüenzan menos de sus propias experiencias (GADP Napo – PDOT 2020–2023). Según datos nacionales, existe una mayor desigualdad de género entre las mujeres rurales: "Solo el 13% de ellas ha conseguido encontrar empleo permanente, y cuando lo consigue, ganan un 17,8% menos que los hombres, y en el caso de las mujeres indígenas, ganan un 50,5% menos" (ONU Mujeres y PROAmazonía, 2019). Además, los grupos focales realizados en el marco de la investigación "Diagnóstico de la situación de las mujeres amazónicas" reconocieron que tanto hombres como mujeres poseen tierras, ya que es un activo de producción familiar; sin embargo, la propiedad de la tierra está predominantemente en manos de los hombres. De hecho, según el Tercer Censo Nacional Agrícola, en la región amazónica, el 88,2% de los productores son hombres, mientras que solo el 11,9% son mujeres; </w:t>
            </w:r>
            <w:r w:rsidR="000C4B37">
              <w:rPr>
                <w:rStyle w:val="rynqvb"/>
                <w:rFonts w:cstheme="minorHAnsi"/>
                <w:sz w:val="20"/>
                <w:szCs w:val="20"/>
              </w:rPr>
              <w:t>n</w:t>
            </w:r>
            <w:r w:rsidRPr="00A51E75">
              <w:rPr>
                <w:rStyle w:val="rynqvb"/>
                <w:rFonts w:cstheme="minorHAnsi"/>
                <w:sz w:val="20"/>
                <w:szCs w:val="20"/>
              </w:rPr>
              <w:t>o se identifica la copropiedad. (ONU Mujeres y PROAmazonía, 2019). En este escenario, el proyecto planea trabajar en sistemas productivos y en la conservación y gestión de los recursos naturales, los servicios ecosistémicos, la biodiversidad y los recursos hídricos. Por lo tanto, el papel de la mujer es clave y se expresará en indicadores y objetivos específicos que demuestren los esfuerzos de la gestión de proyectos para garantizar el acceso de las mujeres a incentivos, oportunidades y espacios adecuados para la deliberación y la toma de decisiones que salvaguarden un proceso equitativo de distribución de beneficios y toma de decisiones resultante de las acciones directas del proyecto en el territorio. Esto se reflejará en un Plan de Acción de Género específico para cada proyecto, que contará con un presupuesto y un personal adecuado para la implementación de líneas estratégicas que contribuyan a lograr la integración de género en el proyecto. El proyecto buscará asociaciones con instituciones clave, como el Consejo Nacional para la Igualdad de Género, para coordinar acciones conjuntas y contribuir al cumplimiento de la Agenda Nacional para la Igualdad de Género. Asimismo, las actividades propuestas deben coordinarse con la Subsecretaría de Cambio Climático (SCC) y el equipo de género de la institución para contribuir a acciones alineadas con el Plan de Acción de Género y Cambio Climático de Ecuador, liderado por la Subsecretaría de Cambio Climático. Este plan es un instrumento desarrollado por el Ministerio de A</w:t>
            </w:r>
            <w:r w:rsidR="00C81371">
              <w:rPr>
                <w:rStyle w:val="rynqvb"/>
                <w:rFonts w:cstheme="minorHAnsi"/>
                <w:sz w:val="20"/>
                <w:szCs w:val="20"/>
              </w:rPr>
              <w:t>mbiente y Energía</w:t>
            </w:r>
            <w:r w:rsidRPr="00A51E75">
              <w:rPr>
                <w:rStyle w:val="rynqvb"/>
                <w:rFonts w:cstheme="minorHAnsi"/>
                <w:sz w:val="20"/>
                <w:szCs w:val="20"/>
              </w:rPr>
              <w:t xml:space="preserve"> (</w:t>
            </w:r>
            <w:r w:rsidR="009E221F">
              <w:rPr>
                <w:rStyle w:val="rynqvb"/>
                <w:rFonts w:cstheme="minorHAnsi"/>
                <w:sz w:val="20"/>
                <w:szCs w:val="20"/>
              </w:rPr>
              <w:t>MAE</w:t>
            </w:r>
            <w:r w:rsidRPr="00A51E75">
              <w:rPr>
                <w:rStyle w:val="rynqvb"/>
                <w:rFonts w:cstheme="minorHAnsi"/>
                <w:sz w:val="20"/>
                <w:szCs w:val="20"/>
              </w:rPr>
              <w:t>) como contribución a la consecución de los objetivos nacionales de género asociados a la lucha contra el cambio climático.</w:t>
            </w:r>
          </w:p>
          <w:p w14:paraId="2736B4F8" w14:textId="77777777" w:rsidR="00831616" w:rsidRPr="00D830D9" w:rsidRDefault="00831616">
            <w:pPr>
              <w:rPr>
                <w:rStyle w:val="rynqvb"/>
                <w:rFonts w:cstheme="minorHAnsi"/>
                <w:sz w:val="20"/>
                <w:szCs w:val="20"/>
                <w:lang w:val="es-EC"/>
              </w:rPr>
            </w:pPr>
            <w:r w:rsidRPr="00A51E75">
              <w:rPr>
                <w:rStyle w:val="rynqvb"/>
                <w:rFonts w:cstheme="minorHAnsi"/>
                <w:sz w:val="20"/>
                <w:szCs w:val="20"/>
              </w:rPr>
              <w:t xml:space="preserve">También es sumamente importante considerar que, aunque muchas actividades económicas basadas en el mercado, como la producción de naranjilla, guayusa y cacao, entre otras, son llevadas a cabo tanto por hombres como por mujeres, el trabajo en cultivos de subsistencia realizado en </w:t>
            </w:r>
            <w:r w:rsidRPr="00A51E75">
              <w:rPr>
                <w:rStyle w:val="rynqvb"/>
                <w:rFonts w:cstheme="minorHAnsi"/>
                <w:i/>
                <w:iCs/>
                <w:sz w:val="20"/>
                <w:szCs w:val="20"/>
              </w:rPr>
              <w:t>chakras</w:t>
            </w:r>
            <w:r w:rsidRPr="00A51E75">
              <w:rPr>
                <w:rStyle w:val="rynqvb"/>
                <w:rFonts w:cstheme="minorHAnsi"/>
                <w:sz w:val="20"/>
                <w:szCs w:val="20"/>
              </w:rPr>
              <w:t xml:space="preserve">, </w:t>
            </w:r>
            <w:r w:rsidRPr="00A51E75">
              <w:rPr>
                <w:rStyle w:val="rynqvb"/>
                <w:rFonts w:cstheme="minorHAnsi"/>
                <w:i/>
                <w:iCs/>
                <w:sz w:val="20"/>
                <w:szCs w:val="20"/>
              </w:rPr>
              <w:t xml:space="preserve">ajas </w:t>
            </w:r>
            <w:r w:rsidRPr="00A51E75">
              <w:rPr>
                <w:rStyle w:val="rynqvb"/>
                <w:rFonts w:cstheme="minorHAnsi"/>
                <w:sz w:val="20"/>
                <w:szCs w:val="20"/>
              </w:rPr>
              <w:t xml:space="preserve">y otros sistemas de cultivo ancestrales es responsabilidad exclusiva de las mujeres, siendo la yuca y el plátano los productos alimenticios más importantes en varias provincias. En este sentido, es necesario fortalecer la agrobiodiversidad de las comunidades basándose en este sistema de producción ancestral. En los </w:t>
            </w:r>
            <w:r w:rsidRPr="00A51E75">
              <w:rPr>
                <w:rStyle w:val="rynqvb"/>
                <w:rFonts w:cstheme="minorHAnsi"/>
                <w:i/>
                <w:iCs/>
                <w:sz w:val="20"/>
                <w:szCs w:val="20"/>
              </w:rPr>
              <w:t>chakras</w:t>
            </w:r>
            <w:r w:rsidRPr="00A51E75">
              <w:rPr>
                <w:rStyle w:val="rynqvb"/>
                <w:rFonts w:cstheme="minorHAnsi"/>
                <w:sz w:val="20"/>
                <w:szCs w:val="20"/>
              </w:rPr>
              <w:t xml:space="preserve"> y </w:t>
            </w:r>
            <w:r w:rsidRPr="00A51E75">
              <w:rPr>
                <w:rStyle w:val="rynqvb"/>
                <w:rFonts w:cstheme="minorHAnsi"/>
                <w:i/>
                <w:iCs/>
                <w:sz w:val="20"/>
                <w:szCs w:val="20"/>
              </w:rPr>
              <w:t xml:space="preserve">ajas </w:t>
            </w:r>
            <w:r w:rsidRPr="00A51E75">
              <w:rPr>
                <w:rStyle w:val="rynqvb"/>
                <w:rFonts w:cstheme="minorHAnsi"/>
                <w:sz w:val="20"/>
                <w:szCs w:val="20"/>
              </w:rPr>
              <w:t xml:space="preserve">se cultivan cultivos asociados, que contienen una gran variedad de especies del mismo género y con periodos de descanso. El espacio para la producción local a través </w:t>
            </w:r>
            <w:r w:rsidRPr="00A51E75">
              <w:rPr>
                <w:rStyle w:val="rynqvb"/>
                <w:rFonts w:cstheme="minorHAnsi"/>
                <w:i/>
                <w:iCs/>
                <w:sz w:val="20"/>
                <w:szCs w:val="20"/>
              </w:rPr>
              <w:t xml:space="preserve">de </w:t>
            </w:r>
            <w:r w:rsidRPr="00A51E75">
              <w:rPr>
                <w:rStyle w:val="rynqvb"/>
                <w:rFonts w:cstheme="minorHAnsi"/>
                <w:i/>
                <w:iCs/>
                <w:sz w:val="20"/>
                <w:szCs w:val="20"/>
              </w:rPr>
              <w:lastRenderedPageBreak/>
              <w:t>chakras</w:t>
            </w:r>
            <w:r w:rsidRPr="00A51E75">
              <w:rPr>
                <w:rStyle w:val="rynqvb"/>
                <w:rFonts w:cstheme="minorHAnsi"/>
                <w:sz w:val="20"/>
                <w:szCs w:val="20"/>
              </w:rPr>
              <w:t xml:space="preserve"> es de importancia clave no solo para el sostenimiento económico de los pueblos indígenas, sino también para su reproducción social y cultural, el empoderamiento de las mujeres y el fortalecimiento de la soberanía alimentaria. También salvaguarda el conocimiento ancestral asociado, por ejemplo, la gestión de la yuca y otras especies alimentarias y medicinales, que son fundamentales para los pueblos indígenas de la cuenca de Napo.</w:t>
            </w:r>
          </w:p>
          <w:p w14:paraId="78C958B8" w14:textId="77777777" w:rsidR="00831616" w:rsidRPr="00D830D9" w:rsidRDefault="00831616">
            <w:pPr>
              <w:rPr>
                <w:rFonts w:cstheme="minorHAnsi"/>
                <w:lang w:val="es-EC"/>
              </w:rPr>
            </w:pPr>
            <w:r w:rsidRPr="00A51E75">
              <w:rPr>
                <w:rStyle w:val="rynqvb"/>
                <w:rFonts w:cstheme="minorHAnsi"/>
                <w:sz w:val="20"/>
                <w:szCs w:val="20"/>
              </w:rPr>
              <w:t>El proyecto promoverá el acceso igualitario a incentivos monetarios y no monetarios, estableciendo indicadores sensibles al género que tengan la capacidad de transformar las relaciones de poder, con especial atención a los ejes productivos y al acceso al crédito.</w:t>
            </w:r>
          </w:p>
        </w:tc>
      </w:tr>
      <w:tr w:rsidR="00831616" w:rsidRPr="007D4F41" w14:paraId="4BCB41FA" w14:textId="77777777">
        <w:trPr>
          <w:trHeight w:val="305"/>
        </w:trPr>
        <w:tc>
          <w:tcPr>
            <w:tcW w:w="13248" w:type="dxa"/>
            <w:shd w:val="clear" w:color="auto" w:fill="C6D9F1"/>
          </w:tcPr>
          <w:p w14:paraId="222DA2CC" w14:textId="77777777" w:rsidR="00831616" w:rsidRPr="00D830D9" w:rsidRDefault="00831616">
            <w:pPr>
              <w:spacing w:after="120"/>
              <w:contextualSpacing/>
              <w:rPr>
                <w:rFonts w:cstheme="minorHAnsi"/>
                <w:b/>
                <w:i/>
                <w:sz w:val="18"/>
                <w:szCs w:val="18"/>
                <w:u w:val="single"/>
                <w:lang w:val="es-EC"/>
              </w:rPr>
            </w:pPr>
            <w:r w:rsidRPr="00A51E75">
              <w:rPr>
                <w:rFonts w:cstheme="minorHAnsi"/>
                <w:b/>
                <w:bCs/>
                <w:i/>
                <w:iCs/>
                <w:sz w:val="18"/>
                <w:szCs w:val="18"/>
              </w:rPr>
              <w:lastRenderedPageBreak/>
              <w:t>En el espacio siguiente, describe brevemente cómo el Proyecto incorpora sostenibilidad y resiliencia.</w:t>
            </w:r>
          </w:p>
        </w:tc>
      </w:tr>
      <w:tr w:rsidR="00831616" w:rsidRPr="007D4F41" w14:paraId="7C47D699" w14:textId="77777777">
        <w:trPr>
          <w:trHeight w:val="368"/>
        </w:trPr>
        <w:tc>
          <w:tcPr>
            <w:tcW w:w="13248" w:type="dxa"/>
          </w:tcPr>
          <w:p w14:paraId="4FAEF3CE" w14:textId="34E2C6F3" w:rsidR="00831616" w:rsidRPr="00D830D9" w:rsidRDefault="00831616">
            <w:pPr>
              <w:rPr>
                <w:rStyle w:val="rynqvb"/>
                <w:rFonts w:cstheme="minorHAnsi"/>
                <w:sz w:val="20"/>
                <w:szCs w:val="20"/>
                <w:lang w:val="es-EC"/>
              </w:rPr>
            </w:pPr>
            <w:r w:rsidRPr="00A51E75">
              <w:rPr>
                <w:rStyle w:val="rynqvb"/>
                <w:rFonts w:cstheme="minorHAnsi"/>
                <w:sz w:val="20"/>
                <w:szCs w:val="20"/>
              </w:rPr>
              <w:t>La sostenibilidad y resiliencia del proyecto se estructurarán a través de un modelo de gobernanza que busque la estabilidad y fomente la coordinación local entre los Ministerios de Medio Ambiente</w:t>
            </w:r>
            <w:r w:rsidR="00611EA8">
              <w:rPr>
                <w:rStyle w:val="rynqvb"/>
                <w:rFonts w:cstheme="minorHAnsi"/>
                <w:sz w:val="20"/>
                <w:szCs w:val="20"/>
              </w:rPr>
              <w:t xml:space="preserve"> y Energía</w:t>
            </w:r>
            <w:r w:rsidRPr="00A51E75">
              <w:rPr>
                <w:rStyle w:val="rynqvb"/>
                <w:rFonts w:cstheme="minorHAnsi"/>
                <w:sz w:val="20"/>
                <w:szCs w:val="20"/>
              </w:rPr>
              <w:t xml:space="preserve"> (</w:t>
            </w:r>
            <w:r w:rsidR="009E221F">
              <w:rPr>
                <w:rStyle w:val="rynqvb"/>
                <w:rFonts w:cstheme="minorHAnsi"/>
                <w:sz w:val="20"/>
                <w:szCs w:val="20"/>
              </w:rPr>
              <w:t>MAE</w:t>
            </w:r>
            <w:r w:rsidRPr="00A51E75">
              <w:rPr>
                <w:rStyle w:val="rynqvb"/>
                <w:rFonts w:cstheme="minorHAnsi"/>
                <w:sz w:val="20"/>
                <w:szCs w:val="20"/>
              </w:rPr>
              <w:t>), sus Secretarías y el Ministerio de Agricultura</w:t>
            </w:r>
            <w:r w:rsidR="00611EA8">
              <w:rPr>
                <w:rStyle w:val="rynqvb"/>
                <w:rFonts w:cstheme="minorHAnsi"/>
                <w:sz w:val="20"/>
                <w:szCs w:val="20"/>
              </w:rPr>
              <w:t>,</w:t>
            </w:r>
            <w:r w:rsidRPr="00A51E75">
              <w:rPr>
                <w:rStyle w:val="rynqvb"/>
                <w:rFonts w:cstheme="minorHAnsi"/>
                <w:sz w:val="20"/>
                <w:szCs w:val="20"/>
              </w:rPr>
              <w:t xml:space="preserve"> Ganadería</w:t>
            </w:r>
            <w:r w:rsidR="00611EA8">
              <w:rPr>
                <w:rStyle w:val="rynqvb"/>
                <w:rFonts w:cstheme="minorHAnsi"/>
                <w:sz w:val="20"/>
                <w:szCs w:val="20"/>
              </w:rPr>
              <w:t xml:space="preserve"> y Pesca</w:t>
            </w:r>
            <w:r w:rsidRPr="00A51E75">
              <w:rPr>
                <w:rStyle w:val="rynqvb"/>
                <w:rFonts w:cstheme="minorHAnsi"/>
                <w:sz w:val="20"/>
                <w:szCs w:val="20"/>
              </w:rPr>
              <w:t xml:space="preserve"> (</w:t>
            </w:r>
            <w:r w:rsidR="009E221F">
              <w:rPr>
                <w:rStyle w:val="rynqvb"/>
                <w:rFonts w:cstheme="minorHAnsi"/>
                <w:sz w:val="20"/>
                <w:szCs w:val="20"/>
              </w:rPr>
              <w:t>MAGP</w:t>
            </w:r>
            <w:r w:rsidRPr="00A51E75">
              <w:rPr>
                <w:rStyle w:val="rynqvb"/>
                <w:rFonts w:cstheme="minorHAnsi"/>
                <w:sz w:val="20"/>
                <w:szCs w:val="20"/>
              </w:rPr>
              <w:t xml:space="preserve">) para construir iniciativas basadas en el trabajo ya realizado por programas como </w:t>
            </w:r>
            <w:r w:rsidRPr="00A51E75">
              <w:rPr>
                <w:rStyle w:val="rynqvb"/>
                <w:rFonts w:cstheme="minorHAnsi"/>
                <w:i/>
                <w:iCs/>
                <w:sz w:val="20"/>
                <w:szCs w:val="20"/>
              </w:rPr>
              <w:t xml:space="preserve">PROAmazonía </w:t>
            </w:r>
            <w:r w:rsidRPr="00A51E75">
              <w:rPr>
                <w:rStyle w:val="rynqvb"/>
                <w:rFonts w:cstheme="minorHAnsi"/>
                <w:sz w:val="20"/>
                <w:szCs w:val="20"/>
              </w:rPr>
              <w:t xml:space="preserve">y el </w:t>
            </w:r>
            <w:r w:rsidR="006F3BAA">
              <w:rPr>
                <w:rStyle w:val="rynqvb"/>
                <w:rFonts w:cstheme="minorHAnsi"/>
                <w:sz w:val="20"/>
                <w:szCs w:val="20"/>
              </w:rPr>
              <w:t xml:space="preserve">proyecto </w:t>
            </w:r>
            <w:r w:rsidR="006F3BAA" w:rsidRPr="00A51E75">
              <w:rPr>
                <w:rStyle w:val="rynqvb"/>
                <w:rFonts w:cstheme="minorHAnsi"/>
                <w:i/>
                <w:iCs/>
                <w:sz w:val="20"/>
                <w:szCs w:val="20"/>
              </w:rPr>
              <w:t>Buen Vivir</w:t>
            </w:r>
            <w:r w:rsidR="006F3BAA">
              <w:rPr>
                <w:rStyle w:val="rynqvb"/>
                <w:rFonts w:cstheme="minorHAnsi"/>
                <w:sz w:val="20"/>
                <w:szCs w:val="20"/>
              </w:rPr>
              <w:t xml:space="preserve"> </w:t>
            </w:r>
            <w:r w:rsidR="0078696E">
              <w:rPr>
                <w:rStyle w:val="rynqvb"/>
                <w:rFonts w:cstheme="minorHAnsi"/>
                <w:sz w:val="20"/>
                <w:szCs w:val="20"/>
              </w:rPr>
              <w:t>FMAM</w:t>
            </w:r>
            <w:r w:rsidRPr="00A51E75">
              <w:rPr>
                <w:rStyle w:val="rynqvb"/>
                <w:rFonts w:cstheme="minorHAnsi"/>
                <w:sz w:val="20"/>
                <w:szCs w:val="20"/>
              </w:rPr>
              <w:t xml:space="preserve"> </w:t>
            </w:r>
            <w:r w:rsidR="00D526D0" w:rsidRPr="00A51E75">
              <w:rPr>
                <w:rStyle w:val="rynqvb"/>
                <w:rFonts w:cstheme="minorHAnsi"/>
                <w:sz w:val="20"/>
                <w:szCs w:val="20"/>
              </w:rPr>
              <w:t>NAPO,</w:t>
            </w:r>
            <w:r w:rsidRPr="00A51E75">
              <w:rPr>
                <w:rStyle w:val="rynqvb"/>
                <w:rFonts w:cstheme="minorHAnsi"/>
                <w:sz w:val="20"/>
                <w:szCs w:val="20"/>
              </w:rPr>
              <w:t xml:space="preserve"> así como en colaboración con los gobiernos locales. También se buscarán oportunidades para fortalecer las acciones conjuntas con los Fondos del Agua (FONAG y FODESNA) y el sector privado para asegurar la continuidad de las acciones implementadas en el futuro. Además, el proyecto se basará en la experiencia de </w:t>
            </w:r>
            <w:r w:rsidR="009E221F">
              <w:rPr>
                <w:rStyle w:val="rynqvb"/>
                <w:rFonts w:cstheme="minorHAnsi"/>
                <w:sz w:val="20"/>
                <w:szCs w:val="20"/>
              </w:rPr>
              <w:t>MAE</w:t>
            </w:r>
            <w:r w:rsidRPr="00A51E75">
              <w:rPr>
                <w:rStyle w:val="rynqvb"/>
                <w:rFonts w:cstheme="minorHAnsi"/>
                <w:sz w:val="20"/>
                <w:szCs w:val="20"/>
              </w:rPr>
              <w:t xml:space="preserve"> y el </w:t>
            </w:r>
            <w:r w:rsidR="009E221F">
              <w:rPr>
                <w:rStyle w:val="rynqvb"/>
                <w:rFonts w:cstheme="minorHAnsi"/>
                <w:sz w:val="20"/>
                <w:szCs w:val="20"/>
              </w:rPr>
              <w:t>MAGP</w:t>
            </w:r>
            <w:r w:rsidRPr="00A51E75">
              <w:rPr>
                <w:rStyle w:val="rynqvb"/>
                <w:rFonts w:cstheme="minorHAnsi"/>
                <w:sz w:val="20"/>
                <w:szCs w:val="20"/>
              </w:rPr>
              <w:t xml:space="preserve"> con el programa PROAmazonía, siguiendo un modelo de gestión basado en el fortalecimiento de alianzas con gobiernos locales e instituciones públicas, como la Secretaría Técnica de</w:t>
            </w:r>
            <w:r w:rsidR="002C0F84">
              <w:rPr>
                <w:rStyle w:val="rynqvb"/>
                <w:rFonts w:cstheme="minorHAnsi"/>
                <w:sz w:val="20"/>
                <w:szCs w:val="20"/>
              </w:rPr>
              <w:t xml:space="preserve"> la Circunscripción</w:t>
            </w:r>
            <w:r w:rsidRPr="00A51E75">
              <w:rPr>
                <w:rStyle w:val="rynqvb"/>
                <w:rFonts w:cstheme="minorHAnsi"/>
                <w:sz w:val="20"/>
                <w:szCs w:val="20"/>
              </w:rPr>
              <w:t xml:space="preserve"> Territorial </w:t>
            </w:r>
            <w:r w:rsidR="002C0F84">
              <w:rPr>
                <w:rStyle w:val="rynqvb"/>
                <w:rFonts w:cstheme="minorHAnsi"/>
                <w:sz w:val="20"/>
                <w:szCs w:val="20"/>
              </w:rPr>
              <w:t>Amazónica</w:t>
            </w:r>
            <w:r w:rsidRPr="00A51E75">
              <w:rPr>
                <w:rStyle w:val="rynqvb"/>
                <w:rFonts w:cstheme="minorHAnsi"/>
                <w:sz w:val="20"/>
                <w:szCs w:val="20"/>
              </w:rPr>
              <w:t>, que cuentan con poderes y presupuestos significativos que pueden generar un impacto significativo en la vida útil del proyecto. El proyecto también generará estrategias de financiación para que sus actividades tengan una proyección a largo plazo con potencial de ampliación futura mediante mecanismos como el Plan Integral Amaz</w:t>
            </w:r>
            <w:r w:rsidR="00907F4F">
              <w:rPr>
                <w:rStyle w:val="rynqvb"/>
                <w:rFonts w:cstheme="minorHAnsi"/>
                <w:sz w:val="20"/>
                <w:szCs w:val="20"/>
              </w:rPr>
              <w:t>ónico</w:t>
            </w:r>
            <w:r w:rsidRPr="00A51E75">
              <w:rPr>
                <w:rStyle w:val="rynqvb"/>
                <w:rFonts w:cstheme="minorHAnsi"/>
                <w:sz w:val="20"/>
                <w:szCs w:val="20"/>
              </w:rPr>
              <w:t xml:space="preserve"> 2021-2035 y el Fondo Común</w:t>
            </w:r>
            <w:r w:rsidR="00907F4F">
              <w:rPr>
                <w:rStyle w:val="rynqvb"/>
                <w:rFonts w:cstheme="minorHAnsi"/>
                <w:sz w:val="20"/>
                <w:szCs w:val="20"/>
              </w:rPr>
              <w:t xml:space="preserve"> </w:t>
            </w:r>
            <w:r w:rsidRPr="00A51E75">
              <w:rPr>
                <w:rStyle w:val="rynqvb"/>
                <w:rFonts w:cstheme="minorHAnsi"/>
                <w:sz w:val="20"/>
                <w:szCs w:val="20"/>
              </w:rPr>
              <w:t>Amaz</w:t>
            </w:r>
            <w:r w:rsidR="00907F4F">
              <w:rPr>
                <w:rStyle w:val="rynqvb"/>
                <w:rFonts w:cstheme="minorHAnsi"/>
                <w:sz w:val="20"/>
                <w:szCs w:val="20"/>
              </w:rPr>
              <w:t>ónico</w:t>
            </w:r>
            <w:r w:rsidRPr="00A51E75">
              <w:rPr>
                <w:rStyle w:val="rynqvb"/>
                <w:rFonts w:cstheme="minorHAnsi"/>
                <w:sz w:val="20"/>
                <w:szCs w:val="20"/>
              </w:rPr>
              <w:t>.</w:t>
            </w:r>
          </w:p>
          <w:p w14:paraId="05CBF377" w14:textId="2210E50C" w:rsidR="00831616" w:rsidRPr="00D830D9" w:rsidRDefault="00907F4F">
            <w:pPr>
              <w:rPr>
                <w:rFonts w:cstheme="minorHAnsi"/>
                <w:lang w:val="es-EC"/>
              </w:rPr>
            </w:pPr>
            <w:r w:rsidRPr="00A51E75">
              <w:rPr>
                <w:rStyle w:val="rynqvb"/>
                <w:rFonts w:cstheme="minorHAnsi"/>
                <w:sz w:val="20"/>
                <w:szCs w:val="20"/>
              </w:rPr>
              <w:t>Otro enfoque para implementar</w:t>
            </w:r>
            <w:r w:rsidR="00831616" w:rsidRPr="00A51E75">
              <w:rPr>
                <w:rStyle w:val="rynqvb"/>
                <w:rFonts w:cstheme="minorHAnsi"/>
                <w:sz w:val="20"/>
                <w:szCs w:val="20"/>
              </w:rPr>
              <w:t xml:space="preserve"> es la coordinación del proyecto con las políticas nacionales, como el Plan de Acción REDD+, y con proyectos nacionales como el Proyecto Socio Bosque, un proyecto emblemático a nivel nacional, que cuenta con las estructuras y el personal necesarios para continuar las acciones iniciadas por este proyecto. El diseño del proyecto también hará hincapié en reducir vulnerabilidades y fortalecer la resiliencia comunitaria ante crisis, emergencias y los impactos del cambio climático. Promoverá el desarrollo informado por riesgos integrando información práctica sobre riesgos, sistemas de alerta temprana y fortalecimiento de capacidades en sus actividades. Al abordar los vínculos entre la sostenibilidad medioambiental y el desarrollo socioeconómico (como la reducción de la pobreza, la prevención de desastres y la conservación de los recursos naturales mediante un enfoque precautorio), el proyecto no solo pretende mitigar riesgos, sino que también garantiza que sus intervenciones tengan un impacto transformador y escalable. Este enfoque integrado garantiza la relevancia, sostenibilidad y resiliencia del proyecto.</w:t>
            </w:r>
          </w:p>
        </w:tc>
      </w:tr>
      <w:tr w:rsidR="00831616" w:rsidRPr="007D4F41" w14:paraId="10E85115" w14:textId="77777777">
        <w:tc>
          <w:tcPr>
            <w:tcW w:w="13248" w:type="dxa"/>
            <w:shd w:val="clear" w:color="auto" w:fill="C6DAF1"/>
          </w:tcPr>
          <w:p w14:paraId="6B009887" w14:textId="77777777" w:rsidR="00831616" w:rsidRPr="00D830D9" w:rsidRDefault="00831616">
            <w:pPr>
              <w:pStyle w:val="ColorfulList-Accent11"/>
              <w:tabs>
                <w:tab w:val="left" w:pos="432"/>
              </w:tabs>
              <w:spacing w:before="60" w:after="60"/>
              <w:ind w:left="0"/>
              <w:rPr>
                <w:rFonts w:asciiTheme="minorHAnsi" w:eastAsia="Times New Roman" w:hAnsiTheme="minorHAnsi" w:cstheme="minorHAnsi"/>
                <w:i/>
                <w:color w:val="595959"/>
                <w:sz w:val="18"/>
                <w:szCs w:val="18"/>
                <w:lang w:val="es-EC"/>
              </w:rPr>
            </w:pPr>
            <w:r w:rsidRPr="00D830D9">
              <w:rPr>
                <w:rFonts w:asciiTheme="minorHAnsi" w:eastAsia="Times New Roman" w:hAnsiTheme="minorHAnsi" w:cstheme="minorHAnsi"/>
                <w:b/>
                <w:bCs/>
                <w:i/>
                <w:iCs/>
                <w:sz w:val="18"/>
                <w:szCs w:val="18"/>
                <w:lang w:val="es-EC"/>
              </w:rPr>
              <w:t>En el espacio siguiente, describa brevemente cómo el Proyecto refuerza la responsabilidad y la rendición de cuentas ante los principales interesados.</w:t>
            </w:r>
          </w:p>
        </w:tc>
      </w:tr>
      <w:tr w:rsidR="00831616" w:rsidRPr="007D4F41" w14:paraId="44054143" w14:textId="77777777">
        <w:trPr>
          <w:trHeight w:val="440"/>
        </w:trPr>
        <w:tc>
          <w:tcPr>
            <w:tcW w:w="13248" w:type="dxa"/>
          </w:tcPr>
          <w:p w14:paraId="3B7B449B" w14:textId="6D5675F4" w:rsidR="00831616" w:rsidRPr="00D830D9" w:rsidRDefault="00831616">
            <w:pPr>
              <w:rPr>
                <w:rStyle w:val="rynqvb"/>
                <w:rFonts w:cstheme="minorHAnsi"/>
                <w:sz w:val="20"/>
                <w:szCs w:val="20"/>
                <w:lang w:val="es-EC"/>
              </w:rPr>
            </w:pPr>
            <w:r w:rsidRPr="00A51E75">
              <w:rPr>
                <w:rStyle w:val="rynqvb"/>
                <w:rFonts w:cstheme="minorHAnsi"/>
                <w:sz w:val="20"/>
                <w:szCs w:val="20"/>
              </w:rPr>
              <w:t xml:space="preserve">El proyecto trabajará basándose en el Mapa de Partes Interesadas y en espacios previamente identificados en otras experiencias implementadas por </w:t>
            </w:r>
            <w:r w:rsidR="009E221F">
              <w:rPr>
                <w:rStyle w:val="rynqvb"/>
                <w:rFonts w:cstheme="minorHAnsi"/>
                <w:sz w:val="20"/>
                <w:szCs w:val="20"/>
              </w:rPr>
              <w:t>MAE</w:t>
            </w:r>
            <w:r w:rsidRPr="00A51E75">
              <w:rPr>
                <w:rStyle w:val="rynqvb"/>
                <w:rFonts w:cstheme="minorHAnsi"/>
                <w:sz w:val="20"/>
                <w:szCs w:val="20"/>
              </w:rPr>
              <w:t xml:space="preserve"> y </w:t>
            </w:r>
            <w:r w:rsidR="009E221F">
              <w:rPr>
                <w:rStyle w:val="rynqvb"/>
                <w:rFonts w:cstheme="minorHAnsi"/>
                <w:sz w:val="20"/>
                <w:szCs w:val="20"/>
              </w:rPr>
              <w:t>MAGP</w:t>
            </w:r>
            <w:r w:rsidRPr="00A51E75">
              <w:rPr>
                <w:rStyle w:val="rynqvb"/>
                <w:rFonts w:cstheme="minorHAnsi"/>
                <w:sz w:val="20"/>
                <w:szCs w:val="20"/>
              </w:rPr>
              <w:t>, como el programa PROAMAZONÍA y el Proyecto de Pago por Resultados en Ecuador. Se aprovecharán foros nacionales que han sido clave para el enfoque REDD+ en Ecuador, como la Mesa Redonda REDD+, que reúne instituciones y representantes de diversos sectores, incluyendo el sector privado, el mundo académico, los pueblos indígenas, la sociedad civil y otros. El trabajo con los productores se canalizará a través de asociaciones, que son los organismos que reúnen, organizan y representan los intereses comunes de este sector y permiten un trabajo coordinado con un alcance más amplio. Estas estrategias se desarrollarán en un Plan de Participación de Partes Interesadas del proyecto, que incluirá actividades para difundir información del proyecto en espacios virtuales y presenciales con el objetivo de proporcionar responsabilidad e informar a los beneficiarios y al público sobre la implementación del proyecto. También continuará el trabajo en instrumentos que permitan establecer un canal de comunicación directo con los implementadores del proyecto para la resolución de conflictos, específicamente con la implementación del Mecanismo de Quejas REDD+ ajustado. La formación y difusión del mecanismo se llevará a cabo en los territorios seleccionados para el proyecto.</w:t>
            </w:r>
          </w:p>
          <w:p w14:paraId="0303CE12" w14:textId="3F669DF0" w:rsidR="00831616" w:rsidRPr="00D830D9" w:rsidRDefault="00831616">
            <w:pPr>
              <w:rPr>
                <w:rFonts w:cstheme="minorHAnsi"/>
                <w:lang w:val="es-EC"/>
              </w:rPr>
            </w:pPr>
            <w:r w:rsidRPr="00A51E75">
              <w:rPr>
                <w:rStyle w:val="rynqvb"/>
                <w:rFonts w:cstheme="minorHAnsi"/>
                <w:sz w:val="20"/>
                <w:szCs w:val="20"/>
              </w:rPr>
              <w:t xml:space="preserve">Además, al inicio del proyecto se realizará un mapeo de los grupos de interés y espacios para visualizar claramente el nivel de impacto de los interesados, las iniciativas implementadas a nivel territorial, las oportunidades para asociaciones locales, los espacios de última generación para la </w:t>
            </w:r>
            <w:proofErr w:type="gramStart"/>
            <w:r w:rsidRPr="00A51E75">
              <w:rPr>
                <w:rStyle w:val="rynqvb"/>
                <w:rFonts w:cstheme="minorHAnsi"/>
                <w:sz w:val="20"/>
                <w:szCs w:val="20"/>
              </w:rPr>
              <w:t>participación activa</w:t>
            </w:r>
            <w:proofErr w:type="gramEnd"/>
            <w:r w:rsidRPr="00A51E75">
              <w:rPr>
                <w:rStyle w:val="rynqvb"/>
                <w:rFonts w:cstheme="minorHAnsi"/>
                <w:sz w:val="20"/>
                <w:szCs w:val="20"/>
              </w:rPr>
              <w:t xml:space="preserve">, agendas de trabajo comunes, liderazgo en el territorio y aspectos que puedan contribuir a un mayor compromiso de los grupos de interés a nivel de campo. El trabajo del proyecto se impulsará a través de foros clave como el Grupo </w:t>
            </w:r>
            <w:proofErr w:type="spellStart"/>
            <w:r w:rsidRPr="00A51E75">
              <w:rPr>
                <w:rStyle w:val="rynqvb"/>
                <w:rFonts w:cstheme="minorHAnsi"/>
                <w:sz w:val="20"/>
                <w:szCs w:val="20"/>
              </w:rPr>
              <w:t>Chakra</w:t>
            </w:r>
            <w:proofErr w:type="spellEnd"/>
            <w:r w:rsidRPr="00A51E75">
              <w:rPr>
                <w:rStyle w:val="rynqvb"/>
                <w:rFonts w:cstheme="minorHAnsi"/>
                <w:sz w:val="20"/>
                <w:szCs w:val="20"/>
              </w:rPr>
              <w:t>, formado por varias instituciones de diversos sectores, así como foros liderados por gobiernos locales como el Comité de Planificación Técnica de la Provincia de Napo, la Plataforma Norte para el Café y Cacao Sostenibles</w:t>
            </w:r>
            <w:r w:rsidR="00A11CB6">
              <w:rPr>
                <w:rStyle w:val="rynqvb"/>
                <w:rFonts w:cstheme="minorHAnsi"/>
                <w:sz w:val="20"/>
                <w:szCs w:val="20"/>
              </w:rPr>
              <w:t xml:space="preserve"> y Libres de Deforestación</w:t>
            </w:r>
            <w:r w:rsidRPr="00A51E75">
              <w:rPr>
                <w:rStyle w:val="rynqvb"/>
                <w:rFonts w:cstheme="minorHAnsi"/>
                <w:sz w:val="20"/>
                <w:szCs w:val="20"/>
              </w:rPr>
              <w:t xml:space="preserve"> (Mesa Redonda</w:t>
            </w:r>
            <w:r w:rsidR="00E46D7D">
              <w:rPr>
                <w:rStyle w:val="rynqvb"/>
                <w:rFonts w:cstheme="minorHAnsi"/>
                <w:sz w:val="20"/>
                <w:szCs w:val="20"/>
              </w:rPr>
              <w:t xml:space="preserve"> de Café </w:t>
            </w:r>
            <w:r w:rsidR="00A861F1">
              <w:rPr>
                <w:rStyle w:val="rynqvb"/>
                <w:rFonts w:cstheme="minorHAnsi"/>
                <w:sz w:val="20"/>
                <w:szCs w:val="20"/>
              </w:rPr>
              <w:t>y</w:t>
            </w:r>
            <w:r w:rsidR="00E46D7D">
              <w:rPr>
                <w:rStyle w:val="rynqvb"/>
                <w:rFonts w:cstheme="minorHAnsi"/>
                <w:sz w:val="20"/>
                <w:szCs w:val="20"/>
              </w:rPr>
              <w:t xml:space="preserve"> Cacao de</w:t>
            </w:r>
            <w:r w:rsidRPr="00A51E75">
              <w:rPr>
                <w:rStyle w:val="rynqvb"/>
                <w:rFonts w:cstheme="minorHAnsi"/>
                <w:sz w:val="20"/>
                <w:szCs w:val="20"/>
              </w:rPr>
              <w:t xml:space="preserve"> Sucumbíos y</w:t>
            </w:r>
            <w:r w:rsidR="00A861F1">
              <w:rPr>
                <w:rStyle w:val="rynqvb"/>
                <w:rFonts w:cstheme="minorHAnsi"/>
                <w:sz w:val="20"/>
                <w:szCs w:val="20"/>
              </w:rPr>
              <w:t xml:space="preserve"> la Mesa Redonda de Café y Cacao de </w:t>
            </w:r>
            <w:r w:rsidRPr="00A51E75">
              <w:rPr>
                <w:rStyle w:val="rynqvb"/>
                <w:rFonts w:cstheme="minorHAnsi"/>
                <w:sz w:val="20"/>
                <w:szCs w:val="20"/>
              </w:rPr>
              <w:t>Orellana)</w:t>
            </w:r>
            <w:r w:rsidR="00A861F1">
              <w:rPr>
                <w:rStyle w:val="rynqvb"/>
                <w:rFonts w:cstheme="minorHAnsi"/>
                <w:sz w:val="20"/>
                <w:szCs w:val="20"/>
              </w:rPr>
              <w:t>,</w:t>
            </w:r>
            <w:r w:rsidRPr="00A51E75">
              <w:rPr>
                <w:rStyle w:val="rynqvb"/>
                <w:rFonts w:cstheme="minorHAnsi"/>
                <w:sz w:val="20"/>
                <w:szCs w:val="20"/>
              </w:rPr>
              <w:t xml:space="preserve">  el Comité Provincial de Sucumbíos para la </w:t>
            </w:r>
            <w:r w:rsidRPr="00A51E75">
              <w:rPr>
                <w:rStyle w:val="rynqvb"/>
                <w:rFonts w:cstheme="minorHAnsi"/>
                <w:sz w:val="20"/>
                <w:szCs w:val="20"/>
              </w:rPr>
              <w:lastRenderedPageBreak/>
              <w:t>coordinación de acciones de mitigación y adaptación al cambio climático, la Plataforma Territorial Orellana, la Mesa Ronda Provincial de Planificación Técnica Pastaza (MTAPPP), el Centro de Gobernanza (STCTEA) y el Consejo Consultivo de Pueblos y Nacionalidades</w:t>
            </w:r>
            <w:r w:rsidR="009373A5">
              <w:rPr>
                <w:rStyle w:val="rynqvb"/>
                <w:rFonts w:cstheme="minorHAnsi"/>
                <w:sz w:val="20"/>
                <w:szCs w:val="20"/>
              </w:rPr>
              <w:t xml:space="preserve"> de</w:t>
            </w:r>
            <w:r w:rsidRPr="00A51E75">
              <w:rPr>
                <w:rStyle w:val="rynqvb"/>
                <w:rFonts w:cstheme="minorHAnsi"/>
                <w:sz w:val="20"/>
                <w:szCs w:val="20"/>
              </w:rPr>
              <w:t xml:space="preserve"> Pastaza. Se establecerá contacto con foros como la Mesa Redonda Interinstitucional para la Democracia Ambiental (MIDA), liderada por </w:t>
            </w:r>
            <w:r w:rsidR="009E221F">
              <w:rPr>
                <w:rStyle w:val="rynqvb"/>
                <w:rFonts w:cstheme="minorHAnsi"/>
                <w:sz w:val="20"/>
                <w:szCs w:val="20"/>
              </w:rPr>
              <w:t>MAE</w:t>
            </w:r>
            <w:r w:rsidRPr="00A51E75">
              <w:rPr>
                <w:rStyle w:val="rynqvb"/>
                <w:rFonts w:cstheme="minorHAnsi"/>
                <w:sz w:val="20"/>
                <w:szCs w:val="20"/>
              </w:rPr>
              <w:t xml:space="preserve"> y creada por el Acuerdo Ministerial 083 de 2022, para contribuir a la transparencia y el acceso a la información dentro del marco del Acuerdo de Escazú.</w:t>
            </w:r>
          </w:p>
        </w:tc>
      </w:tr>
    </w:tbl>
    <w:p w14:paraId="2062F817"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5C3B0737"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4A8106EF"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726F4509"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0960E693"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1FA3CD67"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5E312647"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0B66C369"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79DB877A"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112253AB"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5F1AE295"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54D02D6B"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197CCB30"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02CAEF44"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2B9B01AF"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2B86BE40"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2B967280"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0EBAD65A"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025E148A"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25DC33E7"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5BD195DC"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4718E0DB"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1008F03C" w14:textId="77777777" w:rsidR="004445BF" w:rsidRPr="00D830D9" w:rsidRDefault="004445BF" w:rsidP="008B6F84">
      <w:pPr>
        <w:keepNext/>
        <w:spacing w:after="60"/>
        <w:jc w:val="both"/>
        <w:outlineLvl w:val="1"/>
        <w:rPr>
          <w:rFonts w:asciiTheme="minorHAnsi" w:eastAsia="SimSun" w:hAnsiTheme="minorHAnsi" w:cstheme="minorHAnsi"/>
          <w:b/>
          <w:bCs/>
          <w:sz w:val="20"/>
          <w:szCs w:val="20"/>
          <w:lang w:val="es-EC"/>
        </w:rPr>
      </w:pPr>
    </w:p>
    <w:p w14:paraId="199BF236" w14:textId="77777777" w:rsidR="00760903" w:rsidRPr="00D830D9" w:rsidRDefault="0078382B" w:rsidP="008B6F84">
      <w:pPr>
        <w:jc w:val="both"/>
        <w:rPr>
          <w:rFonts w:asciiTheme="minorHAnsi" w:eastAsia="SimSun" w:hAnsiTheme="minorHAnsi" w:cstheme="minorHAnsi"/>
          <w:sz w:val="20"/>
          <w:szCs w:val="20"/>
          <w:lang w:val="es-EC"/>
        </w:rPr>
      </w:pPr>
      <w:r w:rsidRPr="00A51E75">
        <w:rPr>
          <w:rFonts w:asciiTheme="minorHAnsi" w:eastAsia="SimSun" w:hAnsiTheme="minorHAnsi" w:cstheme="minorHAnsi"/>
          <w:sz w:val="20"/>
          <w:szCs w:val="20"/>
        </w:rPr>
        <w:t xml:space="preserve"> </w:t>
      </w:r>
    </w:p>
    <w:p w14:paraId="53372740" w14:textId="77777777" w:rsidR="00760903" w:rsidRPr="00D830D9" w:rsidRDefault="00760903" w:rsidP="008B6F84">
      <w:pPr>
        <w:jc w:val="both"/>
        <w:rPr>
          <w:rFonts w:asciiTheme="minorHAnsi" w:eastAsia="SimSun" w:hAnsiTheme="minorHAnsi" w:cstheme="minorHAnsi"/>
          <w:sz w:val="20"/>
          <w:szCs w:val="20"/>
          <w:lang w:val="es-EC"/>
        </w:rPr>
      </w:pPr>
    </w:p>
    <w:p w14:paraId="71408B8E" w14:textId="77777777" w:rsidR="00760903" w:rsidRPr="00D830D9" w:rsidRDefault="00760903" w:rsidP="008B6F84">
      <w:pPr>
        <w:jc w:val="both"/>
        <w:rPr>
          <w:rFonts w:asciiTheme="minorHAnsi" w:eastAsia="SimSun" w:hAnsiTheme="minorHAnsi" w:cstheme="minorHAnsi"/>
          <w:sz w:val="20"/>
          <w:szCs w:val="20"/>
          <w:lang w:val="es-EC"/>
        </w:rPr>
      </w:pPr>
    </w:p>
    <w:p w14:paraId="52B4994E" w14:textId="77777777" w:rsidR="00760903" w:rsidRPr="00D830D9" w:rsidRDefault="00760903" w:rsidP="008B6F84">
      <w:pPr>
        <w:jc w:val="both"/>
        <w:rPr>
          <w:rFonts w:asciiTheme="minorHAnsi" w:eastAsia="SimSun" w:hAnsiTheme="minorHAnsi" w:cstheme="minorHAnsi"/>
          <w:sz w:val="20"/>
          <w:szCs w:val="20"/>
          <w:lang w:val="es-EC"/>
        </w:rPr>
      </w:pPr>
    </w:p>
    <w:p w14:paraId="02D077CF" w14:textId="77777777" w:rsidR="00760903" w:rsidRPr="00D830D9" w:rsidRDefault="00760903" w:rsidP="008B6F84">
      <w:pPr>
        <w:jc w:val="both"/>
        <w:rPr>
          <w:rFonts w:asciiTheme="minorHAnsi" w:eastAsia="SimSun" w:hAnsiTheme="minorHAnsi" w:cstheme="minorHAnsi"/>
          <w:sz w:val="20"/>
          <w:szCs w:val="20"/>
          <w:lang w:val="es-EC"/>
        </w:rPr>
      </w:pPr>
    </w:p>
    <w:p w14:paraId="5DAD47D9" w14:textId="77777777" w:rsidR="00760903" w:rsidRPr="00D830D9" w:rsidRDefault="00760903" w:rsidP="008B6F84">
      <w:pPr>
        <w:jc w:val="both"/>
        <w:rPr>
          <w:rFonts w:asciiTheme="minorHAnsi" w:eastAsia="SimSun" w:hAnsiTheme="minorHAnsi" w:cstheme="minorHAnsi"/>
          <w:sz w:val="20"/>
          <w:szCs w:val="20"/>
          <w:lang w:val="es-EC"/>
        </w:rPr>
      </w:pPr>
    </w:p>
    <w:p w14:paraId="2D0CFAA1" w14:textId="77777777" w:rsidR="00760903" w:rsidRPr="00D830D9" w:rsidRDefault="00760903" w:rsidP="008B6F84">
      <w:pPr>
        <w:jc w:val="both"/>
        <w:rPr>
          <w:rFonts w:asciiTheme="minorHAnsi" w:eastAsia="SimSun" w:hAnsiTheme="minorHAnsi" w:cstheme="minorHAnsi"/>
          <w:sz w:val="20"/>
          <w:szCs w:val="20"/>
          <w:lang w:val="es-EC"/>
        </w:rPr>
      </w:pPr>
    </w:p>
    <w:p w14:paraId="6A6A1219" w14:textId="77777777" w:rsidR="00760903" w:rsidRPr="00D830D9" w:rsidRDefault="00760903" w:rsidP="008B6F84">
      <w:pPr>
        <w:jc w:val="both"/>
        <w:rPr>
          <w:rFonts w:asciiTheme="minorHAnsi" w:eastAsia="SimSun" w:hAnsiTheme="minorHAnsi" w:cstheme="minorHAnsi"/>
          <w:sz w:val="20"/>
          <w:szCs w:val="20"/>
          <w:lang w:val="es-EC"/>
        </w:rPr>
      </w:pPr>
    </w:p>
    <w:p w14:paraId="320EA143" w14:textId="77777777" w:rsidR="00760903" w:rsidRPr="00D830D9" w:rsidRDefault="00760903" w:rsidP="008B6F84">
      <w:pPr>
        <w:jc w:val="both"/>
        <w:rPr>
          <w:rFonts w:asciiTheme="minorHAnsi" w:eastAsia="SimSun" w:hAnsiTheme="minorHAnsi" w:cstheme="minorHAnsi"/>
          <w:sz w:val="20"/>
          <w:szCs w:val="20"/>
          <w:lang w:val="es-EC"/>
        </w:rPr>
      </w:pPr>
    </w:p>
    <w:p w14:paraId="5C00E471" w14:textId="77777777" w:rsidR="00E7102E" w:rsidRPr="00D830D9" w:rsidRDefault="00E7102E" w:rsidP="00E7102E">
      <w:pPr>
        <w:keepNext/>
        <w:spacing w:before="200"/>
        <w:ind w:left="360"/>
        <w:rPr>
          <w:rFonts w:cstheme="minorHAnsi"/>
          <w:b/>
          <w:color w:val="4F81BD"/>
          <w:lang w:val="es-EC"/>
        </w:rPr>
      </w:pPr>
      <w:r w:rsidRPr="00A51E75">
        <w:rPr>
          <w:rFonts w:cstheme="minorHAnsi"/>
          <w:b/>
          <w:bCs/>
          <w:color w:val="4F81BD"/>
        </w:rPr>
        <w:lastRenderedPageBreak/>
        <w:t>Parte B. Identificación y gestión de riesgos sociales y medioambientales</w:t>
      </w:r>
    </w:p>
    <w:tbl>
      <w:tblPr>
        <w:tblW w:w="13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7"/>
        <w:gridCol w:w="1138"/>
        <w:gridCol w:w="1079"/>
        <w:gridCol w:w="2029"/>
        <w:gridCol w:w="532"/>
        <w:gridCol w:w="172"/>
        <w:gridCol w:w="427"/>
        <w:gridCol w:w="1954"/>
        <w:gridCol w:w="2366"/>
      </w:tblGrid>
      <w:tr w:rsidR="00E7102E" w:rsidRPr="007D4F41" w14:paraId="187DC0CD" w14:textId="77777777">
        <w:trPr>
          <w:trHeight w:val="1061"/>
        </w:trPr>
        <w:tc>
          <w:tcPr>
            <w:tcW w:w="3437" w:type="dxa"/>
            <w:shd w:val="clear" w:color="auto" w:fill="0F243E"/>
          </w:tcPr>
          <w:p w14:paraId="2948A788" w14:textId="77777777" w:rsidR="00E7102E" w:rsidRPr="00D830D9" w:rsidRDefault="00E7102E">
            <w:pPr>
              <w:tabs>
                <w:tab w:val="left" w:pos="101"/>
              </w:tabs>
              <w:ind w:right="252" w:firstLine="11"/>
              <w:rPr>
                <w:rFonts w:cstheme="minorHAnsi"/>
                <w:b/>
                <w:bCs/>
                <w:szCs w:val="20"/>
                <w:lang w:val="es-EC"/>
              </w:rPr>
            </w:pPr>
            <w:r w:rsidRPr="00A51E75">
              <w:rPr>
                <w:rFonts w:cstheme="minorHAnsi"/>
                <w:b/>
                <w:bCs/>
                <w:szCs w:val="20"/>
              </w:rPr>
              <w:t>PREGUNTA 2: ¿Cuáles son los posibles riesgos sociales y medioambientales?</w:t>
            </w:r>
          </w:p>
          <w:p w14:paraId="634FD622" w14:textId="77777777" w:rsidR="00E7102E" w:rsidRPr="00D830D9" w:rsidRDefault="00E7102E">
            <w:pPr>
              <w:tabs>
                <w:tab w:val="left" w:pos="101"/>
              </w:tabs>
              <w:ind w:right="252" w:firstLine="11"/>
              <w:rPr>
                <w:rFonts w:cstheme="minorHAnsi"/>
                <w:b/>
                <w:szCs w:val="20"/>
                <w:lang w:val="es-EC"/>
              </w:rPr>
            </w:pPr>
            <w:r w:rsidRPr="00A51E75">
              <w:rPr>
                <w:rFonts w:cstheme="minorHAnsi"/>
                <w:i/>
                <w:iCs/>
                <w:sz w:val="18"/>
                <w:szCs w:val="18"/>
              </w:rPr>
              <w:t>Nota: Complete el Anexo 1 del SESP antes de responder a la Pregunta 2.</w:t>
            </w:r>
          </w:p>
        </w:tc>
        <w:tc>
          <w:tcPr>
            <w:tcW w:w="4778" w:type="dxa"/>
            <w:gridSpan w:val="4"/>
            <w:shd w:val="clear" w:color="auto" w:fill="0F243E"/>
          </w:tcPr>
          <w:p w14:paraId="08D6CC5E" w14:textId="77777777" w:rsidR="00E7102E" w:rsidRPr="00D830D9" w:rsidRDefault="00E7102E">
            <w:pPr>
              <w:tabs>
                <w:tab w:val="left" w:pos="101"/>
              </w:tabs>
              <w:ind w:right="252" w:firstLine="11"/>
              <w:rPr>
                <w:rFonts w:cstheme="minorHAnsi"/>
                <w:b/>
                <w:bCs/>
                <w:szCs w:val="20"/>
                <w:lang w:val="es-EC"/>
              </w:rPr>
            </w:pPr>
            <w:r w:rsidRPr="00A51E75">
              <w:rPr>
                <w:rFonts w:cstheme="minorHAnsi"/>
                <w:b/>
                <w:bCs/>
                <w:szCs w:val="20"/>
              </w:rPr>
              <w:t>PREGUNTA 3: ¿Cuál es el nivel de importancia de los posibles riesgos sociales y medioambientales?</w:t>
            </w:r>
          </w:p>
          <w:p w14:paraId="336AE8D9" w14:textId="77777777" w:rsidR="00E7102E" w:rsidRPr="00D830D9" w:rsidRDefault="00E7102E">
            <w:pPr>
              <w:tabs>
                <w:tab w:val="left" w:pos="432"/>
              </w:tabs>
              <w:rPr>
                <w:rFonts w:cstheme="minorHAnsi"/>
                <w:b/>
                <w:szCs w:val="20"/>
                <w:lang w:val="es-EC"/>
              </w:rPr>
            </w:pPr>
            <w:r w:rsidRPr="00A51E75">
              <w:rPr>
                <w:rFonts w:cstheme="minorHAnsi"/>
                <w:i/>
                <w:iCs/>
                <w:sz w:val="18"/>
                <w:szCs w:val="18"/>
              </w:rPr>
              <w:t>Nota: Por favor, responda a las preguntas 4 y 5 a continuación antes de continuar con la pregunta 6.</w:t>
            </w:r>
          </w:p>
        </w:tc>
        <w:tc>
          <w:tcPr>
            <w:tcW w:w="4919" w:type="dxa"/>
            <w:gridSpan w:val="4"/>
            <w:shd w:val="clear" w:color="auto" w:fill="0F243E"/>
          </w:tcPr>
          <w:p w14:paraId="2773973D" w14:textId="77777777" w:rsidR="00E7102E" w:rsidRPr="00D830D9" w:rsidRDefault="00E7102E">
            <w:pPr>
              <w:tabs>
                <w:tab w:val="left" w:pos="432"/>
              </w:tabs>
              <w:rPr>
                <w:rFonts w:cstheme="minorHAnsi"/>
                <w:b/>
                <w:szCs w:val="20"/>
                <w:lang w:val="es-EC"/>
              </w:rPr>
            </w:pPr>
            <w:r w:rsidRPr="00A51E75">
              <w:rPr>
                <w:rFonts w:cstheme="minorHAnsi"/>
                <w:b/>
                <w:bCs/>
                <w:szCs w:val="20"/>
              </w:rPr>
              <w:t>PREGUNTA 6: Describe las medidas de evaluación y gestión para cada riesgo calificado como Moderado, Sustancial o Alto.</w:t>
            </w:r>
          </w:p>
        </w:tc>
      </w:tr>
      <w:tr w:rsidR="00E7102E" w:rsidRPr="007D4F41" w14:paraId="38124CBA" w14:textId="77777777">
        <w:tc>
          <w:tcPr>
            <w:tcW w:w="3437" w:type="dxa"/>
            <w:shd w:val="clear" w:color="auto" w:fill="C6D9F1"/>
          </w:tcPr>
          <w:p w14:paraId="2B5A3072" w14:textId="77777777" w:rsidR="00E7102E" w:rsidRPr="00D830D9" w:rsidRDefault="00E7102E">
            <w:pPr>
              <w:rPr>
                <w:rFonts w:cstheme="minorHAnsi"/>
                <w:b/>
                <w:bCs/>
                <w:i/>
                <w:iCs/>
                <w:sz w:val="18"/>
                <w:szCs w:val="18"/>
                <w:lang w:val="es-EC"/>
              </w:rPr>
            </w:pPr>
            <w:r w:rsidRPr="00A51E75">
              <w:rPr>
                <w:rFonts w:cstheme="minorHAnsi"/>
                <w:b/>
                <w:bCs/>
                <w:i/>
                <w:iCs/>
                <w:sz w:val="18"/>
                <w:szCs w:val="18"/>
              </w:rPr>
              <w:t>Descripción del riesgo</w:t>
            </w:r>
          </w:p>
          <w:p w14:paraId="3E015331" w14:textId="77777777" w:rsidR="00E7102E" w:rsidRPr="00D830D9" w:rsidRDefault="00E7102E">
            <w:pPr>
              <w:rPr>
                <w:rFonts w:cstheme="minorHAnsi"/>
                <w:b/>
                <w:i/>
                <w:sz w:val="18"/>
                <w:szCs w:val="18"/>
                <w:lang w:val="es-EC"/>
              </w:rPr>
            </w:pPr>
            <w:r w:rsidRPr="00A51E75">
              <w:rPr>
                <w:rFonts w:cstheme="minorHAnsi"/>
                <w:b/>
                <w:bCs/>
                <w:i/>
                <w:iCs/>
                <w:sz w:val="18"/>
                <w:szCs w:val="18"/>
              </w:rPr>
              <w:t>(desglosado por evento, causa, impacto)</w:t>
            </w:r>
          </w:p>
        </w:tc>
        <w:tc>
          <w:tcPr>
            <w:tcW w:w="1138" w:type="dxa"/>
            <w:shd w:val="clear" w:color="auto" w:fill="C6D9F1"/>
          </w:tcPr>
          <w:p w14:paraId="53E1471B" w14:textId="77777777" w:rsidR="00E7102E" w:rsidRPr="00D830D9" w:rsidRDefault="00E7102E">
            <w:pPr>
              <w:rPr>
                <w:rFonts w:cstheme="minorHAnsi"/>
                <w:b/>
                <w:i/>
                <w:sz w:val="18"/>
                <w:szCs w:val="18"/>
                <w:lang w:val="es-EC"/>
              </w:rPr>
            </w:pPr>
            <w:r w:rsidRPr="00A51E75">
              <w:rPr>
                <w:rFonts w:cstheme="minorHAnsi"/>
                <w:b/>
                <w:bCs/>
                <w:i/>
                <w:iCs/>
                <w:sz w:val="18"/>
                <w:szCs w:val="18"/>
              </w:rPr>
              <w:t>Impacto (I) y Probabilidad (P) (1-5)</w:t>
            </w:r>
          </w:p>
        </w:tc>
        <w:tc>
          <w:tcPr>
            <w:tcW w:w="1079" w:type="dxa"/>
            <w:shd w:val="clear" w:color="auto" w:fill="C6D9F1"/>
          </w:tcPr>
          <w:p w14:paraId="0471BB84" w14:textId="77777777" w:rsidR="00E7102E" w:rsidRPr="00895463" w:rsidRDefault="00E7102E">
            <w:pPr>
              <w:rPr>
                <w:rFonts w:cstheme="minorHAnsi"/>
                <w:b/>
                <w:bCs/>
                <w:i/>
                <w:iCs/>
                <w:sz w:val="18"/>
                <w:szCs w:val="18"/>
                <w:lang w:val="es-EC"/>
              </w:rPr>
            </w:pPr>
            <w:r w:rsidRPr="00A51E75">
              <w:rPr>
                <w:rFonts w:cstheme="minorHAnsi"/>
                <w:b/>
                <w:bCs/>
                <w:i/>
                <w:iCs/>
                <w:sz w:val="18"/>
                <w:szCs w:val="18"/>
              </w:rPr>
              <w:t>Importancia</w:t>
            </w:r>
          </w:p>
          <w:p w14:paraId="1A336F3A" w14:textId="77777777" w:rsidR="00E7102E" w:rsidRPr="00895463" w:rsidRDefault="00E7102E">
            <w:pPr>
              <w:rPr>
                <w:rFonts w:cstheme="minorHAnsi"/>
                <w:b/>
                <w:i/>
                <w:sz w:val="18"/>
                <w:szCs w:val="18"/>
                <w:lang w:val="es-EC"/>
              </w:rPr>
            </w:pPr>
            <w:r w:rsidRPr="00A51E75">
              <w:rPr>
                <w:rFonts w:cstheme="minorHAnsi"/>
                <w:b/>
                <w:bCs/>
                <w:i/>
                <w:iCs/>
                <w:sz w:val="18"/>
                <w:szCs w:val="18"/>
              </w:rPr>
              <w:t>(Bajo, Moderado, Sustancial, Alto)</w:t>
            </w:r>
          </w:p>
        </w:tc>
        <w:tc>
          <w:tcPr>
            <w:tcW w:w="2561" w:type="dxa"/>
            <w:gridSpan w:val="2"/>
            <w:shd w:val="clear" w:color="auto" w:fill="C6D9F1"/>
          </w:tcPr>
          <w:p w14:paraId="423EC75B" w14:textId="77777777" w:rsidR="00E7102E" w:rsidRPr="00A51E75" w:rsidRDefault="00E7102E">
            <w:pPr>
              <w:rPr>
                <w:rFonts w:cstheme="minorHAnsi"/>
                <w:b/>
                <w:i/>
                <w:sz w:val="18"/>
                <w:szCs w:val="18"/>
                <w:lang w:val="en-US"/>
              </w:rPr>
            </w:pPr>
            <w:r w:rsidRPr="00A51E75">
              <w:rPr>
                <w:rFonts w:cstheme="minorHAnsi"/>
                <w:b/>
                <w:bCs/>
                <w:i/>
                <w:iCs/>
                <w:sz w:val="18"/>
                <w:szCs w:val="18"/>
              </w:rPr>
              <w:t>Comentarios (opcional)</w:t>
            </w:r>
          </w:p>
        </w:tc>
        <w:tc>
          <w:tcPr>
            <w:tcW w:w="4919" w:type="dxa"/>
            <w:gridSpan w:val="4"/>
            <w:shd w:val="clear" w:color="auto" w:fill="C6D9F1"/>
          </w:tcPr>
          <w:p w14:paraId="7D72CC3D" w14:textId="77777777" w:rsidR="00E7102E" w:rsidRPr="00D830D9" w:rsidRDefault="00E7102E">
            <w:pPr>
              <w:rPr>
                <w:rFonts w:cstheme="minorHAnsi"/>
                <w:b/>
                <w:i/>
                <w:sz w:val="18"/>
                <w:szCs w:val="18"/>
                <w:lang w:val="es-EC"/>
              </w:rPr>
            </w:pPr>
            <w:r w:rsidRPr="00A51E75">
              <w:rPr>
                <w:rFonts w:cstheme="minorHAnsi"/>
                <w:b/>
                <w:bCs/>
                <w:i/>
                <w:iCs/>
                <w:sz w:val="18"/>
                <w:szCs w:val="18"/>
              </w:rPr>
              <w:t>Descripción de la evaluación y las medidas de gestión para cada riesgo clasificado como Moderado, Sustancial o Alto.</w:t>
            </w:r>
          </w:p>
        </w:tc>
      </w:tr>
      <w:tr w:rsidR="00E7102E" w:rsidRPr="007D4F41" w14:paraId="42BE240C" w14:textId="77777777">
        <w:tc>
          <w:tcPr>
            <w:tcW w:w="3437" w:type="dxa"/>
            <w:vAlign w:val="center"/>
          </w:tcPr>
          <w:p w14:paraId="31164C1F" w14:textId="77777777" w:rsidR="00E7102E" w:rsidRPr="00D830D9" w:rsidRDefault="00E7102E">
            <w:pPr>
              <w:rPr>
                <w:rFonts w:cstheme="minorHAnsi"/>
                <w:sz w:val="20"/>
                <w:szCs w:val="20"/>
                <w:lang w:val="es-EC"/>
              </w:rPr>
            </w:pPr>
            <w:r w:rsidRPr="00A51E75">
              <w:rPr>
                <w:rFonts w:cstheme="minorHAnsi"/>
                <w:b/>
                <w:bCs/>
                <w:sz w:val="20"/>
                <w:szCs w:val="20"/>
              </w:rPr>
              <w:t>Riesgo 1:</w:t>
            </w:r>
            <w:r w:rsidRPr="00A51E75">
              <w:rPr>
                <w:rFonts w:cstheme="minorHAnsi"/>
                <w:sz w:val="20"/>
                <w:szCs w:val="20"/>
              </w:rPr>
              <w:t xml:space="preserve"> Impactos adversos en el disfrute de los derechos humanos. </w:t>
            </w:r>
            <w:r w:rsidRPr="00A51E75">
              <w:rPr>
                <w:rFonts w:cstheme="minorHAnsi"/>
                <w:b/>
                <w:bCs/>
                <w:sz w:val="20"/>
                <w:szCs w:val="20"/>
              </w:rPr>
              <w:t>Causa:</w:t>
            </w:r>
            <w:r w:rsidRPr="00A51E75">
              <w:rPr>
                <w:rFonts w:cstheme="minorHAnsi"/>
                <w:sz w:val="20"/>
                <w:szCs w:val="20"/>
              </w:rPr>
              <w:t xml:space="preserve"> Este riesgo afecta a todos los componentes del proyecto. </w:t>
            </w:r>
            <w:r w:rsidRPr="00A51E75">
              <w:rPr>
                <w:rFonts w:cstheme="minorHAnsi"/>
                <w:b/>
                <w:bCs/>
                <w:sz w:val="20"/>
                <w:szCs w:val="20"/>
              </w:rPr>
              <w:t>Impacto:</w:t>
            </w:r>
            <w:r w:rsidRPr="00A51E75">
              <w:rPr>
                <w:rFonts w:cstheme="minorHAnsi"/>
                <w:sz w:val="20"/>
                <w:szCs w:val="20"/>
              </w:rPr>
              <w:t xml:space="preserve"> La falta de participación inclusiva, formación adecuada y acceso a tecnologías puede tener impactos negativos en el disfrute de los derechos humanos, aumentar la vulnerabilidad de las comunidades y agravar el conflicto y la discriminación.</w:t>
            </w:r>
          </w:p>
          <w:p w14:paraId="3F72FEDA" w14:textId="77777777" w:rsidR="00E7102E" w:rsidRPr="00D830D9" w:rsidRDefault="00E7102E">
            <w:pPr>
              <w:rPr>
                <w:rStyle w:val="rynqvb"/>
                <w:rFonts w:cstheme="minorHAnsi"/>
                <w:sz w:val="20"/>
                <w:szCs w:val="20"/>
                <w:lang w:val="es-EC"/>
              </w:rPr>
            </w:pPr>
            <w:r w:rsidRPr="00A51E75">
              <w:rPr>
                <w:rStyle w:val="rynqvb"/>
                <w:rFonts w:cstheme="minorHAnsi"/>
                <w:b/>
                <w:bCs/>
                <w:sz w:val="20"/>
                <w:szCs w:val="20"/>
              </w:rPr>
              <w:t>Principio</w:t>
            </w:r>
            <w:r w:rsidRPr="00A51E75">
              <w:rPr>
                <w:rStyle w:val="rynqvb"/>
                <w:rFonts w:cstheme="minorHAnsi"/>
                <w:sz w:val="20"/>
                <w:szCs w:val="20"/>
              </w:rPr>
              <w:t>: Derechos Humanos</w:t>
            </w:r>
          </w:p>
          <w:p w14:paraId="39A7D6E0" w14:textId="77777777" w:rsidR="00E7102E" w:rsidRPr="00D830D9" w:rsidRDefault="00E7102E">
            <w:pPr>
              <w:rPr>
                <w:rFonts w:cstheme="minorHAnsi"/>
                <w:sz w:val="20"/>
                <w:szCs w:val="20"/>
                <w:lang w:val="es-EC"/>
              </w:rPr>
            </w:pPr>
            <w:r w:rsidRPr="00A51E75">
              <w:rPr>
                <w:rStyle w:val="rynqvb"/>
              </w:rPr>
              <w:t>P.2, P.3, P.4, P.5, P.6, P.7</w:t>
            </w:r>
          </w:p>
        </w:tc>
        <w:tc>
          <w:tcPr>
            <w:tcW w:w="1138" w:type="dxa"/>
          </w:tcPr>
          <w:p w14:paraId="76EB1581" w14:textId="77777777" w:rsidR="00E7102E" w:rsidRPr="00A51E75" w:rsidRDefault="00E7102E">
            <w:pPr>
              <w:rPr>
                <w:rFonts w:cstheme="minorHAnsi"/>
                <w:sz w:val="20"/>
                <w:szCs w:val="20"/>
                <w:lang w:val="en-US"/>
              </w:rPr>
            </w:pPr>
            <w:r w:rsidRPr="00A51E75">
              <w:rPr>
                <w:rFonts w:cstheme="minorHAnsi"/>
                <w:sz w:val="20"/>
                <w:szCs w:val="20"/>
              </w:rPr>
              <w:t>I = 3</w:t>
            </w:r>
          </w:p>
          <w:p w14:paraId="33A4F6AB" w14:textId="77777777" w:rsidR="00E7102E" w:rsidRPr="00A51E75" w:rsidRDefault="00E7102E">
            <w:pPr>
              <w:rPr>
                <w:rFonts w:cstheme="minorHAnsi"/>
                <w:sz w:val="20"/>
                <w:szCs w:val="20"/>
                <w:lang w:val="en-US"/>
              </w:rPr>
            </w:pPr>
            <w:r w:rsidRPr="00A51E75">
              <w:rPr>
                <w:rFonts w:cstheme="minorHAnsi"/>
                <w:sz w:val="20"/>
                <w:szCs w:val="20"/>
              </w:rPr>
              <w:t>P = 4</w:t>
            </w:r>
          </w:p>
        </w:tc>
        <w:tc>
          <w:tcPr>
            <w:tcW w:w="1079" w:type="dxa"/>
          </w:tcPr>
          <w:p w14:paraId="5A97BAE3" w14:textId="77777777" w:rsidR="00E7102E" w:rsidRPr="00A51E75" w:rsidRDefault="00E7102E">
            <w:pPr>
              <w:rPr>
                <w:rFonts w:cstheme="minorHAnsi"/>
                <w:sz w:val="20"/>
                <w:szCs w:val="20"/>
                <w:lang w:val="en-US"/>
              </w:rPr>
            </w:pPr>
            <w:r w:rsidRPr="00A51E75">
              <w:rPr>
                <w:rFonts w:eastAsia="Calibri" w:cstheme="minorHAnsi"/>
                <w:sz w:val="20"/>
                <w:szCs w:val="20"/>
              </w:rPr>
              <w:t>Moderado</w:t>
            </w:r>
          </w:p>
        </w:tc>
        <w:tc>
          <w:tcPr>
            <w:tcW w:w="2561" w:type="dxa"/>
            <w:gridSpan w:val="2"/>
          </w:tcPr>
          <w:p w14:paraId="09E97C39" w14:textId="77777777" w:rsidR="00E7102E" w:rsidRPr="00D830D9" w:rsidRDefault="00E7102E">
            <w:pPr>
              <w:rPr>
                <w:rFonts w:eastAsia="Calibri"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5D4F3D72" w14:textId="77777777" w:rsidR="00E7102E" w:rsidRPr="00D830D9" w:rsidRDefault="00E7102E">
            <w:pPr>
              <w:rPr>
                <w:rFonts w:cstheme="minorHAnsi"/>
                <w:sz w:val="20"/>
                <w:szCs w:val="20"/>
                <w:lang w:val="es-EC"/>
              </w:rPr>
            </w:pPr>
            <w:r w:rsidRPr="00A51E75">
              <w:rPr>
                <w:rFonts w:cstheme="minorHAnsi"/>
                <w:sz w:val="20"/>
                <w:szCs w:val="20"/>
              </w:rPr>
              <w:t xml:space="preserve">Para mitigar los riesgos del proyecto, se adoptarán medidas con un enfoque intercultural, de género y de derechos humanos, respetando los derechos de los pueblos indígenas. Se fortalecerán las capacidades locales, especialmente las de los grupos más marginados en cuanto a sus derechos y acceso a la financiación, así como cualquier decisión que pueda afectarles, promoviendo una participación efectiva mediante </w:t>
            </w:r>
            <w:r w:rsidRPr="00A51E75">
              <w:rPr>
                <w:rFonts w:cstheme="minorHAnsi"/>
                <w:b/>
                <w:bCs/>
                <w:sz w:val="20"/>
                <w:szCs w:val="20"/>
              </w:rPr>
              <w:t>protocolos de consulta</w:t>
            </w:r>
            <w:r w:rsidRPr="00A51E75">
              <w:rPr>
                <w:rFonts w:cstheme="minorHAnsi"/>
                <w:sz w:val="20"/>
                <w:szCs w:val="20"/>
              </w:rPr>
              <w:t xml:space="preserve"> alineados con normas nacionales e internacionales (en línea con el Principio de Derechos Humanos y No Discriminación). </w:t>
            </w:r>
          </w:p>
          <w:p w14:paraId="43F514BB" w14:textId="77777777" w:rsidR="00E7102E" w:rsidRPr="00D830D9" w:rsidRDefault="00E7102E">
            <w:pPr>
              <w:rPr>
                <w:rFonts w:cstheme="minorHAnsi"/>
                <w:sz w:val="20"/>
                <w:szCs w:val="20"/>
                <w:lang w:val="es-EC"/>
              </w:rPr>
            </w:pPr>
            <w:r w:rsidRPr="00A51E75">
              <w:rPr>
                <w:rFonts w:cstheme="minorHAnsi"/>
                <w:sz w:val="20"/>
                <w:szCs w:val="20"/>
              </w:rPr>
              <w:t>Trabajaremos estrechamente con socios y autoridades locales para reducir el riesgo de escalada del conflicto. El PNUD estará informado de este asunto, y se aplicará la Guía de 2016 sobre Gobernanza Local en Entornos Frágiles y Afectados por Conflictos (2016). La implementación de proyectos comunitarios respetará la autogestión y será coordinada con los Gobiernos Autónomos Descentralizados. La inclusión de jóvenes, mujeres y personas con discapacidad en la toma de decisiones estará garantizada.</w:t>
            </w:r>
          </w:p>
          <w:p w14:paraId="2C292D5D" w14:textId="77777777" w:rsidR="00E7102E" w:rsidRPr="00D830D9" w:rsidRDefault="00E7102E">
            <w:pPr>
              <w:rPr>
                <w:rFonts w:eastAsia="Calibri" w:cstheme="minorHAnsi"/>
                <w:sz w:val="20"/>
                <w:szCs w:val="20"/>
                <w:lang w:val="es-EC"/>
              </w:rPr>
            </w:pPr>
            <w:r w:rsidRPr="00A51E75">
              <w:rPr>
                <w:rFonts w:eastAsia="Calibri" w:cstheme="minorHAnsi"/>
                <w:sz w:val="20"/>
                <w:szCs w:val="20"/>
              </w:rPr>
              <w:t xml:space="preserve">En términos de conservación, se garantizará la participación comunitaria en la gestión de áreas protegidas y el uso sostenible de los recursos naturales, especialmente si existen restricciones en el acceso a los recursos debido a las actividades promovidas durante la implementación del proyecto. Se fomentarán prácticas de producción sostenible con certificaciones libres de deforestación y comercio justo (como la FSC). También </w:t>
            </w:r>
            <w:r w:rsidRPr="00A51E75">
              <w:rPr>
                <w:rFonts w:eastAsia="Calibri" w:cstheme="minorHAnsi"/>
                <w:sz w:val="20"/>
                <w:szCs w:val="20"/>
              </w:rPr>
              <w:lastRenderedPageBreak/>
              <w:t xml:space="preserve">se considerarán los procesos de comunicación intercultural y la </w:t>
            </w:r>
            <w:r w:rsidRPr="00A51E75">
              <w:rPr>
                <w:rFonts w:eastAsia="Calibri" w:cstheme="minorHAnsi"/>
                <w:b/>
                <w:bCs/>
                <w:sz w:val="20"/>
                <w:szCs w:val="20"/>
              </w:rPr>
              <w:t>traducción de documentos importantes</w:t>
            </w:r>
            <w:r w:rsidRPr="00A51E75">
              <w:rPr>
                <w:rFonts w:eastAsia="Calibri" w:cstheme="minorHAnsi"/>
                <w:sz w:val="20"/>
                <w:szCs w:val="20"/>
              </w:rPr>
              <w:t xml:space="preserve"> a lenguas indígenas. Todas las acciones serán supervisadas de forma participativa, garantizando transparencia y sostenibilidad. El </w:t>
            </w:r>
            <w:r w:rsidRPr="00A51E75">
              <w:rPr>
                <w:rFonts w:eastAsia="Calibri" w:cstheme="minorHAnsi"/>
                <w:b/>
                <w:bCs/>
                <w:sz w:val="20"/>
                <w:szCs w:val="20"/>
              </w:rPr>
              <w:t>Plan de Participación de Partes Interesadas</w:t>
            </w:r>
            <w:r w:rsidRPr="00A51E75">
              <w:rPr>
                <w:rFonts w:eastAsia="Calibri" w:cstheme="minorHAnsi"/>
                <w:sz w:val="20"/>
                <w:szCs w:val="20"/>
              </w:rPr>
              <w:t xml:space="preserve"> también garantizará una participación inclusiva en la toma de decisiones del proyecto, y el </w:t>
            </w:r>
            <w:r w:rsidRPr="00A51E75">
              <w:rPr>
                <w:rFonts w:eastAsia="Calibri" w:cstheme="minorHAnsi"/>
                <w:b/>
                <w:bCs/>
                <w:sz w:val="20"/>
                <w:szCs w:val="20"/>
              </w:rPr>
              <w:t>Mecanismo de Reparación de Quejas</w:t>
            </w:r>
            <w:r w:rsidRPr="00A51E75">
              <w:rPr>
                <w:rFonts w:eastAsia="Calibri" w:cstheme="minorHAnsi"/>
                <w:sz w:val="20"/>
                <w:szCs w:val="20"/>
              </w:rPr>
              <w:t xml:space="preserve"> prestará especial atención a cualquier preocupación planteada por grupos vulnerables para abordar cualquier violación de sus derechos.</w:t>
            </w:r>
          </w:p>
        </w:tc>
      </w:tr>
      <w:tr w:rsidR="00E7102E" w:rsidRPr="007D4F41" w14:paraId="74F61892" w14:textId="77777777">
        <w:tc>
          <w:tcPr>
            <w:tcW w:w="3437" w:type="dxa"/>
            <w:vAlign w:val="center"/>
          </w:tcPr>
          <w:p w14:paraId="1379C358" w14:textId="77777777" w:rsidR="00E7102E" w:rsidRPr="00D830D9" w:rsidRDefault="00E7102E">
            <w:pPr>
              <w:rPr>
                <w:rFonts w:cstheme="minorHAnsi"/>
                <w:b/>
                <w:bCs/>
                <w:sz w:val="20"/>
                <w:szCs w:val="20"/>
                <w:lang w:val="es-EC"/>
              </w:rPr>
            </w:pPr>
            <w:r w:rsidRPr="00A51E75">
              <w:rPr>
                <w:rStyle w:val="rynqvb"/>
                <w:rFonts w:cstheme="minorHAnsi"/>
                <w:b/>
                <w:bCs/>
                <w:sz w:val="20"/>
                <w:szCs w:val="20"/>
              </w:rPr>
              <w:lastRenderedPageBreak/>
              <w:t xml:space="preserve">Riesgo 2: </w:t>
            </w:r>
            <w:r w:rsidRPr="00A51E75">
              <w:rPr>
                <w:rStyle w:val="rynqvb"/>
                <w:rFonts w:cstheme="minorHAnsi"/>
                <w:sz w:val="20"/>
                <w:szCs w:val="20"/>
              </w:rPr>
              <w:t xml:space="preserve">Efectos adversos sobre la igualdad de género y/o la situación de las mujeres. </w:t>
            </w:r>
            <w:r w:rsidRPr="00A51E75">
              <w:rPr>
                <w:rStyle w:val="rynqvb"/>
                <w:rFonts w:cstheme="minorHAnsi"/>
                <w:b/>
                <w:bCs/>
                <w:sz w:val="20"/>
                <w:szCs w:val="20"/>
              </w:rPr>
              <w:t>Causa:</w:t>
            </w:r>
            <w:r w:rsidRPr="00A51E75">
              <w:rPr>
                <w:rStyle w:val="rynqvb"/>
                <w:rFonts w:cstheme="minorHAnsi"/>
                <w:sz w:val="20"/>
                <w:szCs w:val="20"/>
              </w:rPr>
              <w:t xml:space="preserve"> Un riesgo que afecta a todos los componentes del proyecto. </w:t>
            </w:r>
            <w:r w:rsidRPr="00A51E75">
              <w:rPr>
                <w:rStyle w:val="rynqvb"/>
                <w:rFonts w:cstheme="minorHAnsi"/>
                <w:b/>
                <w:bCs/>
                <w:sz w:val="20"/>
                <w:szCs w:val="20"/>
              </w:rPr>
              <w:t>Impacto:</w:t>
            </w:r>
            <w:r w:rsidRPr="00A51E75">
              <w:rPr>
                <w:rStyle w:val="rynqvb"/>
                <w:rFonts w:cstheme="minorHAnsi"/>
                <w:sz w:val="20"/>
                <w:szCs w:val="20"/>
              </w:rPr>
              <w:t xml:space="preserve"> Si no se garantiza la participación equitativa de las mujeres en la gestión de proyectos, existe el riesgo de perpetuar desigualdades de género en la toma de decisiones, el acceso a recursos y los beneficios de la conservación, debido a barreras estructurales como la propiedad de la tierra dominada por hombres, la sobrecarga de trabajo y las normas socioculturales restrictivas, que podrían limitar su autonomía económica e impacto en la gestión de la tierra.</w:t>
            </w:r>
          </w:p>
          <w:p w14:paraId="4147B86C" w14:textId="77777777" w:rsidR="00E7102E" w:rsidRPr="00D830D9" w:rsidRDefault="00E7102E">
            <w:pPr>
              <w:rPr>
                <w:rFonts w:cstheme="minorHAnsi"/>
                <w:sz w:val="20"/>
                <w:szCs w:val="20"/>
                <w:lang w:val="es-EC"/>
              </w:rPr>
            </w:pPr>
            <w:r w:rsidRPr="00A51E75">
              <w:rPr>
                <w:rFonts w:cstheme="minorHAnsi"/>
                <w:b/>
                <w:bCs/>
                <w:sz w:val="20"/>
                <w:szCs w:val="20"/>
              </w:rPr>
              <w:t>Principio</w:t>
            </w:r>
            <w:r w:rsidRPr="00A51E75">
              <w:rPr>
                <w:rFonts w:cstheme="minorHAnsi"/>
                <w:sz w:val="20"/>
                <w:szCs w:val="20"/>
              </w:rPr>
              <w:t>: Igualdad de género y empoderamiento de las mujeres.</w:t>
            </w:r>
          </w:p>
          <w:p w14:paraId="777ADC93" w14:textId="77777777" w:rsidR="00E7102E" w:rsidRPr="00A51E75" w:rsidRDefault="00E7102E">
            <w:pPr>
              <w:rPr>
                <w:rFonts w:cstheme="minorHAnsi"/>
                <w:b/>
                <w:bCs/>
                <w:sz w:val="20"/>
                <w:szCs w:val="20"/>
                <w:lang w:val="en-US"/>
              </w:rPr>
            </w:pPr>
            <w:r w:rsidRPr="00A51E75">
              <w:rPr>
                <w:rFonts w:cstheme="minorHAnsi"/>
                <w:sz w:val="20"/>
                <w:szCs w:val="20"/>
              </w:rPr>
              <w:t>P.8, P.9, P.10, P.11</w:t>
            </w:r>
          </w:p>
        </w:tc>
        <w:tc>
          <w:tcPr>
            <w:tcW w:w="1138" w:type="dxa"/>
          </w:tcPr>
          <w:p w14:paraId="3F6CEF56" w14:textId="77777777" w:rsidR="00E7102E" w:rsidRPr="00A51E75" w:rsidRDefault="00E7102E">
            <w:pPr>
              <w:rPr>
                <w:rFonts w:cstheme="minorHAnsi"/>
                <w:sz w:val="20"/>
                <w:szCs w:val="20"/>
                <w:lang w:val="en-US"/>
              </w:rPr>
            </w:pPr>
            <w:r w:rsidRPr="00A51E75">
              <w:rPr>
                <w:rFonts w:cstheme="minorHAnsi"/>
                <w:sz w:val="20"/>
                <w:szCs w:val="20"/>
              </w:rPr>
              <w:t>I = 3</w:t>
            </w:r>
          </w:p>
          <w:p w14:paraId="51267A80" w14:textId="77777777" w:rsidR="00E7102E" w:rsidRPr="00A51E75" w:rsidRDefault="00E7102E">
            <w:pPr>
              <w:rPr>
                <w:rFonts w:cstheme="minorHAnsi"/>
                <w:sz w:val="20"/>
                <w:szCs w:val="20"/>
                <w:lang w:val="en-US"/>
              </w:rPr>
            </w:pPr>
            <w:r w:rsidRPr="00A51E75">
              <w:rPr>
                <w:rFonts w:cstheme="minorHAnsi"/>
                <w:sz w:val="20"/>
                <w:szCs w:val="20"/>
              </w:rPr>
              <w:t>P = 4</w:t>
            </w:r>
          </w:p>
        </w:tc>
        <w:tc>
          <w:tcPr>
            <w:tcW w:w="1079" w:type="dxa"/>
          </w:tcPr>
          <w:p w14:paraId="4C366C8C" w14:textId="77777777" w:rsidR="00E7102E" w:rsidRPr="00A51E75" w:rsidRDefault="00E7102E">
            <w:pPr>
              <w:rPr>
                <w:rFonts w:cstheme="minorHAnsi"/>
                <w:sz w:val="20"/>
                <w:szCs w:val="20"/>
                <w:lang w:val="en-US"/>
              </w:rPr>
            </w:pPr>
            <w:r w:rsidRPr="00A51E75">
              <w:rPr>
                <w:rFonts w:eastAsia="Calibri" w:cstheme="minorHAnsi"/>
                <w:sz w:val="20"/>
                <w:szCs w:val="20"/>
              </w:rPr>
              <w:t>Moderado</w:t>
            </w:r>
          </w:p>
        </w:tc>
        <w:tc>
          <w:tcPr>
            <w:tcW w:w="2561" w:type="dxa"/>
            <w:gridSpan w:val="2"/>
          </w:tcPr>
          <w:p w14:paraId="5EEF0DD9" w14:textId="77777777" w:rsidR="00E7102E" w:rsidRPr="00D830D9" w:rsidRDefault="00E7102E">
            <w:pPr>
              <w:jc w:val="both"/>
              <w:rPr>
                <w:rFonts w:eastAsia="Calibri" w:cstheme="minorHAnsi"/>
                <w:sz w:val="20"/>
                <w:szCs w:val="20"/>
                <w:lang w:val="es-EC"/>
              </w:rPr>
            </w:pPr>
            <w:r w:rsidRPr="00A51E75">
              <w:rPr>
                <w:rFonts w:cstheme="minorHAnsi"/>
                <w:sz w:val="20"/>
                <w:szCs w:val="20"/>
              </w:rPr>
              <w:t xml:space="preserve">Consulta los impactos detallados en la Matriz de Riesgos del PNUD </w:t>
            </w:r>
          </w:p>
        </w:tc>
        <w:tc>
          <w:tcPr>
            <w:tcW w:w="4919" w:type="dxa"/>
            <w:gridSpan w:val="4"/>
          </w:tcPr>
          <w:p w14:paraId="13F3399E" w14:textId="51E69797" w:rsidR="00E7102E" w:rsidRPr="00D830D9" w:rsidRDefault="00E7102E">
            <w:pPr>
              <w:rPr>
                <w:rFonts w:eastAsia="Calibri" w:cstheme="minorHAnsi"/>
                <w:sz w:val="20"/>
                <w:szCs w:val="20"/>
                <w:lang w:val="es-EC"/>
              </w:rPr>
            </w:pPr>
            <w:r w:rsidRPr="00A51E75">
              <w:rPr>
                <w:rFonts w:eastAsia="Calibri" w:cstheme="minorHAnsi"/>
                <w:sz w:val="20"/>
                <w:szCs w:val="20"/>
              </w:rPr>
              <w:t xml:space="preserve">Durante la fase de diseño del proyecto, </w:t>
            </w:r>
            <w:r w:rsidRPr="00A51E75">
              <w:rPr>
                <w:rFonts w:eastAsia="Calibri" w:cstheme="minorHAnsi"/>
                <w:b/>
                <w:bCs/>
                <w:sz w:val="20"/>
                <w:szCs w:val="20"/>
              </w:rPr>
              <w:t>se realizó un análisis inicial de género</w:t>
            </w:r>
            <w:r w:rsidRPr="00A51E75">
              <w:rPr>
                <w:rFonts w:eastAsia="Calibri" w:cstheme="minorHAnsi"/>
                <w:sz w:val="20"/>
                <w:szCs w:val="20"/>
              </w:rPr>
              <w:t xml:space="preserve"> con los actores locales para evaluar la equidad en la participación, el acceso a incentivos y la prevención de la violencia de género. Se incluyó un análisis de la participación de las mujeres en la conservación de los recursos naturales, la biodiversidad y el agua. En la fase de implementación, las acciones del </w:t>
            </w:r>
            <w:r w:rsidRPr="00A51E75">
              <w:rPr>
                <w:rFonts w:eastAsia="Calibri" w:cstheme="minorHAnsi"/>
                <w:b/>
                <w:bCs/>
                <w:sz w:val="20"/>
                <w:szCs w:val="20"/>
              </w:rPr>
              <w:t>Plan de Acción de Género</w:t>
            </w:r>
            <w:r w:rsidRPr="00A51E75">
              <w:rPr>
                <w:rFonts w:eastAsia="Calibri" w:cstheme="minorHAnsi"/>
                <w:sz w:val="20"/>
                <w:szCs w:val="20"/>
              </w:rPr>
              <w:t xml:space="preserve"> se actualizarán e implementarán, priorizando el acceso equitativo a incentivos y a la toma de decisiones. Se promoverán espacios inclusivos para el diálogo, la formación en género y la concienciación para los hombres sobre la igualdad de derechos. Además, se fortalecerán las capacidades y se eliminarán las lagunas en el liderazgo femenino, asegurando su participación en la gestión de recursos y en los instrumentos de planificación. El proyecto promoverá una participación significativa y equitativa de ambos sexos para que obtengan beneficios equitativos de las actividades del proyecto. Las acciones se coordinarán con el equipo de género de </w:t>
            </w:r>
            <w:r w:rsidR="009E221F">
              <w:rPr>
                <w:rFonts w:eastAsia="Calibri" w:cstheme="minorHAnsi"/>
                <w:sz w:val="20"/>
                <w:szCs w:val="20"/>
              </w:rPr>
              <w:t>MAE</w:t>
            </w:r>
            <w:r w:rsidRPr="00A51E75">
              <w:rPr>
                <w:rFonts w:eastAsia="Calibri" w:cstheme="minorHAnsi"/>
                <w:sz w:val="20"/>
                <w:szCs w:val="20"/>
              </w:rPr>
              <w:t xml:space="preserve"> para garantizar su sostenibilidad.</w:t>
            </w:r>
          </w:p>
        </w:tc>
      </w:tr>
      <w:tr w:rsidR="00E7102E" w:rsidRPr="007D4F41" w14:paraId="58E38EDD" w14:textId="77777777">
        <w:tc>
          <w:tcPr>
            <w:tcW w:w="3437" w:type="dxa"/>
            <w:vAlign w:val="center"/>
          </w:tcPr>
          <w:p w14:paraId="20197F65" w14:textId="77777777" w:rsidR="00E7102E" w:rsidRPr="00D830D9" w:rsidRDefault="00E7102E">
            <w:pPr>
              <w:rPr>
                <w:rFonts w:cstheme="minorHAnsi"/>
                <w:sz w:val="20"/>
                <w:szCs w:val="20"/>
                <w:lang w:val="es-EC"/>
              </w:rPr>
            </w:pPr>
            <w:r w:rsidRPr="00A51E75">
              <w:rPr>
                <w:rFonts w:cstheme="minorHAnsi"/>
                <w:b/>
                <w:bCs/>
                <w:sz w:val="20"/>
                <w:szCs w:val="20"/>
              </w:rPr>
              <w:t>Riesgo 3:</w:t>
            </w:r>
            <w:r w:rsidRPr="00A51E75">
              <w:rPr>
                <w:rFonts w:cstheme="minorHAnsi"/>
                <w:sz w:val="20"/>
                <w:szCs w:val="20"/>
              </w:rPr>
              <w:t xml:space="preserve"> Exclusión de los procesos de toma de decisiones y quejas que carecen de la atención adecuada. </w:t>
            </w:r>
            <w:r w:rsidRPr="00A51E75">
              <w:rPr>
                <w:rFonts w:cstheme="minorHAnsi"/>
                <w:b/>
                <w:bCs/>
                <w:sz w:val="20"/>
                <w:szCs w:val="20"/>
              </w:rPr>
              <w:t>Causa:</w:t>
            </w:r>
            <w:r w:rsidRPr="00A51E75">
              <w:rPr>
                <w:rFonts w:cstheme="minorHAnsi"/>
                <w:sz w:val="20"/>
                <w:szCs w:val="20"/>
              </w:rPr>
              <w:t xml:space="preserve"> Este riesgo afecta a todos los componentes del proyecto. </w:t>
            </w:r>
            <w:r w:rsidRPr="00A51E75">
              <w:rPr>
                <w:rFonts w:cstheme="minorHAnsi"/>
                <w:b/>
                <w:bCs/>
                <w:sz w:val="20"/>
                <w:szCs w:val="20"/>
              </w:rPr>
              <w:t>Impacto</w:t>
            </w:r>
            <w:r w:rsidRPr="00A51E75">
              <w:rPr>
                <w:rFonts w:cstheme="minorHAnsi"/>
                <w:sz w:val="20"/>
                <w:szCs w:val="20"/>
              </w:rPr>
              <w:t xml:space="preserve">: La falta de una estrategia de participación inclusiva y de un mecanismo adecuado de reclamación puede excluir a los grupos vulnerables </w:t>
            </w:r>
            <w:r w:rsidRPr="00A51E75">
              <w:rPr>
                <w:rFonts w:cstheme="minorHAnsi"/>
                <w:sz w:val="20"/>
                <w:szCs w:val="20"/>
              </w:rPr>
              <w:lastRenderedPageBreak/>
              <w:t>de los beneficios del proyecto, generar desconfianza, perpetuar desigualdades en el acceso a recursos y oportunidades, y poner en peligro el éxito y la sostenibilidad del proyecto.</w:t>
            </w:r>
          </w:p>
          <w:p w14:paraId="0D38FDF7" w14:textId="77777777" w:rsidR="00E7102E" w:rsidRPr="00D830D9" w:rsidRDefault="00E7102E">
            <w:pPr>
              <w:rPr>
                <w:rFonts w:cstheme="minorHAnsi"/>
                <w:sz w:val="20"/>
                <w:szCs w:val="20"/>
                <w:lang w:val="es-EC"/>
              </w:rPr>
            </w:pPr>
            <w:r w:rsidRPr="00A51E75">
              <w:rPr>
                <w:rFonts w:cstheme="minorHAnsi"/>
                <w:b/>
                <w:bCs/>
                <w:sz w:val="20"/>
                <w:szCs w:val="20"/>
              </w:rPr>
              <w:t>Principio:</w:t>
            </w:r>
            <w:r w:rsidRPr="00A51E75">
              <w:rPr>
                <w:rFonts w:cstheme="minorHAnsi"/>
                <w:sz w:val="20"/>
                <w:szCs w:val="20"/>
              </w:rPr>
              <w:t xml:space="preserve"> Responsabilidad y rendición de cuentas</w:t>
            </w:r>
          </w:p>
          <w:p w14:paraId="5E73B004" w14:textId="77777777" w:rsidR="00E7102E" w:rsidRPr="00A51E75" w:rsidRDefault="00E7102E">
            <w:pPr>
              <w:rPr>
                <w:rFonts w:cstheme="minorHAnsi"/>
                <w:b/>
                <w:bCs/>
                <w:sz w:val="20"/>
                <w:szCs w:val="20"/>
                <w:lang w:val="en-US"/>
              </w:rPr>
            </w:pPr>
            <w:r w:rsidRPr="00A51E75">
              <w:rPr>
                <w:rFonts w:cstheme="minorHAnsi"/>
                <w:sz w:val="20"/>
                <w:szCs w:val="20"/>
              </w:rPr>
              <w:t>P.13, P.14</w:t>
            </w:r>
          </w:p>
        </w:tc>
        <w:tc>
          <w:tcPr>
            <w:tcW w:w="1138" w:type="dxa"/>
          </w:tcPr>
          <w:p w14:paraId="173467A4" w14:textId="77777777" w:rsidR="00E7102E" w:rsidRPr="00A51E75" w:rsidRDefault="00E7102E">
            <w:pPr>
              <w:rPr>
                <w:rFonts w:cstheme="minorHAnsi"/>
                <w:sz w:val="20"/>
                <w:szCs w:val="20"/>
                <w:lang w:val="en-US"/>
              </w:rPr>
            </w:pPr>
            <w:r w:rsidRPr="00A51E75">
              <w:rPr>
                <w:rFonts w:cstheme="minorHAnsi"/>
                <w:sz w:val="20"/>
                <w:szCs w:val="20"/>
              </w:rPr>
              <w:lastRenderedPageBreak/>
              <w:t>I = 4</w:t>
            </w:r>
          </w:p>
          <w:p w14:paraId="5078BE6B" w14:textId="77777777" w:rsidR="00E7102E" w:rsidRPr="00A51E75" w:rsidRDefault="00E7102E">
            <w:pPr>
              <w:rPr>
                <w:rFonts w:cstheme="minorHAnsi"/>
                <w:sz w:val="20"/>
                <w:szCs w:val="20"/>
                <w:lang w:val="en-US"/>
              </w:rPr>
            </w:pPr>
            <w:r w:rsidRPr="00A51E75">
              <w:rPr>
                <w:rFonts w:cstheme="minorHAnsi"/>
                <w:sz w:val="20"/>
                <w:szCs w:val="20"/>
              </w:rPr>
              <w:t>P = 3</w:t>
            </w:r>
          </w:p>
          <w:p w14:paraId="432DDF6B" w14:textId="77777777" w:rsidR="00E7102E" w:rsidRPr="00A51E75" w:rsidRDefault="00E7102E">
            <w:pPr>
              <w:rPr>
                <w:rFonts w:cstheme="minorHAnsi"/>
                <w:sz w:val="20"/>
                <w:szCs w:val="20"/>
                <w:lang w:val="en-US"/>
              </w:rPr>
            </w:pPr>
          </w:p>
        </w:tc>
        <w:tc>
          <w:tcPr>
            <w:tcW w:w="1079" w:type="dxa"/>
          </w:tcPr>
          <w:p w14:paraId="51E0EFD3" w14:textId="77777777" w:rsidR="00E7102E" w:rsidRPr="00A51E75" w:rsidRDefault="00E7102E">
            <w:pPr>
              <w:rPr>
                <w:rFonts w:cstheme="minorHAnsi"/>
                <w:sz w:val="20"/>
                <w:szCs w:val="20"/>
                <w:lang w:val="en-US"/>
              </w:rPr>
            </w:pPr>
            <w:r w:rsidRPr="00A51E75">
              <w:rPr>
                <w:rFonts w:eastAsia="Calibri" w:cstheme="minorHAnsi"/>
                <w:sz w:val="20"/>
                <w:szCs w:val="20"/>
              </w:rPr>
              <w:t>Sustancial</w:t>
            </w:r>
          </w:p>
        </w:tc>
        <w:tc>
          <w:tcPr>
            <w:tcW w:w="2561" w:type="dxa"/>
            <w:gridSpan w:val="2"/>
          </w:tcPr>
          <w:p w14:paraId="3D5D5755" w14:textId="77777777" w:rsidR="00E7102E" w:rsidRPr="00D830D9" w:rsidRDefault="00E7102E">
            <w:pPr>
              <w:jc w:val="both"/>
              <w:rPr>
                <w:rFonts w:cstheme="minorHAnsi"/>
                <w:sz w:val="20"/>
                <w:szCs w:val="20"/>
                <w:lang w:val="es-EC"/>
              </w:rPr>
            </w:pPr>
            <w:r w:rsidRPr="00A51E75">
              <w:rPr>
                <w:rFonts w:cstheme="minorHAnsi"/>
                <w:sz w:val="20"/>
                <w:szCs w:val="20"/>
              </w:rPr>
              <w:t xml:space="preserve">Consulta los impactos detallados en la Matriz de Riesgos del PNUD </w:t>
            </w:r>
          </w:p>
        </w:tc>
        <w:tc>
          <w:tcPr>
            <w:tcW w:w="4919" w:type="dxa"/>
            <w:gridSpan w:val="4"/>
          </w:tcPr>
          <w:p w14:paraId="40EC1E03" w14:textId="77777777" w:rsidR="00E7102E" w:rsidRPr="00D830D9" w:rsidRDefault="00E7102E">
            <w:pPr>
              <w:rPr>
                <w:rFonts w:cstheme="minorHAnsi"/>
                <w:sz w:val="20"/>
                <w:szCs w:val="20"/>
                <w:lang w:val="es-EC"/>
              </w:rPr>
            </w:pPr>
            <w:r w:rsidRPr="00A51E75">
              <w:rPr>
                <w:rFonts w:cstheme="minorHAnsi"/>
                <w:sz w:val="20"/>
                <w:szCs w:val="20"/>
              </w:rPr>
              <w:t xml:space="preserve">El proyecto incluye un </w:t>
            </w:r>
            <w:r w:rsidRPr="00A51E75">
              <w:rPr>
                <w:rFonts w:cstheme="minorHAnsi"/>
                <w:b/>
                <w:bCs/>
                <w:sz w:val="20"/>
                <w:szCs w:val="20"/>
              </w:rPr>
              <w:t>proyecto de mapeo de partes interesadas</w:t>
            </w:r>
            <w:r w:rsidRPr="00A51E75">
              <w:rPr>
                <w:rFonts w:cstheme="minorHAnsi"/>
                <w:sz w:val="20"/>
                <w:szCs w:val="20"/>
              </w:rPr>
              <w:t>, desarrollado durante la fase de diseño, para analizar el rol, intereses e impacto de los principales interesados en relación con la implementación del proyecto. Las experiencias previas se aprovecharán para fortalecer las alianzas y anticipar riesgos políticos o desinformación sobre el proyecto.</w:t>
            </w:r>
          </w:p>
          <w:p w14:paraId="3D483387" w14:textId="77777777" w:rsidR="00E7102E" w:rsidRPr="00D830D9" w:rsidRDefault="00E7102E">
            <w:pPr>
              <w:rPr>
                <w:rFonts w:cstheme="minorHAnsi"/>
                <w:sz w:val="20"/>
                <w:szCs w:val="20"/>
                <w:lang w:val="es-EC"/>
              </w:rPr>
            </w:pPr>
            <w:r w:rsidRPr="00A51E75">
              <w:rPr>
                <w:rFonts w:cstheme="minorHAnsi"/>
                <w:sz w:val="20"/>
                <w:szCs w:val="20"/>
              </w:rPr>
              <w:t xml:space="preserve">Para garantizar una participación inclusiva, se actualizará el </w:t>
            </w:r>
            <w:r w:rsidRPr="00A51E75">
              <w:rPr>
                <w:rFonts w:cstheme="minorHAnsi"/>
                <w:b/>
                <w:bCs/>
                <w:sz w:val="20"/>
                <w:szCs w:val="20"/>
              </w:rPr>
              <w:t>Plan de Participación de Partes Interesadas</w:t>
            </w:r>
            <w:r w:rsidRPr="00A51E75">
              <w:rPr>
                <w:rFonts w:cstheme="minorHAnsi"/>
                <w:sz w:val="20"/>
                <w:szCs w:val="20"/>
              </w:rPr>
              <w:t xml:space="preserve">, </w:t>
            </w:r>
            <w:r w:rsidRPr="00A51E75">
              <w:rPr>
                <w:rFonts w:cstheme="minorHAnsi"/>
                <w:sz w:val="20"/>
                <w:szCs w:val="20"/>
              </w:rPr>
              <w:lastRenderedPageBreak/>
              <w:t>desarrollado durante la fase de PPG, para garantizar la representación de grupos vulnerables y la inclusión de jóvenes y mujeres. Foros clave como el Grupo Chacra y el Consejo Consultivo de Pueblos y Nacionalidades Pastaza facilitarán la coordinación de las partes interesadas en la implementación del proyecto.</w:t>
            </w:r>
          </w:p>
          <w:p w14:paraId="15EDA51A" w14:textId="77777777" w:rsidR="00E7102E" w:rsidRPr="00D830D9" w:rsidRDefault="00E7102E">
            <w:pPr>
              <w:rPr>
                <w:rFonts w:cstheme="minorHAnsi"/>
                <w:sz w:val="20"/>
                <w:szCs w:val="20"/>
                <w:lang w:val="es-EC"/>
              </w:rPr>
            </w:pPr>
            <w:r w:rsidRPr="00A51E75">
              <w:rPr>
                <w:rFonts w:cstheme="minorHAnsi"/>
                <w:sz w:val="20"/>
                <w:szCs w:val="20"/>
              </w:rPr>
              <w:t xml:space="preserve">El </w:t>
            </w:r>
            <w:r w:rsidRPr="00A51E75">
              <w:rPr>
                <w:rFonts w:cstheme="minorHAnsi"/>
                <w:b/>
                <w:bCs/>
                <w:sz w:val="20"/>
                <w:szCs w:val="20"/>
              </w:rPr>
              <w:t>Mecanismo de Reparación de Quejas</w:t>
            </w:r>
            <w:r w:rsidRPr="00A51E75">
              <w:rPr>
                <w:rFonts w:cstheme="minorHAnsi"/>
                <w:sz w:val="20"/>
                <w:szCs w:val="20"/>
              </w:rPr>
              <w:t xml:space="preserve"> se implementará, adaptado a las necesidades del proyecto, como un sistema accesible gestionado con un enfoque de género e interseccionalidad.</w:t>
            </w:r>
          </w:p>
        </w:tc>
      </w:tr>
      <w:tr w:rsidR="00E7102E" w:rsidRPr="007E49E0" w14:paraId="243FC5DB" w14:textId="77777777">
        <w:trPr>
          <w:trHeight w:val="300"/>
        </w:trPr>
        <w:tc>
          <w:tcPr>
            <w:tcW w:w="3437" w:type="dxa"/>
            <w:vAlign w:val="center"/>
          </w:tcPr>
          <w:p w14:paraId="2CECABDF" w14:textId="2318CA91" w:rsidR="00E7102E" w:rsidRPr="00D830D9" w:rsidRDefault="00E7102E">
            <w:pPr>
              <w:rPr>
                <w:rFonts w:cstheme="minorHAnsi"/>
                <w:sz w:val="20"/>
                <w:szCs w:val="20"/>
                <w:lang w:val="es-EC"/>
              </w:rPr>
            </w:pPr>
            <w:r w:rsidRPr="00A51E75">
              <w:rPr>
                <w:rFonts w:cstheme="minorHAnsi"/>
                <w:b/>
                <w:bCs/>
                <w:sz w:val="20"/>
                <w:szCs w:val="20"/>
              </w:rPr>
              <w:lastRenderedPageBreak/>
              <w:t>Riesgo 4:</w:t>
            </w:r>
            <w:r w:rsidRPr="00A51E75">
              <w:rPr>
                <w:rFonts w:cstheme="minorHAnsi"/>
                <w:sz w:val="20"/>
                <w:szCs w:val="20"/>
              </w:rPr>
              <w:t xml:space="preserve"> Amenaza para la conservación de los ecosistemas y los recursos de las comunidades locales. </w:t>
            </w:r>
            <w:r w:rsidRPr="00A51E75">
              <w:rPr>
                <w:rFonts w:cstheme="minorHAnsi"/>
                <w:b/>
                <w:bCs/>
                <w:sz w:val="20"/>
                <w:szCs w:val="20"/>
              </w:rPr>
              <w:t>Causa: Componente 1</w:t>
            </w:r>
            <w:r w:rsidRPr="00A51E75">
              <w:rPr>
                <w:rFonts w:cstheme="minorHAnsi"/>
                <w:sz w:val="20"/>
                <w:szCs w:val="20"/>
              </w:rPr>
              <w:t xml:space="preserve">, Resultado 1.1, </w:t>
            </w:r>
            <w:r w:rsidR="00DC1013">
              <w:rPr>
                <w:rFonts w:cstheme="minorHAnsi"/>
                <w:sz w:val="20"/>
                <w:szCs w:val="20"/>
              </w:rPr>
              <w:t>Producto</w:t>
            </w:r>
            <w:r w:rsidRPr="00A51E75">
              <w:rPr>
                <w:rFonts w:cstheme="minorHAnsi"/>
                <w:sz w:val="20"/>
                <w:szCs w:val="20"/>
              </w:rPr>
              <w:t xml:space="preserve"> 1.1.1; </w:t>
            </w:r>
            <w:r w:rsidRPr="00A51E75">
              <w:rPr>
                <w:rFonts w:cstheme="minorHAnsi"/>
                <w:b/>
                <w:bCs/>
                <w:sz w:val="20"/>
                <w:szCs w:val="20"/>
              </w:rPr>
              <w:t>Componente 2</w:t>
            </w:r>
            <w:r w:rsidRPr="00A51E75">
              <w:rPr>
                <w:rFonts w:cstheme="minorHAnsi"/>
                <w:sz w:val="20"/>
                <w:szCs w:val="20"/>
              </w:rPr>
              <w:t xml:space="preserve">, Resultado 2.1, Salida 2.1.1 y 2.1.3, y Resultado 2.2, Resultado 2.2.3; y </w:t>
            </w:r>
            <w:r w:rsidRPr="00A51E75">
              <w:rPr>
                <w:rFonts w:cstheme="minorHAnsi"/>
                <w:b/>
                <w:bCs/>
                <w:sz w:val="20"/>
                <w:szCs w:val="20"/>
              </w:rPr>
              <w:t>Componente 3</w:t>
            </w:r>
            <w:r w:rsidRPr="00A51E75">
              <w:rPr>
                <w:rFonts w:cstheme="minorHAnsi"/>
                <w:sz w:val="20"/>
                <w:szCs w:val="20"/>
              </w:rPr>
              <w:t xml:space="preserve">, Resultado 3.1, </w:t>
            </w:r>
            <w:r w:rsidR="00DC1013">
              <w:rPr>
                <w:rFonts w:cstheme="minorHAnsi"/>
                <w:sz w:val="20"/>
                <w:szCs w:val="20"/>
              </w:rPr>
              <w:t>Producto</w:t>
            </w:r>
            <w:r w:rsidRPr="00A51E75">
              <w:rPr>
                <w:rFonts w:cstheme="minorHAnsi"/>
                <w:sz w:val="20"/>
                <w:szCs w:val="20"/>
              </w:rPr>
              <w:t xml:space="preserve"> 3.1.3. </w:t>
            </w:r>
            <w:r w:rsidRPr="00A51E75">
              <w:rPr>
                <w:rFonts w:cstheme="minorHAnsi"/>
                <w:b/>
                <w:bCs/>
                <w:sz w:val="20"/>
                <w:szCs w:val="20"/>
              </w:rPr>
              <w:t>Impacto:</w:t>
            </w:r>
            <w:r w:rsidRPr="00A51E75">
              <w:rPr>
                <w:rFonts w:cstheme="minorHAnsi"/>
                <w:sz w:val="20"/>
                <w:szCs w:val="20"/>
              </w:rPr>
              <w:t xml:space="preserve"> Actualizaciones regulatorias insuficientes y la falta de consulta y participación comunitaria pueden provocar cambios en el uso del suelo que amenazan la biodiversidad, ponen en peligro los ecosistemas, violan los derechos de las comunidades locales y aumentan los conflictos entre humanos y fauna, además de promover prácticas destructivas como la expansión agrícola insostenible.</w:t>
            </w:r>
          </w:p>
          <w:p w14:paraId="0E8A5FF5" w14:textId="77777777" w:rsidR="00E7102E" w:rsidRPr="00D830D9" w:rsidRDefault="00E7102E">
            <w:pPr>
              <w:rPr>
                <w:rFonts w:cstheme="minorHAnsi"/>
                <w:b/>
                <w:bCs/>
                <w:sz w:val="20"/>
                <w:szCs w:val="20"/>
                <w:lang w:val="es-EC"/>
              </w:rPr>
            </w:pPr>
            <w:r w:rsidRPr="00A51E75">
              <w:rPr>
                <w:rFonts w:cstheme="minorHAnsi"/>
                <w:b/>
                <w:bCs/>
                <w:sz w:val="20"/>
                <w:szCs w:val="20"/>
              </w:rPr>
              <w:t xml:space="preserve">Norma 1: </w:t>
            </w:r>
            <w:r w:rsidRPr="00A51E75">
              <w:rPr>
                <w:rFonts w:cstheme="minorHAnsi"/>
                <w:sz w:val="20"/>
                <w:szCs w:val="20"/>
              </w:rPr>
              <w:t>Conservación de la biodiversidad y gestión sostenible de los recursos naturales</w:t>
            </w:r>
          </w:p>
          <w:p w14:paraId="6D8FFA97" w14:textId="77777777" w:rsidR="00E7102E" w:rsidRPr="00A51E75" w:rsidRDefault="00E7102E">
            <w:pPr>
              <w:rPr>
                <w:rFonts w:cstheme="minorHAnsi"/>
                <w:sz w:val="20"/>
                <w:szCs w:val="20"/>
                <w:lang w:val="en-US"/>
              </w:rPr>
            </w:pPr>
            <w:r w:rsidRPr="00A51E75">
              <w:rPr>
                <w:rStyle w:val="rynqvb"/>
              </w:rPr>
              <w:t>S1.1, 1.2, 1.3, 1.8, 1.9</w:t>
            </w:r>
          </w:p>
        </w:tc>
        <w:tc>
          <w:tcPr>
            <w:tcW w:w="1138" w:type="dxa"/>
          </w:tcPr>
          <w:p w14:paraId="478D62B9" w14:textId="77777777" w:rsidR="00E7102E" w:rsidRPr="00A51E75" w:rsidRDefault="00E7102E">
            <w:pPr>
              <w:rPr>
                <w:rFonts w:cstheme="minorHAnsi"/>
                <w:sz w:val="20"/>
                <w:szCs w:val="20"/>
                <w:lang w:val="en-US"/>
              </w:rPr>
            </w:pPr>
            <w:r w:rsidRPr="00A51E75">
              <w:rPr>
                <w:rFonts w:cstheme="minorHAnsi"/>
                <w:sz w:val="20"/>
                <w:szCs w:val="20"/>
              </w:rPr>
              <w:t>I = 3</w:t>
            </w:r>
          </w:p>
          <w:p w14:paraId="16113464" w14:textId="77777777" w:rsidR="00E7102E" w:rsidRPr="00A51E75" w:rsidRDefault="00E7102E">
            <w:pPr>
              <w:rPr>
                <w:rFonts w:cstheme="minorHAnsi"/>
                <w:sz w:val="20"/>
                <w:szCs w:val="20"/>
                <w:lang w:val="en-US"/>
              </w:rPr>
            </w:pPr>
            <w:r w:rsidRPr="00A51E75">
              <w:rPr>
                <w:rFonts w:cstheme="minorHAnsi"/>
                <w:sz w:val="20"/>
                <w:szCs w:val="20"/>
              </w:rPr>
              <w:t>P =3</w:t>
            </w:r>
          </w:p>
          <w:p w14:paraId="2D13AA5C" w14:textId="77777777" w:rsidR="00E7102E" w:rsidRPr="00A51E75" w:rsidRDefault="00E7102E">
            <w:pPr>
              <w:rPr>
                <w:rFonts w:cstheme="minorHAnsi"/>
                <w:sz w:val="20"/>
                <w:szCs w:val="20"/>
                <w:lang w:val="en-US"/>
              </w:rPr>
            </w:pPr>
          </w:p>
        </w:tc>
        <w:tc>
          <w:tcPr>
            <w:tcW w:w="1079" w:type="dxa"/>
          </w:tcPr>
          <w:p w14:paraId="667B5094" w14:textId="77777777" w:rsidR="00E7102E" w:rsidRPr="00A51E75" w:rsidRDefault="00E7102E">
            <w:pPr>
              <w:rPr>
                <w:rFonts w:cstheme="minorHAnsi"/>
                <w:sz w:val="20"/>
                <w:szCs w:val="20"/>
                <w:lang w:val="en-US"/>
              </w:rPr>
            </w:pPr>
            <w:r w:rsidRPr="00A51E75">
              <w:rPr>
                <w:rFonts w:eastAsia="Calibri" w:cstheme="minorHAnsi"/>
                <w:sz w:val="20"/>
                <w:szCs w:val="20"/>
              </w:rPr>
              <w:t>Moderado</w:t>
            </w:r>
          </w:p>
        </w:tc>
        <w:tc>
          <w:tcPr>
            <w:tcW w:w="2561" w:type="dxa"/>
            <w:gridSpan w:val="2"/>
          </w:tcPr>
          <w:p w14:paraId="23CF30B5" w14:textId="77777777" w:rsidR="00E7102E" w:rsidRPr="00D830D9" w:rsidRDefault="00E7102E">
            <w:pPr>
              <w:jc w:val="both"/>
              <w:rPr>
                <w:rFonts w:cstheme="minorHAnsi"/>
                <w:sz w:val="20"/>
                <w:szCs w:val="20"/>
                <w:lang w:val="es-EC"/>
              </w:rPr>
            </w:pPr>
            <w:r w:rsidRPr="00A51E75">
              <w:rPr>
                <w:rFonts w:cstheme="minorHAnsi"/>
                <w:sz w:val="20"/>
                <w:szCs w:val="20"/>
              </w:rPr>
              <w:t xml:space="preserve">Consulta los impactos detallados en la Matriz de Riesgos del PNUD </w:t>
            </w:r>
          </w:p>
        </w:tc>
        <w:tc>
          <w:tcPr>
            <w:tcW w:w="4919" w:type="dxa"/>
            <w:gridSpan w:val="4"/>
          </w:tcPr>
          <w:p w14:paraId="5E8C5BA8" w14:textId="675C0546" w:rsidR="00E7102E" w:rsidRDefault="00E7102E">
            <w:pPr>
              <w:rPr>
                <w:rFonts w:cstheme="minorHAnsi"/>
                <w:sz w:val="20"/>
                <w:szCs w:val="20"/>
              </w:rPr>
            </w:pPr>
            <w:r w:rsidRPr="00A51E75">
              <w:rPr>
                <w:rFonts w:cstheme="minorHAnsi"/>
                <w:sz w:val="20"/>
                <w:szCs w:val="20"/>
              </w:rPr>
              <w:t xml:space="preserve">El proyecto garantizará la </w:t>
            </w:r>
            <w:proofErr w:type="gramStart"/>
            <w:r w:rsidRPr="00A51E75">
              <w:rPr>
                <w:rFonts w:cstheme="minorHAnsi"/>
                <w:sz w:val="20"/>
                <w:szCs w:val="20"/>
              </w:rPr>
              <w:t>participación activa</w:t>
            </w:r>
            <w:proofErr w:type="gramEnd"/>
            <w:r w:rsidRPr="00A51E75">
              <w:rPr>
                <w:rFonts w:cstheme="minorHAnsi"/>
                <w:sz w:val="20"/>
                <w:szCs w:val="20"/>
              </w:rPr>
              <w:t xml:space="preserve"> de las comunidades locales potencialmente afectadas por su dependencia de los servicios ecosistémicos en la planificación e implementación de actividades en áreas protegidas, respetando sus derechos colectivos y las normativas internacionales como la </w:t>
            </w:r>
            <w:r w:rsidRPr="00A51E75">
              <w:rPr>
                <w:rFonts w:cstheme="minorHAnsi"/>
                <w:b/>
                <w:bCs/>
                <w:sz w:val="20"/>
                <w:szCs w:val="20"/>
              </w:rPr>
              <w:t>Convención 169 y el Protocolo de Nagoya</w:t>
            </w:r>
            <w:r w:rsidRPr="00A51E75">
              <w:rPr>
                <w:rFonts w:cstheme="minorHAnsi"/>
                <w:sz w:val="20"/>
                <w:szCs w:val="20"/>
              </w:rPr>
              <w:t xml:space="preserve">. Las intervenciones en hábitats naturales y seminaturales se minimizarán para evitar alterar la flora y fauna existentes o degradar hábitats o poblaciones de especies residentes. Se aplicará una metodología participativa para fortalecer la conservación del agua y los bosques, asegurando que todas las acciones en los territorios de los Pueblos Indígenas se definan mediante el Consentimiento Libre, Previo e Informado </w:t>
            </w:r>
            <w:r w:rsidR="00896CC8">
              <w:rPr>
                <w:rFonts w:cstheme="minorHAnsi"/>
                <w:sz w:val="20"/>
                <w:szCs w:val="20"/>
              </w:rPr>
              <w:t>(CLPI</w:t>
            </w:r>
            <w:r w:rsidRPr="00A51E75">
              <w:rPr>
                <w:rFonts w:cstheme="minorHAnsi"/>
                <w:sz w:val="20"/>
                <w:szCs w:val="20"/>
              </w:rPr>
              <w:t>).</w:t>
            </w:r>
          </w:p>
          <w:p w14:paraId="6506AB9B" w14:textId="77777777" w:rsidR="001C09E6" w:rsidRDefault="001C09E6">
            <w:pPr>
              <w:rPr>
                <w:rFonts w:cstheme="minorHAnsi"/>
                <w:sz w:val="20"/>
                <w:szCs w:val="20"/>
              </w:rPr>
            </w:pPr>
          </w:p>
          <w:p w14:paraId="7D4A0821" w14:textId="67B4B84C" w:rsidR="006B0C7F" w:rsidRPr="006B0C7F" w:rsidRDefault="006B0C7F" w:rsidP="006B0C7F">
            <w:pPr>
              <w:rPr>
                <w:rFonts w:cstheme="minorHAnsi"/>
                <w:sz w:val="20"/>
                <w:szCs w:val="20"/>
                <w:lang w:val="es-EC"/>
              </w:rPr>
            </w:pPr>
            <w:r w:rsidRPr="006B0C7F">
              <w:rPr>
                <w:rFonts w:cstheme="minorHAnsi"/>
                <w:sz w:val="20"/>
                <w:szCs w:val="20"/>
                <w:lang w:val="es-EC"/>
              </w:rPr>
              <w:t>La información sobre biodiversidad se producirá con la participación de las comunidades y en cumplimiento de los derechos colectivos. Además, se llevarán a cabo consultas y mapeos de oportunidades para fortalecer la gestión de las áreas de conservación hídrica de pequeña escala y de los bosques, en coordinación con organizaciones como CTEA, FODESNA y FONAG. En el caso del Programa Socio Bosque (PSB), cualquier mejora en los medios de vida y en las prácticas productivas será previamente validada con las comunidades. Se aplicarán metodologías validadas por PROAmazonía, el Pago por Resultados y el Proyecto GEF Napo Conservación y Buen Vivir, garantizando que la reforestación y el Manejo Forestal Sostenible (MFS) cumplan con los criterios técnicos del MAE.</w:t>
            </w:r>
          </w:p>
          <w:p w14:paraId="1C26CEBB" w14:textId="77777777" w:rsidR="006B0C7F" w:rsidRPr="006B0C7F" w:rsidRDefault="006B0C7F" w:rsidP="006B0C7F">
            <w:pPr>
              <w:rPr>
                <w:rFonts w:cstheme="minorHAnsi"/>
                <w:sz w:val="20"/>
                <w:szCs w:val="20"/>
                <w:lang w:val="es-EC"/>
              </w:rPr>
            </w:pPr>
            <w:r w:rsidRPr="006B0C7F">
              <w:rPr>
                <w:rFonts w:cstheme="minorHAnsi"/>
                <w:sz w:val="20"/>
                <w:szCs w:val="20"/>
                <w:lang w:val="es-EC"/>
              </w:rPr>
              <w:lastRenderedPageBreak/>
              <w:t>En la medida de lo posible, el proyecto deberá ejecutar las actividades propuestas en áreas donde los hábitats naturales ya hayan sido transformados para otros usos de suelo o que presenten bajo valor para la biodiversidad y los servicios ecosistémicos, así como baja sensibilidad a los impactos esperados. El proyecto deberá aplicar prácticas de gestión sostenible de recursos, promoviendo la agricultura de pequeños productores y el uso de variedades resistentes al clima. Se promoverán estrategias de compensación, fondos rotatorios comunitarios y la monetización de servicios ecosistémicos, integrados al componente de gobernanza.</w:t>
            </w:r>
          </w:p>
          <w:p w14:paraId="5D47BD8E" w14:textId="29E1B7C4" w:rsidR="00E7102E" w:rsidRPr="00FD148F" w:rsidRDefault="006B0C7F" w:rsidP="006B0C7F">
            <w:pPr>
              <w:rPr>
                <w:rFonts w:cstheme="minorHAnsi"/>
                <w:sz w:val="20"/>
                <w:szCs w:val="20"/>
                <w:lang w:val="es-EC"/>
              </w:rPr>
            </w:pPr>
            <w:r w:rsidRPr="006B0C7F">
              <w:rPr>
                <w:rFonts w:cstheme="minorHAnsi"/>
                <w:sz w:val="20"/>
                <w:szCs w:val="20"/>
                <w:lang w:val="es-EC"/>
              </w:rPr>
              <w:t>El proyecto utilizará la Guía Nacional de Consulta para actividades REDD+ en territorios colectivos y basará sus acciones en evaluaciones comunitarias. Todas las medidas se incorporarán en el Plan de Acción de Biodiversidad, el cual compensará las pérdidas de biodiversidad en cualquier hábitat crítico del ecosistema, mediante ganancias netas equivalentes. Además, integrará estrategias para reducir los conflictos entre humanos y vida silvestre.</w:t>
            </w:r>
          </w:p>
        </w:tc>
      </w:tr>
      <w:tr w:rsidR="00E7102E" w:rsidRPr="00317C97" w14:paraId="25D713F7" w14:textId="77777777">
        <w:trPr>
          <w:trHeight w:val="300"/>
        </w:trPr>
        <w:tc>
          <w:tcPr>
            <w:tcW w:w="3437" w:type="dxa"/>
            <w:vAlign w:val="center"/>
          </w:tcPr>
          <w:p w14:paraId="4D5FEE7D" w14:textId="77777777" w:rsidR="00942652" w:rsidRPr="00942652" w:rsidRDefault="00942652" w:rsidP="00942652">
            <w:pPr>
              <w:rPr>
                <w:rFonts w:cstheme="minorHAnsi"/>
                <w:b/>
                <w:bCs/>
                <w:sz w:val="20"/>
                <w:szCs w:val="20"/>
                <w:lang w:val="es-EC"/>
              </w:rPr>
            </w:pPr>
            <w:r w:rsidRPr="00942652">
              <w:rPr>
                <w:rFonts w:cstheme="minorHAnsi"/>
                <w:b/>
                <w:bCs/>
                <w:sz w:val="20"/>
                <w:szCs w:val="20"/>
                <w:lang w:val="es-EC"/>
              </w:rPr>
              <w:lastRenderedPageBreak/>
              <w:t xml:space="preserve">Riesgo 5: </w:t>
            </w:r>
            <w:r w:rsidRPr="00942652">
              <w:rPr>
                <w:rFonts w:cstheme="minorHAnsi"/>
                <w:sz w:val="20"/>
                <w:szCs w:val="20"/>
                <w:lang w:val="es-EC"/>
              </w:rPr>
              <w:t>Efectos adversos del cambio climático sobre el proyecto.</w:t>
            </w:r>
            <w:r w:rsidRPr="00942652">
              <w:rPr>
                <w:rFonts w:cstheme="minorHAnsi"/>
                <w:b/>
                <w:bCs/>
                <w:sz w:val="20"/>
                <w:szCs w:val="20"/>
                <w:lang w:val="es-EC"/>
              </w:rPr>
              <w:br/>
              <w:t xml:space="preserve">Causa: </w:t>
            </w:r>
            <w:r w:rsidRPr="00942652">
              <w:rPr>
                <w:rFonts w:cstheme="minorHAnsi"/>
                <w:sz w:val="20"/>
                <w:szCs w:val="20"/>
                <w:lang w:val="es-EC"/>
              </w:rPr>
              <w:t>Componente 2, Resultado 2.1, Productos 2.1.1 y 2.1.3; y Resultado 2.2, Producto 2.2.3.</w:t>
            </w:r>
            <w:r w:rsidRPr="00942652">
              <w:rPr>
                <w:rFonts w:cstheme="minorHAnsi"/>
                <w:sz w:val="20"/>
                <w:szCs w:val="20"/>
                <w:lang w:val="es-EC"/>
              </w:rPr>
              <w:br/>
            </w:r>
            <w:r w:rsidRPr="00942652">
              <w:rPr>
                <w:rFonts w:cstheme="minorHAnsi"/>
                <w:b/>
                <w:bCs/>
                <w:sz w:val="20"/>
                <w:szCs w:val="20"/>
                <w:lang w:val="es-EC"/>
              </w:rPr>
              <w:t xml:space="preserve">Impacto: </w:t>
            </w:r>
            <w:r w:rsidRPr="00942652">
              <w:rPr>
                <w:rFonts w:cstheme="minorHAnsi"/>
                <w:sz w:val="20"/>
                <w:szCs w:val="20"/>
                <w:lang w:val="es-EC"/>
              </w:rPr>
              <w:t>El cambio climático y los desastres naturales podrían afectar la viabilidad del proyecto, comprometiendo la conservación de los ecosistemas, la producción sostenible y los emprendimientos locales, debido a la alteración de los regímenes hídricos, la degradación del suelo y la pérdida de biodiversidad.</w:t>
            </w:r>
          </w:p>
          <w:p w14:paraId="744D0FD1" w14:textId="77777777" w:rsidR="00942652" w:rsidRPr="00942652" w:rsidRDefault="00942652" w:rsidP="00942652">
            <w:pPr>
              <w:rPr>
                <w:rFonts w:cstheme="minorHAnsi"/>
                <w:sz w:val="20"/>
                <w:szCs w:val="20"/>
                <w:lang w:val="es-EC"/>
              </w:rPr>
            </w:pPr>
            <w:r w:rsidRPr="00942652">
              <w:rPr>
                <w:rFonts w:cstheme="minorHAnsi"/>
                <w:b/>
                <w:bCs/>
                <w:sz w:val="20"/>
                <w:szCs w:val="20"/>
                <w:lang w:val="es-EC"/>
              </w:rPr>
              <w:t xml:space="preserve">Estándar 2: </w:t>
            </w:r>
            <w:r w:rsidRPr="00942652">
              <w:rPr>
                <w:rFonts w:cstheme="minorHAnsi"/>
                <w:sz w:val="20"/>
                <w:szCs w:val="20"/>
                <w:lang w:val="es-EC"/>
              </w:rPr>
              <w:t>Cambio Climático y Riesgo de Desastres</w:t>
            </w:r>
            <w:r w:rsidRPr="00942652">
              <w:rPr>
                <w:rFonts w:cstheme="minorHAnsi"/>
                <w:sz w:val="20"/>
                <w:szCs w:val="20"/>
                <w:lang w:val="es-EC"/>
              </w:rPr>
              <w:br/>
              <w:t>S2.1, S2.2.</w:t>
            </w:r>
          </w:p>
          <w:p w14:paraId="0C393B5D" w14:textId="67DE2935" w:rsidR="00E7102E" w:rsidRPr="00942652" w:rsidRDefault="00E7102E">
            <w:pPr>
              <w:rPr>
                <w:rFonts w:cstheme="minorHAnsi"/>
                <w:b/>
                <w:bCs/>
                <w:sz w:val="20"/>
                <w:szCs w:val="20"/>
                <w:lang w:val="es-EC"/>
              </w:rPr>
            </w:pPr>
          </w:p>
        </w:tc>
        <w:tc>
          <w:tcPr>
            <w:tcW w:w="1138" w:type="dxa"/>
          </w:tcPr>
          <w:p w14:paraId="0AA71B2E" w14:textId="77777777" w:rsidR="00E7102E" w:rsidRPr="00A51E75" w:rsidRDefault="00E7102E">
            <w:pPr>
              <w:rPr>
                <w:rFonts w:cstheme="minorHAnsi"/>
                <w:sz w:val="20"/>
                <w:szCs w:val="20"/>
                <w:lang w:val="en-US"/>
              </w:rPr>
            </w:pPr>
            <w:r w:rsidRPr="00A51E75">
              <w:rPr>
                <w:rFonts w:cstheme="minorHAnsi"/>
                <w:sz w:val="20"/>
                <w:szCs w:val="20"/>
                <w:lang w:val="en-US"/>
              </w:rPr>
              <w:t>I = 3</w:t>
            </w:r>
          </w:p>
          <w:p w14:paraId="47CA769F" w14:textId="77777777" w:rsidR="00E7102E" w:rsidRPr="00A51E75" w:rsidRDefault="00E7102E">
            <w:pPr>
              <w:rPr>
                <w:rFonts w:cstheme="minorHAnsi"/>
                <w:sz w:val="20"/>
                <w:szCs w:val="20"/>
                <w:lang w:val="en-US"/>
              </w:rPr>
            </w:pPr>
            <w:r w:rsidRPr="00A51E75">
              <w:rPr>
                <w:rFonts w:cstheme="minorHAnsi"/>
                <w:sz w:val="20"/>
                <w:szCs w:val="20"/>
                <w:lang w:val="en-US"/>
              </w:rPr>
              <w:t>P = 3</w:t>
            </w:r>
          </w:p>
        </w:tc>
        <w:tc>
          <w:tcPr>
            <w:tcW w:w="1079" w:type="dxa"/>
          </w:tcPr>
          <w:p w14:paraId="3D359378" w14:textId="2DC51471" w:rsidR="00E7102E" w:rsidRPr="00A51E75" w:rsidRDefault="00E7102E">
            <w:pPr>
              <w:rPr>
                <w:rFonts w:cstheme="minorHAnsi"/>
                <w:sz w:val="20"/>
                <w:szCs w:val="20"/>
                <w:lang w:val="en-US"/>
              </w:rPr>
            </w:pPr>
            <w:proofErr w:type="spellStart"/>
            <w:r w:rsidRPr="00A51E75">
              <w:rPr>
                <w:rFonts w:eastAsia="Calibri" w:cstheme="minorHAnsi"/>
                <w:sz w:val="20"/>
                <w:szCs w:val="20"/>
                <w:lang w:val="en-US"/>
              </w:rPr>
              <w:t>Moder</w:t>
            </w:r>
            <w:r w:rsidR="00942652">
              <w:rPr>
                <w:rFonts w:eastAsia="Calibri" w:cstheme="minorHAnsi"/>
                <w:sz w:val="20"/>
                <w:szCs w:val="20"/>
                <w:lang w:val="en-US"/>
              </w:rPr>
              <w:t>ado</w:t>
            </w:r>
            <w:proofErr w:type="spellEnd"/>
          </w:p>
        </w:tc>
        <w:tc>
          <w:tcPr>
            <w:tcW w:w="2561" w:type="dxa"/>
            <w:gridSpan w:val="2"/>
          </w:tcPr>
          <w:p w14:paraId="4B67370A" w14:textId="2BA5052A" w:rsidR="00E7102E" w:rsidRPr="00942652" w:rsidRDefault="00942652">
            <w:pPr>
              <w:jc w:val="both"/>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0C237C39" w14:textId="77777777" w:rsidR="00317C97" w:rsidRPr="00317C97" w:rsidRDefault="00317C97" w:rsidP="00317C97">
            <w:pPr>
              <w:rPr>
                <w:rFonts w:cstheme="minorHAnsi"/>
                <w:sz w:val="20"/>
                <w:szCs w:val="20"/>
                <w:lang w:val="es-EC"/>
              </w:rPr>
            </w:pPr>
            <w:r w:rsidRPr="00317C97">
              <w:rPr>
                <w:rFonts w:cstheme="minorHAnsi"/>
                <w:sz w:val="20"/>
                <w:szCs w:val="20"/>
                <w:lang w:val="es-EC"/>
              </w:rPr>
              <w:t>El proyecto integrará el monitoreo de riesgos climáticos y estrategias de adaptación en sus actividades, incluyendo la capacitación comunitaria en alertas tempranas y el desarrollo de un modelo de resiliencia hídrica para fortalecer la sostenibilidad de los ecosistemas. Se evaluará la posibilidad de desarrollar un Plan de Monitoreo de Impactos Hidrológicos para analizar los efectos en el ciclo del agua y reducir los impactos de inundaciones y eventos climáticos extremos.</w:t>
            </w:r>
          </w:p>
          <w:p w14:paraId="486151D3" w14:textId="77777777" w:rsidR="00317C97" w:rsidRPr="00317C97" w:rsidRDefault="00317C97" w:rsidP="00317C97">
            <w:pPr>
              <w:rPr>
                <w:rFonts w:cstheme="minorHAnsi"/>
                <w:sz w:val="20"/>
                <w:szCs w:val="20"/>
                <w:lang w:val="es-EC"/>
              </w:rPr>
            </w:pPr>
            <w:r w:rsidRPr="00317C97">
              <w:rPr>
                <w:rFonts w:cstheme="minorHAnsi"/>
                <w:sz w:val="20"/>
                <w:szCs w:val="20"/>
                <w:lang w:val="es-EC"/>
              </w:rPr>
              <w:t>Se utilizarán herramientas como el Sistema de Información, Pronósticos, Riesgo Climático y Adaptación al Cambio Climático (SPRACC) para evaluar riesgos con base en escenarios futuros, y se realizará capacitación con la Secretaría Nacional de Gestión de Riesgos. Adicionalmente, se evaluará la posibilidad de trabajar de manera estrecha con el Sistema de Alerta Temprana (SAT) para riesgos climáticos. Durante la fase de implementación, esta información se integrará para fortalecer la resiliencia del proyecto.</w:t>
            </w:r>
          </w:p>
          <w:p w14:paraId="588CF18E" w14:textId="77777777" w:rsidR="00317C97" w:rsidRPr="00317C97" w:rsidRDefault="00317C97" w:rsidP="00317C97">
            <w:pPr>
              <w:rPr>
                <w:rFonts w:cstheme="minorHAnsi"/>
                <w:sz w:val="20"/>
                <w:szCs w:val="20"/>
                <w:lang w:val="es-EC"/>
              </w:rPr>
            </w:pPr>
            <w:r w:rsidRPr="00317C97">
              <w:rPr>
                <w:rFonts w:cstheme="minorHAnsi"/>
                <w:sz w:val="20"/>
                <w:szCs w:val="20"/>
                <w:lang w:val="es-EC"/>
              </w:rPr>
              <w:lastRenderedPageBreak/>
              <w:t>La resiliencia climática se promoverá en el área de intervención mediante la instalación y mantenimiento de estaciones hidrometeorológicas, el desarrollo de plataformas digitales, el intercambio de experiencias con otros proyectos y la difusión de boletines comunitarios accesibles en formatos inclusivos. Esto asegurará un acceso equitativo a la información climática, fomentando la toma de decisiones informada y la gestión de riesgos frente a eventos extremos.</w:t>
            </w:r>
          </w:p>
          <w:p w14:paraId="321BAFA0" w14:textId="77777777" w:rsidR="00317C97" w:rsidRPr="00317C97" w:rsidRDefault="00317C97" w:rsidP="00317C97">
            <w:pPr>
              <w:rPr>
                <w:rFonts w:cstheme="minorHAnsi"/>
                <w:sz w:val="20"/>
                <w:szCs w:val="20"/>
                <w:lang w:val="es-EC"/>
              </w:rPr>
            </w:pPr>
            <w:r w:rsidRPr="00317C97">
              <w:rPr>
                <w:rFonts w:cstheme="minorHAnsi"/>
                <w:sz w:val="20"/>
                <w:szCs w:val="20"/>
                <w:lang w:val="es-EC"/>
              </w:rPr>
              <w:t>En el diseño de las intervenciones de conservación y relacionadas con los ecosistemas, se realizará un cambio de enfoque: se pasará de una visión estática que busca preservar ecosistemas y especies existentes basándose en tendencias pasadas, a una visión dinámica que considera escenarios climáticos y facilita los procesos de adaptación de la naturaleza ante condiciones climáticas cambiantes.</w:t>
            </w:r>
          </w:p>
          <w:p w14:paraId="61FF9A80" w14:textId="55CB8073" w:rsidR="00E7102E" w:rsidRPr="00317C97" w:rsidRDefault="00317C97">
            <w:pPr>
              <w:rPr>
                <w:rFonts w:cstheme="minorHAnsi"/>
                <w:sz w:val="20"/>
                <w:szCs w:val="20"/>
                <w:lang w:val="es-EC"/>
              </w:rPr>
            </w:pPr>
            <w:r w:rsidRPr="00317C97">
              <w:rPr>
                <w:rFonts w:cstheme="minorHAnsi"/>
                <w:sz w:val="20"/>
                <w:szCs w:val="20"/>
                <w:lang w:val="es-EC"/>
              </w:rPr>
              <w:t>El Análisis de Cambio Climático y Riesgo de Desastres integrará estrategias de adaptación y monitoreo de riesgos para mitigar los impactos del cambio climático y los desastres naturales sobre el proyecto.</w:t>
            </w:r>
          </w:p>
        </w:tc>
      </w:tr>
      <w:tr w:rsidR="00E7102E" w:rsidRPr="00352C26" w14:paraId="0614448B" w14:textId="77777777">
        <w:trPr>
          <w:trHeight w:val="300"/>
        </w:trPr>
        <w:tc>
          <w:tcPr>
            <w:tcW w:w="3437" w:type="dxa"/>
            <w:vAlign w:val="center"/>
          </w:tcPr>
          <w:p w14:paraId="790BF215" w14:textId="77777777" w:rsidR="000F6AC2" w:rsidRPr="000F6AC2" w:rsidRDefault="000F6AC2" w:rsidP="000F6AC2">
            <w:pPr>
              <w:rPr>
                <w:rFonts w:cstheme="minorHAnsi"/>
                <w:b/>
                <w:bCs/>
                <w:sz w:val="20"/>
                <w:szCs w:val="20"/>
                <w:lang w:val="es-EC"/>
              </w:rPr>
            </w:pPr>
            <w:r w:rsidRPr="000F6AC2">
              <w:rPr>
                <w:rFonts w:cstheme="minorHAnsi"/>
                <w:b/>
                <w:bCs/>
                <w:sz w:val="20"/>
                <w:szCs w:val="20"/>
                <w:lang w:val="es-EC"/>
              </w:rPr>
              <w:lastRenderedPageBreak/>
              <w:t xml:space="preserve">Riesgo 6: </w:t>
            </w:r>
            <w:r w:rsidRPr="000F6AC2">
              <w:rPr>
                <w:rFonts w:cstheme="minorHAnsi"/>
                <w:sz w:val="20"/>
                <w:szCs w:val="20"/>
                <w:lang w:val="es-EC"/>
              </w:rPr>
              <w:t>Impactos adversos en los ecosistemas relevantes para la salud comunitaria y afluencia de trabajadores externos.</w:t>
            </w:r>
            <w:r w:rsidRPr="000F6AC2">
              <w:rPr>
                <w:rFonts w:cstheme="minorHAnsi"/>
                <w:b/>
                <w:bCs/>
                <w:sz w:val="20"/>
                <w:szCs w:val="20"/>
                <w:lang w:val="es-EC"/>
              </w:rPr>
              <w:br/>
              <w:t xml:space="preserve">Causa: </w:t>
            </w:r>
            <w:r w:rsidRPr="000F6AC2">
              <w:rPr>
                <w:rFonts w:cstheme="minorHAnsi"/>
                <w:sz w:val="20"/>
                <w:szCs w:val="20"/>
                <w:lang w:val="es-EC"/>
              </w:rPr>
              <w:t>Componente 1, Resultado 1.1, Producto 1.1.1; Componente 2, Resultado 2.1, Productos 2.1.1 y 2.1.3; y Resultado 2.2, Producto 2.2.3; y Componente 3, Resultado 3.1, Producto 3.1.2.</w:t>
            </w:r>
            <w:r w:rsidRPr="000F6AC2">
              <w:rPr>
                <w:rFonts w:cstheme="minorHAnsi"/>
                <w:sz w:val="20"/>
                <w:szCs w:val="20"/>
                <w:lang w:val="es-EC"/>
              </w:rPr>
              <w:br/>
            </w:r>
            <w:r w:rsidRPr="000F6AC2">
              <w:rPr>
                <w:rFonts w:cstheme="minorHAnsi"/>
                <w:b/>
                <w:bCs/>
                <w:sz w:val="20"/>
                <w:szCs w:val="20"/>
                <w:lang w:val="es-EC"/>
              </w:rPr>
              <w:t xml:space="preserve">Impacto: </w:t>
            </w:r>
            <w:r w:rsidRPr="000F6AC2">
              <w:rPr>
                <w:rFonts w:cstheme="minorHAnsi"/>
                <w:sz w:val="20"/>
                <w:szCs w:val="20"/>
                <w:lang w:val="es-EC"/>
              </w:rPr>
              <w:t>La implementación de políticas territoriales y la afluencia de trabajadores externos podrían generar presión sobre los recursos locales, afectando la disponibilidad de servicios ecosistémicos esenciales para la salud comunitaria, como el acceso a agua limpia, y potencialmente intensificando conflictos socioambientales y la explotación de los ecosistemas.</w:t>
            </w:r>
          </w:p>
          <w:p w14:paraId="5A53080A" w14:textId="77777777" w:rsidR="000F6AC2" w:rsidRPr="000F6AC2" w:rsidRDefault="000F6AC2" w:rsidP="000F6AC2">
            <w:pPr>
              <w:rPr>
                <w:rFonts w:cstheme="minorHAnsi"/>
                <w:sz w:val="20"/>
                <w:szCs w:val="20"/>
                <w:lang w:val="es-EC"/>
              </w:rPr>
            </w:pPr>
            <w:r w:rsidRPr="000F6AC2">
              <w:rPr>
                <w:rFonts w:cstheme="minorHAnsi"/>
                <w:b/>
                <w:bCs/>
                <w:sz w:val="20"/>
                <w:szCs w:val="20"/>
                <w:lang w:val="es-EC"/>
              </w:rPr>
              <w:lastRenderedPageBreak/>
              <w:t xml:space="preserve">Estándar 3: </w:t>
            </w:r>
            <w:r w:rsidRPr="000F6AC2">
              <w:rPr>
                <w:rFonts w:cstheme="minorHAnsi"/>
                <w:sz w:val="20"/>
                <w:szCs w:val="20"/>
                <w:lang w:val="es-EC"/>
              </w:rPr>
              <w:t>Salud, Seguridad y Protección de las Comunidades</w:t>
            </w:r>
            <w:r w:rsidRPr="000F6AC2">
              <w:rPr>
                <w:rFonts w:cstheme="minorHAnsi"/>
                <w:sz w:val="20"/>
                <w:szCs w:val="20"/>
                <w:lang w:val="es-EC"/>
              </w:rPr>
              <w:br/>
              <w:t>S3.6, S3.7.</w:t>
            </w:r>
          </w:p>
          <w:p w14:paraId="589C3CA5" w14:textId="76175B06" w:rsidR="00E7102E" w:rsidRPr="000F6AC2" w:rsidRDefault="00E7102E">
            <w:pPr>
              <w:rPr>
                <w:rFonts w:cstheme="minorHAnsi"/>
                <w:b/>
                <w:bCs/>
                <w:sz w:val="20"/>
                <w:szCs w:val="20"/>
                <w:lang w:val="es-EC"/>
              </w:rPr>
            </w:pPr>
          </w:p>
        </w:tc>
        <w:tc>
          <w:tcPr>
            <w:tcW w:w="1138" w:type="dxa"/>
          </w:tcPr>
          <w:p w14:paraId="7CCF68EB" w14:textId="77777777" w:rsidR="00E7102E" w:rsidRPr="00A51E75" w:rsidRDefault="00E7102E">
            <w:pPr>
              <w:rPr>
                <w:rFonts w:cstheme="minorHAnsi"/>
                <w:sz w:val="20"/>
                <w:szCs w:val="20"/>
                <w:lang w:val="en-US"/>
              </w:rPr>
            </w:pPr>
            <w:r w:rsidRPr="00A51E75">
              <w:rPr>
                <w:rFonts w:cstheme="minorHAnsi"/>
                <w:sz w:val="20"/>
                <w:szCs w:val="20"/>
                <w:lang w:val="en-US"/>
              </w:rPr>
              <w:lastRenderedPageBreak/>
              <w:t>I = 3</w:t>
            </w:r>
          </w:p>
          <w:p w14:paraId="3BF8FD8D" w14:textId="77777777" w:rsidR="00E7102E" w:rsidRPr="00A51E75" w:rsidRDefault="00E7102E">
            <w:pPr>
              <w:rPr>
                <w:rFonts w:cstheme="minorHAnsi"/>
                <w:sz w:val="20"/>
                <w:szCs w:val="20"/>
                <w:lang w:val="en-US"/>
              </w:rPr>
            </w:pPr>
            <w:r w:rsidRPr="00A51E75">
              <w:rPr>
                <w:rFonts w:cstheme="minorHAnsi"/>
                <w:sz w:val="20"/>
                <w:szCs w:val="20"/>
                <w:lang w:val="en-US"/>
              </w:rPr>
              <w:t>P = 2</w:t>
            </w:r>
          </w:p>
          <w:p w14:paraId="5A23DF91" w14:textId="77777777" w:rsidR="00E7102E" w:rsidRPr="00A51E75" w:rsidRDefault="00E7102E">
            <w:pPr>
              <w:rPr>
                <w:rFonts w:cstheme="minorHAnsi"/>
                <w:sz w:val="20"/>
                <w:szCs w:val="20"/>
                <w:lang w:val="en-US"/>
              </w:rPr>
            </w:pPr>
          </w:p>
        </w:tc>
        <w:tc>
          <w:tcPr>
            <w:tcW w:w="1079" w:type="dxa"/>
          </w:tcPr>
          <w:p w14:paraId="2D44933F" w14:textId="4A7BE4C2" w:rsidR="00E7102E" w:rsidRPr="00A51E75" w:rsidRDefault="000F6AC2">
            <w:pPr>
              <w:rPr>
                <w:rFonts w:cstheme="minorHAnsi"/>
                <w:bCs/>
                <w:sz w:val="20"/>
                <w:szCs w:val="20"/>
                <w:lang w:val="en-US"/>
              </w:rPr>
            </w:pPr>
            <w:r>
              <w:rPr>
                <w:rFonts w:eastAsia="Calibri" w:cstheme="minorHAnsi"/>
                <w:sz w:val="20"/>
                <w:szCs w:val="20"/>
                <w:lang w:val="en-US"/>
              </w:rPr>
              <w:t>Bajo</w:t>
            </w:r>
          </w:p>
        </w:tc>
        <w:tc>
          <w:tcPr>
            <w:tcW w:w="2561" w:type="dxa"/>
            <w:gridSpan w:val="2"/>
          </w:tcPr>
          <w:p w14:paraId="3AD19BFF" w14:textId="1B270161" w:rsidR="00E7102E" w:rsidRPr="00942652" w:rsidRDefault="00942652">
            <w:pPr>
              <w:jc w:val="both"/>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3234E889" w14:textId="77777777" w:rsidR="00352C26" w:rsidRPr="00352C26" w:rsidRDefault="00352C26" w:rsidP="00352C26">
            <w:pPr>
              <w:tabs>
                <w:tab w:val="left" w:pos="760"/>
              </w:tabs>
              <w:rPr>
                <w:rFonts w:cstheme="minorHAnsi"/>
                <w:sz w:val="20"/>
                <w:szCs w:val="20"/>
                <w:lang w:val="es-EC"/>
              </w:rPr>
            </w:pPr>
            <w:r w:rsidRPr="00352C26">
              <w:rPr>
                <w:rFonts w:cstheme="minorHAnsi"/>
                <w:sz w:val="20"/>
                <w:szCs w:val="20"/>
                <w:lang w:val="es-EC"/>
              </w:rPr>
              <w:t>El proyecto adoptará un enfoque integral de planificación y gestión ambiental para mitigar los impactos sobre los ecosistemas y los servicios ecosistémicos esenciales para las comunidades locales. Se implementarán criterios ambientales y sociales en las políticas de ordenamiento territorial, priorizando la conservación de los servicios ecosistémicos clave.</w:t>
            </w:r>
          </w:p>
          <w:p w14:paraId="32C9912F" w14:textId="77777777" w:rsidR="00352C26" w:rsidRPr="00352C26" w:rsidRDefault="00352C26" w:rsidP="00352C26">
            <w:pPr>
              <w:tabs>
                <w:tab w:val="left" w:pos="760"/>
              </w:tabs>
              <w:rPr>
                <w:rFonts w:cstheme="minorHAnsi"/>
                <w:sz w:val="20"/>
                <w:szCs w:val="20"/>
                <w:lang w:val="es-EC"/>
              </w:rPr>
            </w:pPr>
            <w:r w:rsidRPr="00352C26">
              <w:rPr>
                <w:rFonts w:cstheme="minorHAnsi"/>
                <w:sz w:val="20"/>
                <w:szCs w:val="20"/>
                <w:lang w:val="es-EC"/>
              </w:rPr>
              <w:t>El proyecto promoverá la gestión del conocimiento mediante estrategias de sensibilización ambiental y gobernanza participativa, garantizando que las decisiones fortalezcan la resiliencia ecológica y social del territorio.</w:t>
            </w:r>
          </w:p>
          <w:p w14:paraId="46FA296E" w14:textId="17B32FF6" w:rsidR="00E7102E" w:rsidRPr="00352C26" w:rsidRDefault="00352C26">
            <w:pPr>
              <w:tabs>
                <w:tab w:val="left" w:pos="760"/>
              </w:tabs>
              <w:rPr>
                <w:rFonts w:cstheme="minorHAnsi"/>
                <w:sz w:val="20"/>
                <w:szCs w:val="20"/>
                <w:lang w:val="es-EC"/>
              </w:rPr>
            </w:pPr>
            <w:r w:rsidRPr="00352C26">
              <w:rPr>
                <w:rFonts w:cstheme="minorHAnsi"/>
                <w:sz w:val="20"/>
                <w:szCs w:val="20"/>
                <w:lang w:val="es-EC"/>
              </w:rPr>
              <w:t>El proyecto asegurará una gestión adecuada de los impactos ambientales y sociales asociados a la contratación de trabajadores. Esto incluirá la promoción de la contratación local, la implementación de códigos de conducta contra la violencia basada en género, la capacitación de los trabajadores, la difusión del Mecanismo de Quejas y Reclamos, y un sistema seguro para reportar y atender casos de violencia basada en género, con informes periódicos de cumplimiento.</w:t>
            </w:r>
          </w:p>
        </w:tc>
      </w:tr>
      <w:tr w:rsidR="00E7102E" w:rsidRPr="00DB4FA8" w14:paraId="4D9CC15F" w14:textId="77777777">
        <w:trPr>
          <w:trHeight w:val="300"/>
        </w:trPr>
        <w:tc>
          <w:tcPr>
            <w:tcW w:w="3437" w:type="dxa"/>
            <w:vAlign w:val="center"/>
          </w:tcPr>
          <w:p w14:paraId="7B6C6F12" w14:textId="77777777" w:rsidR="00DF5FB9" w:rsidRPr="00DF5FB9" w:rsidRDefault="00DF5FB9" w:rsidP="00DF5FB9">
            <w:pPr>
              <w:rPr>
                <w:rFonts w:cstheme="minorHAnsi"/>
                <w:b/>
                <w:bCs/>
                <w:sz w:val="20"/>
                <w:szCs w:val="20"/>
                <w:lang w:val="es-EC"/>
              </w:rPr>
            </w:pPr>
            <w:r w:rsidRPr="00DF5FB9">
              <w:rPr>
                <w:rFonts w:cstheme="minorHAnsi"/>
                <w:b/>
                <w:bCs/>
                <w:sz w:val="20"/>
                <w:szCs w:val="20"/>
                <w:lang w:val="es-EC"/>
              </w:rPr>
              <w:t xml:space="preserve">Riesgo 7: </w:t>
            </w:r>
            <w:r w:rsidRPr="00DF5FB9">
              <w:rPr>
                <w:rFonts w:cstheme="minorHAnsi"/>
                <w:sz w:val="20"/>
                <w:szCs w:val="20"/>
                <w:lang w:val="es-EC"/>
              </w:rPr>
              <w:t>Uso indebido del patrimonio cultural con fines comerciales.</w:t>
            </w:r>
            <w:r w:rsidRPr="00DF5FB9">
              <w:rPr>
                <w:rFonts w:cstheme="minorHAnsi"/>
                <w:sz w:val="20"/>
                <w:szCs w:val="20"/>
                <w:lang w:val="es-EC"/>
              </w:rPr>
              <w:br/>
            </w:r>
            <w:r w:rsidRPr="00DF5FB9">
              <w:rPr>
                <w:rFonts w:cstheme="minorHAnsi"/>
                <w:b/>
                <w:bCs/>
                <w:sz w:val="20"/>
                <w:szCs w:val="20"/>
                <w:lang w:val="es-EC"/>
              </w:rPr>
              <w:t xml:space="preserve">Causa: </w:t>
            </w:r>
            <w:r w:rsidRPr="00DF5FB9">
              <w:rPr>
                <w:rFonts w:cstheme="minorHAnsi"/>
                <w:sz w:val="20"/>
                <w:szCs w:val="20"/>
                <w:lang w:val="es-EC"/>
              </w:rPr>
              <w:t>Componente 2, Resultado 2.1, Productos 2.1.1 y 2.1.3, y Resultado 2.2, Producto 2.2.2; y Componente 3, Resultado 3.1, Producto 3.1.3.</w:t>
            </w:r>
            <w:r w:rsidRPr="00DF5FB9">
              <w:rPr>
                <w:rFonts w:cstheme="minorHAnsi"/>
                <w:sz w:val="20"/>
                <w:szCs w:val="20"/>
                <w:lang w:val="es-EC"/>
              </w:rPr>
              <w:br/>
            </w:r>
            <w:r w:rsidRPr="00DF5FB9">
              <w:rPr>
                <w:rFonts w:cstheme="minorHAnsi"/>
                <w:b/>
                <w:bCs/>
                <w:sz w:val="20"/>
                <w:szCs w:val="20"/>
                <w:lang w:val="es-EC"/>
              </w:rPr>
              <w:t xml:space="preserve">Impacto: </w:t>
            </w:r>
            <w:r w:rsidRPr="00DF5FB9">
              <w:rPr>
                <w:rFonts w:cstheme="minorHAnsi"/>
                <w:sz w:val="20"/>
                <w:szCs w:val="20"/>
                <w:lang w:val="es-EC"/>
              </w:rPr>
              <w:t>El uso indebido del conocimiento tradicional relacionado con la gestión sostenible de los recursos puede conducir a su explotación comercial sin beneficiar o reconocer adecuadamente a las comunidades, comprometiendo tanto la biodiversidad como la identidad cultural de los Pueblos Indígenas.</w:t>
            </w:r>
          </w:p>
          <w:p w14:paraId="09EDF1AA" w14:textId="77777777" w:rsidR="00DF5FB9" w:rsidRPr="00DF5FB9" w:rsidRDefault="00DF5FB9" w:rsidP="00DF5FB9">
            <w:pPr>
              <w:rPr>
                <w:rFonts w:cstheme="minorHAnsi"/>
                <w:sz w:val="20"/>
                <w:szCs w:val="20"/>
                <w:lang w:val="es-EC"/>
              </w:rPr>
            </w:pPr>
            <w:r w:rsidRPr="00DF5FB9">
              <w:rPr>
                <w:rFonts w:cstheme="minorHAnsi"/>
                <w:b/>
                <w:bCs/>
                <w:sz w:val="20"/>
                <w:szCs w:val="20"/>
                <w:lang w:val="es-EC"/>
              </w:rPr>
              <w:t xml:space="preserve">Estándar 4: </w:t>
            </w:r>
            <w:r w:rsidRPr="00DF5FB9">
              <w:rPr>
                <w:rFonts w:cstheme="minorHAnsi"/>
                <w:sz w:val="20"/>
                <w:szCs w:val="20"/>
                <w:lang w:val="es-EC"/>
              </w:rPr>
              <w:t>Patrimonio Cultural</w:t>
            </w:r>
            <w:r w:rsidRPr="00DF5FB9">
              <w:rPr>
                <w:rFonts w:cstheme="minorHAnsi"/>
                <w:sz w:val="20"/>
                <w:szCs w:val="20"/>
                <w:lang w:val="es-EC"/>
              </w:rPr>
              <w:br/>
              <w:t>S4.5.</w:t>
            </w:r>
          </w:p>
          <w:p w14:paraId="023A43F8" w14:textId="05FDF9FF" w:rsidR="00E7102E" w:rsidRPr="00A51E75" w:rsidRDefault="00E7102E">
            <w:pPr>
              <w:rPr>
                <w:rFonts w:cstheme="minorHAnsi"/>
                <w:b/>
                <w:bCs/>
                <w:sz w:val="20"/>
                <w:szCs w:val="20"/>
                <w:lang w:val="en-US"/>
              </w:rPr>
            </w:pPr>
          </w:p>
        </w:tc>
        <w:tc>
          <w:tcPr>
            <w:tcW w:w="1138" w:type="dxa"/>
          </w:tcPr>
          <w:p w14:paraId="104E292F" w14:textId="77777777" w:rsidR="00E7102E" w:rsidRPr="00A51E75" w:rsidRDefault="00E7102E">
            <w:pPr>
              <w:rPr>
                <w:rFonts w:cstheme="minorHAnsi"/>
                <w:sz w:val="20"/>
                <w:szCs w:val="20"/>
                <w:lang w:val="en-US"/>
              </w:rPr>
            </w:pPr>
            <w:r w:rsidRPr="00A51E75">
              <w:rPr>
                <w:rFonts w:cstheme="minorHAnsi"/>
                <w:sz w:val="20"/>
                <w:szCs w:val="20"/>
                <w:lang w:val="en-US"/>
              </w:rPr>
              <w:t>I = 3</w:t>
            </w:r>
          </w:p>
          <w:p w14:paraId="218EAA5F" w14:textId="77777777" w:rsidR="00E7102E" w:rsidRPr="00A51E75" w:rsidRDefault="00E7102E">
            <w:pPr>
              <w:rPr>
                <w:rFonts w:cstheme="minorHAnsi"/>
                <w:sz w:val="20"/>
                <w:szCs w:val="20"/>
                <w:lang w:val="en-US"/>
              </w:rPr>
            </w:pPr>
            <w:r w:rsidRPr="00A51E75">
              <w:rPr>
                <w:rFonts w:cstheme="minorHAnsi"/>
                <w:sz w:val="20"/>
                <w:szCs w:val="20"/>
                <w:lang w:val="en-US"/>
              </w:rPr>
              <w:t>P = 4</w:t>
            </w:r>
          </w:p>
          <w:p w14:paraId="792AD520" w14:textId="77777777" w:rsidR="00E7102E" w:rsidRPr="00A51E75" w:rsidRDefault="00E7102E">
            <w:pPr>
              <w:rPr>
                <w:rFonts w:cstheme="minorHAnsi"/>
                <w:sz w:val="20"/>
                <w:szCs w:val="20"/>
                <w:lang w:val="en-US"/>
              </w:rPr>
            </w:pPr>
          </w:p>
        </w:tc>
        <w:tc>
          <w:tcPr>
            <w:tcW w:w="1079" w:type="dxa"/>
          </w:tcPr>
          <w:p w14:paraId="7B3F2BED" w14:textId="5F5B7AF7" w:rsidR="00E7102E" w:rsidRPr="00A51E75" w:rsidRDefault="00E7102E">
            <w:pPr>
              <w:rPr>
                <w:rFonts w:cstheme="minorHAnsi"/>
                <w:bCs/>
                <w:sz w:val="20"/>
                <w:szCs w:val="20"/>
                <w:lang w:val="en-US"/>
              </w:rPr>
            </w:pPr>
            <w:proofErr w:type="spellStart"/>
            <w:r w:rsidRPr="00A51E75">
              <w:rPr>
                <w:rFonts w:eastAsia="Calibri" w:cstheme="minorHAnsi"/>
                <w:sz w:val="20"/>
                <w:szCs w:val="20"/>
                <w:lang w:val="en-US"/>
              </w:rPr>
              <w:t>Modera</w:t>
            </w:r>
            <w:r w:rsidR="00211885">
              <w:rPr>
                <w:rFonts w:eastAsia="Calibri" w:cstheme="minorHAnsi"/>
                <w:sz w:val="20"/>
                <w:szCs w:val="20"/>
                <w:lang w:val="en-US"/>
              </w:rPr>
              <w:t>do</w:t>
            </w:r>
            <w:proofErr w:type="spellEnd"/>
          </w:p>
        </w:tc>
        <w:tc>
          <w:tcPr>
            <w:tcW w:w="2561" w:type="dxa"/>
            <w:gridSpan w:val="2"/>
          </w:tcPr>
          <w:p w14:paraId="41851451" w14:textId="5DF834A1" w:rsidR="00E7102E" w:rsidRPr="00942652" w:rsidRDefault="00942652">
            <w:pPr>
              <w:jc w:val="both"/>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0230E9AB" w14:textId="77777777" w:rsidR="00DB4FA8" w:rsidRPr="00DB4FA8" w:rsidRDefault="00DB4FA8" w:rsidP="00DB4FA8">
            <w:pPr>
              <w:rPr>
                <w:rFonts w:eastAsia="Calibri" w:cstheme="minorHAnsi"/>
                <w:sz w:val="20"/>
                <w:szCs w:val="20"/>
                <w:lang w:val="es-EC"/>
              </w:rPr>
            </w:pPr>
            <w:r w:rsidRPr="00DB4FA8">
              <w:rPr>
                <w:rFonts w:eastAsia="Calibri" w:cstheme="minorHAnsi"/>
                <w:sz w:val="20"/>
                <w:szCs w:val="20"/>
                <w:lang w:val="es-EC"/>
              </w:rPr>
              <w:t>Para prevenir la apropiación indebida del conocimiento tradicional y del patrimonio cultural, el proyecto implementará medidas de respeto, protección y distribución de beneficios con las comunidades indígenas.</w:t>
            </w:r>
          </w:p>
          <w:p w14:paraId="2980E6D7" w14:textId="77777777" w:rsidR="00DB4FA8" w:rsidRPr="00DB4FA8" w:rsidRDefault="00DB4FA8" w:rsidP="00DB4FA8">
            <w:pPr>
              <w:rPr>
                <w:rFonts w:eastAsia="Calibri" w:cstheme="minorHAnsi"/>
                <w:sz w:val="20"/>
                <w:szCs w:val="20"/>
                <w:lang w:val="es-EC"/>
              </w:rPr>
            </w:pPr>
            <w:r w:rsidRPr="00DB4FA8">
              <w:rPr>
                <w:rFonts w:eastAsia="Calibri" w:cstheme="minorHAnsi"/>
                <w:sz w:val="20"/>
                <w:szCs w:val="20"/>
                <w:lang w:val="es-EC"/>
              </w:rPr>
              <w:t>El proyecto llevará a cabo consultas significativas e informará a las comunidades potencialmente afectadas sobre sus derechos conforme a la normativa aplicable, el alcance y la naturaleza de las actividades propuestas, y las posibles consecuencias de dicha integración y utilización. Esto incluirá la identificación, inventario, documentación, investigación, preservación, protección, promoción, puesta en valor, transmisión y revitalización de los distintos aspectos de este patrimonio.</w:t>
            </w:r>
          </w:p>
          <w:p w14:paraId="512495E8" w14:textId="77777777" w:rsidR="00DB4FA8" w:rsidRPr="00DB4FA8" w:rsidRDefault="00DB4FA8" w:rsidP="00DB4FA8">
            <w:pPr>
              <w:rPr>
                <w:rFonts w:eastAsia="Calibri" w:cstheme="minorHAnsi"/>
                <w:sz w:val="20"/>
                <w:szCs w:val="20"/>
                <w:lang w:val="es-EC"/>
              </w:rPr>
            </w:pPr>
            <w:r w:rsidRPr="00DB4FA8">
              <w:rPr>
                <w:rFonts w:eastAsia="Calibri" w:cstheme="minorHAnsi"/>
                <w:sz w:val="20"/>
                <w:szCs w:val="20"/>
                <w:lang w:val="es-EC"/>
              </w:rPr>
              <w:t>Para garantizar la protección del conocimiento tradicional en actividades de biocomercio, se establecerán alianzas con el Servicio Nacional de Derechos Intelectuales, especialmente en relación con los productos forestales no maderables.</w:t>
            </w:r>
          </w:p>
          <w:p w14:paraId="4CFE29F7" w14:textId="65AFB6AF" w:rsidR="00E7102E" w:rsidRPr="00DB4FA8" w:rsidRDefault="00DB4FA8">
            <w:pPr>
              <w:rPr>
                <w:rFonts w:eastAsia="Calibri" w:cstheme="minorHAnsi"/>
                <w:sz w:val="20"/>
                <w:szCs w:val="20"/>
                <w:lang w:val="es-EC"/>
              </w:rPr>
            </w:pPr>
            <w:r w:rsidRPr="00DB4FA8">
              <w:rPr>
                <w:rFonts w:eastAsia="Calibri" w:cstheme="minorHAnsi"/>
                <w:sz w:val="20"/>
                <w:szCs w:val="20"/>
                <w:lang w:val="es-EC"/>
              </w:rPr>
              <w:t>El Plan de Pueblos Indígenas promoverá la gobernanza sobre sus territorios y conocimientos, además de facilitar el registro de productos y saberes dentro de sistemas de propiedad intelectual que respeten su uso ancestral.</w:t>
            </w:r>
          </w:p>
        </w:tc>
      </w:tr>
      <w:tr w:rsidR="00E7102E" w:rsidRPr="00F72704" w14:paraId="45E21930" w14:textId="77777777">
        <w:trPr>
          <w:trHeight w:val="300"/>
        </w:trPr>
        <w:tc>
          <w:tcPr>
            <w:tcW w:w="3437" w:type="dxa"/>
            <w:vAlign w:val="center"/>
          </w:tcPr>
          <w:p w14:paraId="6AA08C86" w14:textId="77777777" w:rsidR="00DA07E0" w:rsidRPr="00DA07E0" w:rsidRDefault="00DA07E0" w:rsidP="00DA07E0">
            <w:pPr>
              <w:rPr>
                <w:rFonts w:cstheme="minorHAnsi"/>
                <w:sz w:val="20"/>
                <w:szCs w:val="20"/>
                <w:lang w:val="es-EC"/>
              </w:rPr>
            </w:pPr>
            <w:r w:rsidRPr="00DA07E0">
              <w:rPr>
                <w:rFonts w:cstheme="minorHAnsi"/>
                <w:b/>
                <w:bCs/>
                <w:sz w:val="20"/>
                <w:szCs w:val="20"/>
                <w:lang w:val="es-EC"/>
              </w:rPr>
              <w:t xml:space="preserve">Riesgo 8: </w:t>
            </w:r>
            <w:r w:rsidRPr="00DA07E0">
              <w:rPr>
                <w:rFonts w:cstheme="minorHAnsi"/>
                <w:sz w:val="20"/>
                <w:szCs w:val="20"/>
                <w:lang w:val="es-EC"/>
              </w:rPr>
              <w:t>Riesgo de desplazamiento económico debido a restricciones en el acceso a recursos.</w:t>
            </w:r>
            <w:r w:rsidRPr="00DA07E0">
              <w:rPr>
                <w:rFonts w:cstheme="minorHAnsi"/>
                <w:sz w:val="20"/>
                <w:szCs w:val="20"/>
                <w:lang w:val="es-EC"/>
              </w:rPr>
              <w:br/>
            </w:r>
            <w:r w:rsidRPr="00DA07E0">
              <w:rPr>
                <w:rFonts w:cstheme="minorHAnsi"/>
                <w:b/>
                <w:bCs/>
                <w:sz w:val="20"/>
                <w:szCs w:val="20"/>
                <w:lang w:val="es-EC"/>
              </w:rPr>
              <w:t xml:space="preserve">Causa: </w:t>
            </w:r>
            <w:r w:rsidRPr="00DA07E0">
              <w:rPr>
                <w:rFonts w:cstheme="minorHAnsi"/>
                <w:sz w:val="20"/>
                <w:szCs w:val="20"/>
                <w:lang w:val="es-EC"/>
              </w:rPr>
              <w:t>Componente 2, Resultado 2.1, Productos 2.1.1 y 2.1.3, y Resultado 2.2, Producto 2.2.3; y Componente 3, Resultado 3.1, Producto 3.1.3.</w:t>
            </w:r>
            <w:r w:rsidRPr="00DA07E0">
              <w:rPr>
                <w:rFonts w:cstheme="minorHAnsi"/>
                <w:sz w:val="20"/>
                <w:szCs w:val="20"/>
                <w:lang w:val="es-EC"/>
              </w:rPr>
              <w:br/>
            </w:r>
            <w:r w:rsidRPr="00DA07E0">
              <w:rPr>
                <w:rFonts w:cstheme="minorHAnsi"/>
                <w:b/>
                <w:bCs/>
                <w:sz w:val="20"/>
                <w:szCs w:val="20"/>
                <w:lang w:val="es-EC"/>
              </w:rPr>
              <w:t xml:space="preserve">Impacto: </w:t>
            </w:r>
            <w:r w:rsidRPr="00DA07E0">
              <w:rPr>
                <w:rFonts w:cstheme="minorHAnsi"/>
                <w:sz w:val="20"/>
                <w:szCs w:val="20"/>
                <w:lang w:val="es-EC"/>
              </w:rPr>
              <w:t xml:space="preserve">Las restricciones en el acceso a recursos para la conservación y la gestión sostenible del territorio podrían generar desplazamiento económico en las comunidades locales, afectando sus medios de vida y recursos de subsistencia, sin considerar </w:t>
            </w:r>
            <w:r w:rsidRPr="00DA07E0">
              <w:rPr>
                <w:rFonts w:cstheme="minorHAnsi"/>
                <w:sz w:val="20"/>
                <w:szCs w:val="20"/>
                <w:lang w:val="es-EC"/>
              </w:rPr>
              <w:lastRenderedPageBreak/>
              <w:t>adecuadamente sus derechos y necesidades.</w:t>
            </w:r>
          </w:p>
          <w:p w14:paraId="53D01535" w14:textId="5072D4DA" w:rsidR="00E7102E" w:rsidRPr="00181A04" w:rsidRDefault="00DA07E0">
            <w:pPr>
              <w:rPr>
                <w:rFonts w:cstheme="minorHAnsi"/>
                <w:b/>
                <w:bCs/>
                <w:sz w:val="20"/>
                <w:szCs w:val="20"/>
                <w:lang w:val="es-EC"/>
              </w:rPr>
            </w:pPr>
            <w:r w:rsidRPr="00DA07E0">
              <w:rPr>
                <w:rFonts w:cstheme="minorHAnsi"/>
                <w:b/>
                <w:bCs/>
                <w:sz w:val="20"/>
                <w:szCs w:val="20"/>
                <w:lang w:val="es-EC"/>
              </w:rPr>
              <w:t xml:space="preserve">Estándar 5: </w:t>
            </w:r>
            <w:r w:rsidRPr="00DA07E0">
              <w:rPr>
                <w:rFonts w:cstheme="minorHAnsi"/>
                <w:sz w:val="20"/>
                <w:szCs w:val="20"/>
                <w:lang w:val="es-EC"/>
              </w:rPr>
              <w:t>Desplazamiento y Reasentamiento</w:t>
            </w:r>
            <w:r w:rsidRPr="00DA07E0">
              <w:rPr>
                <w:rFonts w:cstheme="minorHAnsi"/>
                <w:sz w:val="20"/>
                <w:szCs w:val="20"/>
                <w:lang w:val="es-EC"/>
              </w:rPr>
              <w:br/>
            </w:r>
            <w:r w:rsidRPr="00DA07E0">
              <w:rPr>
                <w:rFonts w:cstheme="minorHAnsi"/>
                <w:b/>
                <w:bCs/>
                <w:sz w:val="20"/>
                <w:szCs w:val="20"/>
                <w:lang w:val="es-EC"/>
              </w:rPr>
              <w:t>S5.2.</w:t>
            </w:r>
          </w:p>
        </w:tc>
        <w:tc>
          <w:tcPr>
            <w:tcW w:w="1138" w:type="dxa"/>
          </w:tcPr>
          <w:p w14:paraId="70CA6FFD" w14:textId="77777777" w:rsidR="00E7102E" w:rsidRPr="00A51E75" w:rsidRDefault="00E7102E">
            <w:pPr>
              <w:rPr>
                <w:rFonts w:cstheme="minorHAnsi"/>
                <w:sz w:val="20"/>
                <w:szCs w:val="20"/>
                <w:lang w:val="en-US"/>
              </w:rPr>
            </w:pPr>
            <w:r w:rsidRPr="00A51E75">
              <w:rPr>
                <w:rFonts w:cstheme="minorHAnsi"/>
                <w:sz w:val="20"/>
                <w:szCs w:val="20"/>
                <w:lang w:val="en-US"/>
              </w:rPr>
              <w:lastRenderedPageBreak/>
              <w:t>I = 3</w:t>
            </w:r>
          </w:p>
          <w:p w14:paraId="21371FAB" w14:textId="77777777" w:rsidR="00E7102E" w:rsidRPr="00A51E75" w:rsidRDefault="00E7102E">
            <w:pPr>
              <w:rPr>
                <w:rFonts w:cstheme="minorHAnsi"/>
                <w:sz w:val="20"/>
                <w:szCs w:val="20"/>
                <w:lang w:val="en-US"/>
              </w:rPr>
            </w:pPr>
            <w:r w:rsidRPr="00A51E75">
              <w:rPr>
                <w:rFonts w:cstheme="minorHAnsi"/>
                <w:sz w:val="20"/>
                <w:szCs w:val="20"/>
                <w:lang w:val="en-US"/>
              </w:rPr>
              <w:t>P = 4</w:t>
            </w:r>
          </w:p>
          <w:p w14:paraId="5AC6A62E" w14:textId="77777777" w:rsidR="00E7102E" w:rsidRPr="00A51E75" w:rsidRDefault="00E7102E">
            <w:pPr>
              <w:rPr>
                <w:rFonts w:cstheme="minorHAnsi"/>
                <w:sz w:val="20"/>
                <w:szCs w:val="20"/>
                <w:lang w:val="en-US"/>
              </w:rPr>
            </w:pPr>
          </w:p>
        </w:tc>
        <w:tc>
          <w:tcPr>
            <w:tcW w:w="1079" w:type="dxa"/>
          </w:tcPr>
          <w:p w14:paraId="11E2225B" w14:textId="1363A311" w:rsidR="00E7102E" w:rsidRPr="00A51E75" w:rsidRDefault="00E7102E">
            <w:pPr>
              <w:rPr>
                <w:rFonts w:cstheme="minorHAnsi"/>
                <w:bCs/>
                <w:sz w:val="20"/>
                <w:szCs w:val="20"/>
                <w:lang w:val="en-US"/>
              </w:rPr>
            </w:pPr>
            <w:proofErr w:type="spellStart"/>
            <w:r w:rsidRPr="00A51E75">
              <w:rPr>
                <w:rFonts w:eastAsia="Calibri" w:cstheme="minorHAnsi"/>
                <w:sz w:val="20"/>
                <w:szCs w:val="20"/>
                <w:lang w:val="en-US"/>
              </w:rPr>
              <w:t>Modera</w:t>
            </w:r>
            <w:r w:rsidR="00181A04">
              <w:rPr>
                <w:rFonts w:eastAsia="Calibri" w:cstheme="minorHAnsi"/>
                <w:sz w:val="20"/>
                <w:szCs w:val="20"/>
                <w:lang w:val="en-US"/>
              </w:rPr>
              <w:t>do</w:t>
            </w:r>
            <w:proofErr w:type="spellEnd"/>
          </w:p>
        </w:tc>
        <w:tc>
          <w:tcPr>
            <w:tcW w:w="2561" w:type="dxa"/>
            <w:gridSpan w:val="2"/>
          </w:tcPr>
          <w:p w14:paraId="2B4CC943" w14:textId="4A922407" w:rsidR="00E7102E" w:rsidRPr="00942652" w:rsidRDefault="00942652">
            <w:pPr>
              <w:jc w:val="both"/>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035855B4" w14:textId="77777777" w:rsidR="00F72704" w:rsidRPr="00F72704" w:rsidRDefault="00F72704" w:rsidP="00F72704">
            <w:pPr>
              <w:rPr>
                <w:rFonts w:cstheme="minorHAnsi"/>
                <w:sz w:val="20"/>
                <w:szCs w:val="20"/>
                <w:lang w:val="es-EC"/>
              </w:rPr>
            </w:pPr>
            <w:r w:rsidRPr="00F72704">
              <w:rPr>
                <w:rFonts w:cstheme="minorHAnsi"/>
                <w:sz w:val="20"/>
                <w:szCs w:val="20"/>
                <w:lang w:val="es-EC"/>
              </w:rPr>
              <w:t>El proyecto debe identificar y evaluar los posibles riesgos de desplazamiento físico y económico. Debe prohibir los desalojos forzosos. Asimismo, debe identificar medidas para evitar o, cuando esto no sea posible, minimizar los posibles riesgos de desplazamiento y sus impactos sociales y económicos adversos. Se debe consultar a las partes interesadas potencialmente afectadas (con especial atención a los grupos pobres y marginados) sobre las medidas propuestas y las oportunidades para mejorar su nivel de vida y su situación socioeconómica general mediante las intervenciones del proyecto.</w:t>
            </w:r>
          </w:p>
          <w:p w14:paraId="7D5BCD5B" w14:textId="691F0D1F" w:rsidR="00E7102E" w:rsidRPr="00F72704" w:rsidRDefault="00F72704">
            <w:pPr>
              <w:rPr>
                <w:rFonts w:cstheme="minorHAnsi"/>
                <w:sz w:val="20"/>
                <w:szCs w:val="20"/>
                <w:lang w:val="es-EC"/>
              </w:rPr>
            </w:pPr>
            <w:r w:rsidRPr="00F72704">
              <w:rPr>
                <w:rFonts w:cstheme="minorHAnsi"/>
                <w:sz w:val="20"/>
                <w:szCs w:val="20"/>
                <w:lang w:val="es-EC"/>
              </w:rPr>
              <w:t xml:space="preserve">El Plan de Medios de Vida promoverá alternativas económicas sostenibles y la diversificación de cultivos, garantizando el acceso a recursos esenciales como alimentos y agua, y estableciendo mecanismos de </w:t>
            </w:r>
            <w:r w:rsidRPr="00F72704">
              <w:rPr>
                <w:rFonts w:cstheme="minorHAnsi"/>
                <w:sz w:val="20"/>
                <w:szCs w:val="20"/>
                <w:lang w:val="es-EC"/>
              </w:rPr>
              <w:lastRenderedPageBreak/>
              <w:t>compensación y restauración económica en caso de impactos derivados de restricciones en el acceso a la tierra.</w:t>
            </w:r>
          </w:p>
        </w:tc>
      </w:tr>
      <w:tr w:rsidR="00E7102E" w:rsidRPr="00013323" w14:paraId="5DD33A73" w14:textId="77777777">
        <w:trPr>
          <w:trHeight w:val="300"/>
        </w:trPr>
        <w:tc>
          <w:tcPr>
            <w:tcW w:w="3437" w:type="dxa"/>
            <w:vAlign w:val="center"/>
          </w:tcPr>
          <w:p w14:paraId="41DC0AD8" w14:textId="77777777" w:rsidR="00CA2003" w:rsidRPr="00CA2003" w:rsidRDefault="00CA2003" w:rsidP="00CA2003">
            <w:pPr>
              <w:rPr>
                <w:rFonts w:cstheme="minorHAnsi"/>
                <w:sz w:val="20"/>
                <w:szCs w:val="20"/>
                <w:lang w:val="es-EC"/>
              </w:rPr>
            </w:pPr>
            <w:r w:rsidRPr="00CA2003">
              <w:rPr>
                <w:rFonts w:cstheme="minorHAnsi"/>
                <w:b/>
                <w:bCs/>
                <w:sz w:val="20"/>
                <w:szCs w:val="20"/>
                <w:lang w:val="es-EC"/>
              </w:rPr>
              <w:lastRenderedPageBreak/>
              <w:t xml:space="preserve">Riesgo 9: </w:t>
            </w:r>
            <w:r w:rsidRPr="00CA2003">
              <w:rPr>
                <w:rFonts w:cstheme="minorHAnsi"/>
                <w:sz w:val="20"/>
                <w:szCs w:val="20"/>
                <w:lang w:val="es-EC"/>
              </w:rPr>
              <w:t>Impactos sobre los derechos y medios de vida de los Pueblos Indígenas.</w:t>
            </w:r>
            <w:r w:rsidRPr="00CA2003">
              <w:rPr>
                <w:rFonts w:cstheme="minorHAnsi"/>
                <w:sz w:val="20"/>
                <w:szCs w:val="20"/>
                <w:lang w:val="es-EC"/>
              </w:rPr>
              <w:br/>
            </w:r>
            <w:r w:rsidRPr="00CA2003">
              <w:rPr>
                <w:rFonts w:cstheme="minorHAnsi"/>
                <w:b/>
                <w:bCs/>
                <w:sz w:val="20"/>
                <w:szCs w:val="20"/>
                <w:lang w:val="es-EC"/>
              </w:rPr>
              <w:t xml:space="preserve">Causa: </w:t>
            </w:r>
            <w:r w:rsidRPr="00CA2003">
              <w:rPr>
                <w:rFonts w:cstheme="minorHAnsi"/>
                <w:sz w:val="20"/>
                <w:szCs w:val="20"/>
                <w:lang w:val="es-EC"/>
              </w:rPr>
              <w:t>Este riesgo afecta a todos los componentes del proyecto.</w:t>
            </w:r>
            <w:r w:rsidRPr="00CA2003">
              <w:rPr>
                <w:rFonts w:cstheme="minorHAnsi"/>
                <w:sz w:val="20"/>
                <w:szCs w:val="20"/>
                <w:lang w:val="es-EC"/>
              </w:rPr>
              <w:br/>
            </w:r>
            <w:r w:rsidRPr="00CA2003">
              <w:rPr>
                <w:rFonts w:cstheme="minorHAnsi"/>
                <w:b/>
                <w:bCs/>
                <w:sz w:val="20"/>
                <w:szCs w:val="20"/>
                <w:lang w:val="es-EC"/>
              </w:rPr>
              <w:t xml:space="preserve">Impacto: </w:t>
            </w:r>
            <w:r w:rsidRPr="00CA2003">
              <w:rPr>
                <w:rFonts w:cstheme="minorHAnsi"/>
                <w:sz w:val="20"/>
                <w:szCs w:val="20"/>
                <w:lang w:val="es-EC"/>
              </w:rPr>
              <w:t>Cuando el proyecto se implementa en territorios indígenas, puede afectar los derechos colectivos y los medios de vida de las comunidades si no se garantiza la consulta libre, previa e informada, lo que podría alterar sus sistemas de gobernanza, restringir su acceso a los recursos y modificar sus dinámicas territoriales.</w:t>
            </w:r>
          </w:p>
          <w:p w14:paraId="3198D464" w14:textId="77777777" w:rsidR="00CA2003" w:rsidRPr="00CA2003" w:rsidRDefault="00CA2003" w:rsidP="00CA2003">
            <w:pPr>
              <w:rPr>
                <w:rFonts w:cstheme="minorHAnsi"/>
                <w:sz w:val="20"/>
                <w:szCs w:val="20"/>
                <w:lang w:val="en-US"/>
              </w:rPr>
            </w:pPr>
            <w:proofErr w:type="spellStart"/>
            <w:r w:rsidRPr="00CA2003">
              <w:rPr>
                <w:rFonts w:cstheme="minorHAnsi"/>
                <w:b/>
                <w:bCs/>
                <w:sz w:val="20"/>
                <w:szCs w:val="20"/>
                <w:lang w:val="en-US"/>
              </w:rPr>
              <w:t>Estándar</w:t>
            </w:r>
            <w:proofErr w:type="spellEnd"/>
            <w:r w:rsidRPr="00CA2003">
              <w:rPr>
                <w:rFonts w:cstheme="minorHAnsi"/>
                <w:b/>
                <w:bCs/>
                <w:sz w:val="20"/>
                <w:szCs w:val="20"/>
                <w:lang w:val="en-US"/>
              </w:rPr>
              <w:t xml:space="preserve"> 6: </w:t>
            </w:r>
            <w:r w:rsidRPr="00CA2003">
              <w:rPr>
                <w:rFonts w:cstheme="minorHAnsi"/>
                <w:sz w:val="20"/>
                <w:szCs w:val="20"/>
                <w:lang w:val="en-US"/>
              </w:rPr>
              <w:t xml:space="preserve">Pueblos </w:t>
            </w:r>
            <w:proofErr w:type="spellStart"/>
            <w:r w:rsidRPr="00CA2003">
              <w:rPr>
                <w:rFonts w:cstheme="minorHAnsi"/>
                <w:sz w:val="20"/>
                <w:szCs w:val="20"/>
                <w:lang w:val="en-US"/>
              </w:rPr>
              <w:t>Indígenas</w:t>
            </w:r>
            <w:proofErr w:type="spellEnd"/>
            <w:r w:rsidRPr="00CA2003">
              <w:rPr>
                <w:rFonts w:cstheme="minorHAnsi"/>
                <w:sz w:val="20"/>
                <w:szCs w:val="20"/>
                <w:lang w:val="en-US"/>
              </w:rPr>
              <w:br/>
              <w:t>S6.1, S6.2, S6.3, S6.4, S6.5, S6.6, S6.7, S6.9.</w:t>
            </w:r>
          </w:p>
          <w:p w14:paraId="1E391C61" w14:textId="0562FEF7" w:rsidR="00E7102E" w:rsidRPr="00A51E75" w:rsidRDefault="00E7102E">
            <w:pPr>
              <w:rPr>
                <w:rFonts w:cstheme="minorHAnsi"/>
                <w:sz w:val="20"/>
                <w:szCs w:val="20"/>
                <w:lang w:val="en-US"/>
              </w:rPr>
            </w:pPr>
          </w:p>
        </w:tc>
        <w:tc>
          <w:tcPr>
            <w:tcW w:w="1138" w:type="dxa"/>
          </w:tcPr>
          <w:p w14:paraId="100278AD" w14:textId="77777777" w:rsidR="00E7102E" w:rsidRPr="00A51E75" w:rsidRDefault="00E7102E">
            <w:pPr>
              <w:rPr>
                <w:rFonts w:cstheme="minorHAnsi"/>
                <w:sz w:val="20"/>
                <w:szCs w:val="20"/>
                <w:lang w:val="en-US"/>
              </w:rPr>
            </w:pPr>
            <w:r w:rsidRPr="00A51E75">
              <w:rPr>
                <w:rFonts w:cstheme="minorHAnsi"/>
                <w:sz w:val="20"/>
                <w:szCs w:val="20"/>
                <w:lang w:val="en-US"/>
              </w:rPr>
              <w:t>I = 4</w:t>
            </w:r>
          </w:p>
          <w:p w14:paraId="49DC4A9B" w14:textId="77777777" w:rsidR="00E7102E" w:rsidRPr="00A51E75" w:rsidRDefault="00E7102E">
            <w:pPr>
              <w:rPr>
                <w:rFonts w:cstheme="minorHAnsi"/>
                <w:sz w:val="20"/>
                <w:szCs w:val="20"/>
                <w:lang w:val="en-US"/>
              </w:rPr>
            </w:pPr>
            <w:r w:rsidRPr="00A51E75">
              <w:rPr>
                <w:rFonts w:cstheme="minorHAnsi"/>
                <w:sz w:val="20"/>
                <w:szCs w:val="20"/>
                <w:lang w:val="en-US"/>
              </w:rPr>
              <w:t>P = 3</w:t>
            </w:r>
          </w:p>
          <w:p w14:paraId="2326FA45" w14:textId="77777777" w:rsidR="00E7102E" w:rsidRPr="00A51E75" w:rsidRDefault="00E7102E">
            <w:pPr>
              <w:rPr>
                <w:rFonts w:cstheme="minorHAnsi"/>
                <w:sz w:val="20"/>
                <w:szCs w:val="20"/>
                <w:lang w:val="en-US"/>
              </w:rPr>
            </w:pPr>
          </w:p>
        </w:tc>
        <w:tc>
          <w:tcPr>
            <w:tcW w:w="1079" w:type="dxa"/>
          </w:tcPr>
          <w:p w14:paraId="295BFA5E" w14:textId="0F956773" w:rsidR="00E7102E" w:rsidRPr="00A51E75" w:rsidRDefault="00E7102E">
            <w:pPr>
              <w:rPr>
                <w:rFonts w:cstheme="minorHAnsi"/>
                <w:bCs/>
                <w:sz w:val="20"/>
                <w:szCs w:val="20"/>
                <w:lang w:val="en-US"/>
              </w:rPr>
            </w:pPr>
            <w:proofErr w:type="spellStart"/>
            <w:r w:rsidRPr="00A51E75">
              <w:rPr>
                <w:rFonts w:eastAsia="Calibri" w:cstheme="minorHAnsi"/>
                <w:sz w:val="20"/>
                <w:szCs w:val="20"/>
                <w:lang w:val="en-US"/>
              </w:rPr>
              <w:t>Sustan</w:t>
            </w:r>
            <w:r w:rsidR="00CA2003">
              <w:rPr>
                <w:rFonts w:eastAsia="Calibri" w:cstheme="minorHAnsi"/>
                <w:sz w:val="20"/>
                <w:szCs w:val="20"/>
                <w:lang w:val="en-US"/>
              </w:rPr>
              <w:t>c</w:t>
            </w:r>
            <w:r w:rsidRPr="00A51E75">
              <w:rPr>
                <w:rFonts w:eastAsia="Calibri" w:cstheme="minorHAnsi"/>
                <w:sz w:val="20"/>
                <w:szCs w:val="20"/>
                <w:lang w:val="en-US"/>
              </w:rPr>
              <w:t>ial</w:t>
            </w:r>
            <w:proofErr w:type="spellEnd"/>
          </w:p>
        </w:tc>
        <w:tc>
          <w:tcPr>
            <w:tcW w:w="2561" w:type="dxa"/>
            <w:gridSpan w:val="2"/>
          </w:tcPr>
          <w:p w14:paraId="48A09EB2" w14:textId="4C705558" w:rsidR="00E7102E" w:rsidRPr="00942652" w:rsidRDefault="00942652">
            <w:pPr>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3F18320A" w14:textId="77777777" w:rsidR="00013323" w:rsidRPr="00013323" w:rsidRDefault="00013323" w:rsidP="00013323">
            <w:pPr>
              <w:rPr>
                <w:rFonts w:cstheme="minorHAnsi"/>
                <w:sz w:val="20"/>
                <w:szCs w:val="20"/>
                <w:lang w:val="es-EC"/>
              </w:rPr>
            </w:pPr>
            <w:r w:rsidRPr="00013323">
              <w:rPr>
                <w:rFonts w:cstheme="minorHAnsi"/>
                <w:sz w:val="20"/>
                <w:szCs w:val="20"/>
                <w:lang w:val="es-EC"/>
              </w:rPr>
              <w:t>El proyecto identificará y llevará a cabo procesos de consulta con los pueblos y nacionalidades indígenas desde la fase de diseño, evaluando los riesgos para sus derechos y medios de vida. Durante la implementación, todas las acciones requerirán el Consentimiento Libre, Previo e Informado (CLPI), cumpliendo con los estándares nacionales e internacionales, así como con la Guía Nacional de Consulta para REDD+.</w:t>
            </w:r>
          </w:p>
          <w:p w14:paraId="1E447264" w14:textId="77777777" w:rsidR="00013323" w:rsidRPr="00013323" w:rsidRDefault="00013323" w:rsidP="00013323">
            <w:pPr>
              <w:rPr>
                <w:rFonts w:cstheme="minorHAnsi"/>
                <w:sz w:val="20"/>
                <w:szCs w:val="20"/>
                <w:lang w:val="es-EC"/>
              </w:rPr>
            </w:pPr>
            <w:r w:rsidRPr="00013323">
              <w:rPr>
                <w:rFonts w:cstheme="minorHAnsi"/>
                <w:sz w:val="20"/>
                <w:szCs w:val="20"/>
                <w:lang w:val="es-EC"/>
              </w:rPr>
              <w:t>Se elaborará un Plan de Pueblos Indígenas, basado en el Marco de Pueblos Indígenas, y se incorporará un especialista en Pueblos Indígenas. Además, se implementará un proceso continuo de capacitación y sensibilización sobre derechos humanos y colectivos, tanto para las comunidades como para el equipo técnico, el cual también recibirá formación mediante el programa virtual del MAE sobre conocimientos tradicionales y el Protocolo de Nagoya.</w:t>
            </w:r>
          </w:p>
          <w:p w14:paraId="06FE1E0B" w14:textId="69FFDAD8" w:rsidR="00E7102E" w:rsidRPr="00013323" w:rsidRDefault="00013323">
            <w:pPr>
              <w:rPr>
                <w:rFonts w:cstheme="minorHAnsi"/>
                <w:sz w:val="20"/>
                <w:szCs w:val="20"/>
                <w:lang w:val="es-EC"/>
              </w:rPr>
            </w:pPr>
            <w:r w:rsidRPr="00013323">
              <w:rPr>
                <w:rFonts w:cstheme="minorHAnsi"/>
                <w:sz w:val="20"/>
                <w:szCs w:val="20"/>
                <w:lang w:val="es-EC"/>
              </w:rPr>
              <w:t>Para garantizar la protección del conocimiento tradicional en actividades de biocomercio, se establecerán alianzas con el Servicio Nacional de Derechos Intelectuales, especialmente en relación con los productos forestales no maderables.</w:t>
            </w:r>
          </w:p>
        </w:tc>
      </w:tr>
      <w:tr w:rsidR="00E7102E" w:rsidRPr="00DB599D" w14:paraId="2675879A" w14:textId="77777777">
        <w:trPr>
          <w:trHeight w:val="300"/>
        </w:trPr>
        <w:tc>
          <w:tcPr>
            <w:tcW w:w="3437" w:type="dxa"/>
            <w:vAlign w:val="center"/>
          </w:tcPr>
          <w:p w14:paraId="1D43E5C1" w14:textId="77777777" w:rsidR="00B76358" w:rsidRPr="00B76358" w:rsidRDefault="00B76358" w:rsidP="00B76358">
            <w:pPr>
              <w:rPr>
                <w:rFonts w:cstheme="minorHAnsi"/>
                <w:sz w:val="20"/>
                <w:szCs w:val="20"/>
                <w:lang w:val="es-EC"/>
              </w:rPr>
            </w:pPr>
            <w:r w:rsidRPr="00B76358">
              <w:rPr>
                <w:rFonts w:cstheme="minorHAnsi"/>
                <w:b/>
                <w:bCs/>
                <w:sz w:val="20"/>
                <w:szCs w:val="20"/>
                <w:lang w:val="es-EC"/>
              </w:rPr>
              <w:t xml:space="preserve">Riesgo 10: </w:t>
            </w:r>
            <w:r w:rsidRPr="00B76358">
              <w:rPr>
                <w:rFonts w:cstheme="minorHAnsi"/>
                <w:sz w:val="20"/>
                <w:szCs w:val="20"/>
                <w:lang w:val="es-EC"/>
              </w:rPr>
              <w:t>Falta de igualdad de oportunidades de empleo.</w:t>
            </w:r>
            <w:r w:rsidRPr="00B76358">
              <w:rPr>
                <w:rFonts w:cstheme="minorHAnsi"/>
                <w:sz w:val="20"/>
                <w:szCs w:val="20"/>
                <w:lang w:val="es-EC"/>
              </w:rPr>
              <w:br/>
            </w:r>
            <w:r w:rsidRPr="00B76358">
              <w:rPr>
                <w:rFonts w:cstheme="minorHAnsi"/>
                <w:b/>
                <w:bCs/>
                <w:sz w:val="20"/>
                <w:szCs w:val="20"/>
                <w:lang w:val="es-EC"/>
              </w:rPr>
              <w:t xml:space="preserve">Causa: </w:t>
            </w:r>
            <w:r w:rsidRPr="00B76358">
              <w:rPr>
                <w:rFonts w:cstheme="minorHAnsi"/>
                <w:sz w:val="20"/>
                <w:szCs w:val="20"/>
                <w:lang w:val="es-EC"/>
              </w:rPr>
              <w:t>Componente 2, Resultado 2.1, Producto 2.1.2, y Resultado 2.2, Producto 2.2.1; y Componente 3, Resultado 3.1, Producto 3.1.1.</w:t>
            </w:r>
            <w:r w:rsidRPr="00B76358">
              <w:rPr>
                <w:rFonts w:cstheme="minorHAnsi"/>
                <w:sz w:val="20"/>
                <w:szCs w:val="20"/>
                <w:lang w:val="es-EC"/>
              </w:rPr>
              <w:br/>
            </w:r>
            <w:r w:rsidRPr="00B76358">
              <w:rPr>
                <w:rFonts w:cstheme="minorHAnsi"/>
                <w:b/>
                <w:bCs/>
                <w:sz w:val="20"/>
                <w:szCs w:val="20"/>
                <w:lang w:val="es-EC"/>
              </w:rPr>
              <w:t xml:space="preserve">Impacto: </w:t>
            </w:r>
            <w:r w:rsidRPr="00B76358">
              <w:rPr>
                <w:rFonts w:cstheme="minorHAnsi"/>
                <w:sz w:val="20"/>
                <w:szCs w:val="20"/>
                <w:lang w:val="es-EC"/>
              </w:rPr>
              <w:t>La falta de igualdad de oportunidades de empleo y de acceso a capacitación, financiamiento y liderazgo para mujeres, pueblos indígenas y grupos vulnerables podría generar condiciones discriminatorias, limitando su participación en el proyecto.</w:t>
            </w:r>
          </w:p>
          <w:p w14:paraId="50D1CFEA" w14:textId="77777777" w:rsidR="00B76358" w:rsidRPr="00B76358" w:rsidRDefault="00B76358" w:rsidP="00B76358">
            <w:pPr>
              <w:rPr>
                <w:rFonts w:cstheme="minorHAnsi"/>
                <w:sz w:val="20"/>
                <w:szCs w:val="20"/>
                <w:lang w:val="es-EC"/>
              </w:rPr>
            </w:pPr>
            <w:r w:rsidRPr="00B76358">
              <w:rPr>
                <w:rFonts w:cstheme="minorHAnsi"/>
                <w:b/>
                <w:bCs/>
                <w:sz w:val="20"/>
                <w:szCs w:val="20"/>
                <w:lang w:val="es-EC"/>
              </w:rPr>
              <w:lastRenderedPageBreak/>
              <w:t xml:space="preserve">Estándar 7: </w:t>
            </w:r>
            <w:r w:rsidRPr="00B76358">
              <w:rPr>
                <w:rFonts w:cstheme="minorHAnsi"/>
                <w:sz w:val="20"/>
                <w:szCs w:val="20"/>
                <w:lang w:val="es-EC"/>
              </w:rPr>
              <w:t>Trabajo y Condiciones Laborales</w:t>
            </w:r>
            <w:r w:rsidRPr="00B76358">
              <w:rPr>
                <w:rFonts w:cstheme="minorHAnsi"/>
                <w:sz w:val="20"/>
                <w:szCs w:val="20"/>
                <w:lang w:val="es-EC"/>
              </w:rPr>
              <w:br/>
              <w:t>S7.5.</w:t>
            </w:r>
          </w:p>
          <w:p w14:paraId="54A60361" w14:textId="6321A856" w:rsidR="00E7102E" w:rsidRPr="00B76358" w:rsidRDefault="00E7102E">
            <w:pPr>
              <w:rPr>
                <w:rFonts w:cstheme="minorHAnsi"/>
                <w:sz w:val="20"/>
                <w:szCs w:val="20"/>
                <w:lang w:val="es-EC"/>
              </w:rPr>
            </w:pPr>
          </w:p>
        </w:tc>
        <w:tc>
          <w:tcPr>
            <w:tcW w:w="1138" w:type="dxa"/>
          </w:tcPr>
          <w:p w14:paraId="7FDC71C2" w14:textId="77777777" w:rsidR="00E7102E" w:rsidRPr="00A51E75" w:rsidRDefault="00E7102E">
            <w:pPr>
              <w:rPr>
                <w:rFonts w:cstheme="minorHAnsi"/>
                <w:sz w:val="20"/>
                <w:szCs w:val="20"/>
                <w:lang w:val="en-US"/>
              </w:rPr>
            </w:pPr>
            <w:r w:rsidRPr="00A51E75">
              <w:rPr>
                <w:rFonts w:cstheme="minorHAnsi"/>
                <w:sz w:val="20"/>
                <w:szCs w:val="20"/>
                <w:lang w:val="en-US"/>
              </w:rPr>
              <w:lastRenderedPageBreak/>
              <w:t>I = 2</w:t>
            </w:r>
          </w:p>
          <w:p w14:paraId="4705114B" w14:textId="77777777" w:rsidR="00E7102E" w:rsidRPr="00A51E75" w:rsidRDefault="00E7102E">
            <w:pPr>
              <w:rPr>
                <w:rFonts w:cstheme="minorHAnsi"/>
                <w:sz w:val="20"/>
                <w:szCs w:val="20"/>
                <w:lang w:val="en-US"/>
              </w:rPr>
            </w:pPr>
            <w:r w:rsidRPr="00A51E75">
              <w:rPr>
                <w:rFonts w:cstheme="minorHAnsi"/>
                <w:sz w:val="20"/>
                <w:szCs w:val="20"/>
                <w:lang w:val="en-US"/>
              </w:rPr>
              <w:t>P = 2</w:t>
            </w:r>
          </w:p>
          <w:p w14:paraId="287540CA" w14:textId="77777777" w:rsidR="00E7102E" w:rsidRPr="00A51E75" w:rsidRDefault="00E7102E">
            <w:pPr>
              <w:rPr>
                <w:rFonts w:cstheme="minorHAnsi"/>
                <w:sz w:val="20"/>
                <w:szCs w:val="20"/>
                <w:lang w:val="en-US"/>
              </w:rPr>
            </w:pPr>
          </w:p>
        </w:tc>
        <w:tc>
          <w:tcPr>
            <w:tcW w:w="1079" w:type="dxa"/>
          </w:tcPr>
          <w:p w14:paraId="3543575B" w14:textId="6D4E1B8C" w:rsidR="00E7102E" w:rsidRPr="00A51E75" w:rsidRDefault="00B76358">
            <w:pPr>
              <w:rPr>
                <w:rFonts w:cstheme="minorHAnsi"/>
                <w:bCs/>
                <w:sz w:val="20"/>
                <w:szCs w:val="20"/>
                <w:lang w:val="en-US"/>
              </w:rPr>
            </w:pPr>
            <w:r>
              <w:rPr>
                <w:rFonts w:eastAsia="Calibri" w:cstheme="minorHAnsi"/>
                <w:sz w:val="20"/>
                <w:szCs w:val="20"/>
                <w:lang w:val="en-US"/>
              </w:rPr>
              <w:t>Bajo</w:t>
            </w:r>
          </w:p>
        </w:tc>
        <w:tc>
          <w:tcPr>
            <w:tcW w:w="2561" w:type="dxa"/>
            <w:gridSpan w:val="2"/>
          </w:tcPr>
          <w:p w14:paraId="737B0CF5" w14:textId="2D3BAC45" w:rsidR="00E7102E" w:rsidRPr="00942652" w:rsidRDefault="00942652">
            <w:pPr>
              <w:jc w:val="both"/>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4940DD41" w14:textId="23FC27E0" w:rsidR="00DB599D" w:rsidRPr="00DB599D" w:rsidRDefault="00DB599D" w:rsidP="00DB599D">
            <w:pPr>
              <w:jc w:val="both"/>
              <w:rPr>
                <w:rFonts w:cstheme="minorHAnsi"/>
                <w:sz w:val="20"/>
                <w:szCs w:val="20"/>
                <w:lang w:val="es-EC"/>
              </w:rPr>
            </w:pPr>
            <w:r w:rsidRPr="00DB599D">
              <w:rPr>
                <w:rFonts w:cstheme="minorHAnsi"/>
                <w:sz w:val="20"/>
                <w:szCs w:val="20"/>
                <w:lang w:val="es-EC"/>
              </w:rPr>
              <w:t xml:space="preserve">Si las </w:t>
            </w:r>
            <w:r>
              <w:rPr>
                <w:rFonts w:cstheme="minorHAnsi"/>
                <w:sz w:val="20"/>
                <w:szCs w:val="20"/>
                <w:lang w:val="es-EC"/>
              </w:rPr>
              <w:t>parte</w:t>
            </w:r>
            <w:r w:rsidRPr="00DB599D">
              <w:rPr>
                <w:rFonts w:cstheme="minorHAnsi"/>
                <w:sz w:val="20"/>
                <w:szCs w:val="20"/>
                <w:lang w:val="es-EC"/>
              </w:rPr>
              <w:t>s responsables y/o los contratistas del proyecto no cuentan con procedimientos para respetar los derechos de los trabajadores y prevenir la discriminación, el proyecto ofrecerá a los trabajadores un Mecanismo de Atención de Quejas Laborales para plantear inquietudes sobre seguridad, maltrato u otros problemas en el lugar de trabajo, además de los mecanismos generales del proyecto. Este sistema, accesible desde el proceso de contratación, permitirá que los trabajadores presenten quejas sobre violaciones de derechos, beneficios laborales y condiciones estipuladas en la legislación, los convenios colectivos, los contratos y las políticas de recursos humanos.</w:t>
            </w:r>
          </w:p>
          <w:p w14:paraId="5B4CA57D" w14:textId="77777777" w:rsidR="00E7102E" w:rsidRPr="00DB599D" w:rsidRDefault="00E7102E">
            <w:pPr>
              <w:rPr>
                <w:rFonts w:cstheme="minorHAnsi"/>
                <w:sz w:val="20"/>
                <w:szCs w:val="20"/>
                <w:lang w:val="es-EC"/>
              </w:rPr>
            </w:pPr>
          </w:p>
        </w:tc>
      </w:tr>
      <w:tr w:rsidR="00E7102E" w:rsidRPr="00790C87" w14:paraId="76C97CD9" w14:textId="77777777">
        <w:trPr>
          <w:trHeight w:val="300"/>
        </w:trPr>
        <w:tc>
          <w:tcPr>
            <w:tcW w:w="3437" w:type="dxa"/>
            <w:vAlign w:val="center"/>
          </w:tcPr>
          <w:p w14:paraId="1F914E41" w14:textId="77777777" w:rsidR="005E7414" w:rsidRPr="005E7414" w:rsidRDefault="005E7414" w:rsidP="005E7414">
            <w:pPr>
              <w:rPr>
                <w:rFonts w:cstheme="minorHAnsi"/>
                <w:sz w:val="20"/>
                <w:szCs w:val="20"/>
                <w:lang w:val="es-EC"/>
              </w:rPr>
            </w:pPr>
            <w:r w:rsidRPr="005E7414">
              <w:rPr>
                <w:rFonts w:cstheme="minorHAnsi"/>
                <w:b/>
                <w:bCs/>
                <w:sz w:val="20"/>
                <w:szCs w:val="20"/>
                <w:lang w:val="es-EC"/>
              </w:rPr>
              <w:t xml:space="preserve">Riesgo 11: </w:t>
            </w:r>
            <w:r w:rsidRPr="005E7414">
              <w:rPr>
                <w:rFonts w:cstheme="minorHAnsi"/>
                <w:sz w:val="20"/>
                <w:szCs w:val="20"/>
                <w:lang w:val="es-EC"/>
              </w:rPr>
              <w:t>Impactos adversos derivados de una mala gestión de desechos, uso de pesticidas y uso de recursos naturales.</w:t>
            </w:r>
            <w:r w:rsidRPr="005E7414">
              <w:rPr>
                <w:rFonts w:cstheme="minorHAnsi"/>
                <w:sz w:val="20"/>
                <w:szCs w:val="20"/>
                <w:lang w:val="es-EC"/>
              </w:rPr>
              <w:br/>
            </w:r>
            <w:r w:rsidRPr="005E7414">
              <w:rPr>
                <w:rFonts w:cstheme="minorHAnsi"/>
                <w:b/>
                <w:bCs/>
                <w:sz w:val="20"/>
                <w:szCs w:val="20"/>
                <w:lang w:val="es-EC"/>
              </w:rPr>
              <w:t xml:space="preserve">Causa: </w:t>
            </w:r>
            <w:r w:rsidRPr="005E7414">
              <w:rPr>
                <w:rFonts w:cstheme="minorHAnsi"/>
                <w:sz w:val="20"/>
                <w:szCs w:val="20"/>
                <w:lang w:val="es-EC"/>
              </w:rPr>
              <w:t>Componente 2, Resultado 2.1, Producto 2.1.2, y Resultado 2.2, Producto 2.2.1.</w:t>
            </w:r>
            <w:r w:rsidRPr="005E7414">
              <w:rPr>
                <w:rFonts w:cstheme="minorHAnsi"/>
                <w:b/>
                <w:bCs/>
                <w:sz w:val="20"/>
                <w:szCs w:val="20"/>
                <w:lang w:val="es-EC"/>
              </w:rPr>
              <w:br/>
              <w:t xml:space="preserve">Impacto: </w:t>
            </w:r>
            <w:r w:rsidRPr="005E7414">
              <w:rPr>
                <w:rFonts w:cstheme="minorHAnsi"/>
                <w:sz w:val="20"/>
                <w:szCs w:val="20"/>
                <w:lang w:val="es-EC"/>
              </w:rPr>
              <w:t>Una inadecuada gestión de desechos, el uso de pesticidas y el consumo intensivo de recursos naturales en actividades agroforestales y agrícolas podrían generar impactos negativos en el ambiente y la salud humana, afectando la sostenibilidad de los ecosistemas y de las comunidades.</w:t>
            </w:r>
          </w:p>
          <w:p w14:paraId="2473CAB0" w14:textId="77777777" w:rsidR="005E7414" w:rsidRPr="005E7414" w:rsidRDefault="005E7414" w:rsidP="005E7414">
            <w:pPr>
              <w:rPr>
                <w:rFonts w:cstheme="minorHAnsi"/>
                <w:sz w:val="20"/>
                <w:szCs w:val="20"/>
                <w:lang w:val="es-EC"/>
              </w:rPr>
            </w:pPr>
            <w:r w:rsidRPr="005E7414">
              <w:rPr>
                <w:rFonts w:cstheme="minorHAnsi"/>
                <w:b/>
                <w:bCs/>
                <w:sz w:val="20"/>
                <w:szCs w:val="20"/>
                <w:lang w:val="es-EC"/>
              </w:rPr>
              <w:t xml:space="preserve">Estándar 8: </w:t>
            </w:r>
            <w:r w:rsidRPr="005E7414">
              <w:rPr>
                <w:rFonts w:cstheme="minorHAnsi"/>
                <w:sz w:val="20"/>
                <w:szCs w:val="20"/>
                <w:lang w:val="es-EC"/>
              </w:rPr>
              <w:t>Prevención de la Contaminación y Uso Eficiente de los Recursos</w:t>
            </w:r>
            <w:r w:rsidRPr="005E7414">
              <w:rPr>
                <w:rFonts w:cstheme="minorHAnsi"/>
                <w:sz w:val="20"/>
                <w:szCs w:val="20"/>
                <w:lang w:val="es-EC"/>
              </w:rPr>
              <w:br/>
              <w:t>S8.2.</w:t>
            </w:r>
          </w:p>
          <w:p w14:paraId="49787E80" w14:textId="7419DF1D" w:rsidR="00E7102E" w:rsidRPr="005E7414" w:rsidRDefault="00E7102E">
            <w:pPr>
              <w:rPr>
                <w:rFonts w:cstheme="minorHAnsi"/>
                <w:b/>
                <w:bCs/>
                <w:sz w:val="20"/>
                <w:szCs w:val="20"/>
                <w:lang w:val="es-EC"/>
              </w:rPr>
            </w:pPr>
          </w:p>
        </w:tc>
        <w:tc>
          <w:tcPr>
            <w:tcW w:w="1138" w:type="dxa"/>
          </w:tcPr>
          <w:p w14:paraId="2E99CDBE" w14:textId="77777777" w:rsidR="00E7102E" w:rsidRPr="00A51E75" w:rsidRDefault="00E7102E">
            <w:pPr>
              <w:rPr>
                <w:rFonts w:cstheme="minorHAnsi"/>
                <w:sz w:val="20"/>
                <w:szCs w:val="20"/>
                <w:lang w:val="en-US"/>
              </w:rPr>
            </w:pPr>
            <w:r w:rsidRPr="00A51E75">
              <w:rPr>
                <w:rFonts w:cstheme="minorHAnsi"/>
                <w:sz w:val="20"/>
                <w:szCs w:val="20"/>
                <w:lang w:val="en-US"/>
              </w:rPr>
              <w:t>I = 2</w:t>
            </w:r>
          </w:p>
          <w:p w14:paraId="5D76B24F" w14:textId="77777777" w:rsidR="00E7102E" w:rsidRPr="00A51E75" w:rsidRDefault="00E7102E">
            <w:pPr>
              <w:rPr>
                <w:rFonts w:cstheme="minorHAnsi"/>
                <w:sz w:val="20"/>
                <w:szCs w:val="20"/>
                <w:lang w:val="en-US"/>
              </w:rPr>
            </w:pPr>
            <w:r w:rsidRPr="00A51E75">
              <w:rPr>
                <w:rFonts w:cstheme="minorHAnsi"/>
                <w:sz w:val="20"/>
                <w:szCs w:val="20"/>
                <w:lang w:val="en-US"/>
              </w:rPr>
              <w:t>P = 2</w:t>
            </w:r>
          </w:p>
        </w:tc>
        <w:tc>
          <w:tcPr>
            <w:tcW w:w="1079" w:type="dxa"/>
          </w:tcPr>
          <w:p w14:paraId="2DA37B0F" w14:textId="74A3354E" w:rsidR="00E7102E" w:rsidRPr="00A51E75" w:rsidRDefault="005E7414">
            <w:pPr>
              <w:rPr>
                <w:rFonts w:cstheme="minorHAnsi"/>
                <w:bCs/>
                <w:sz w:val="20"/>
                <w:szCs w:val="20"/>
                <w:lang w:val="en-US"/>
              </w:rPr>
            </w:pPr>
            <w:r>
              <w:rPr>
                <w:rFonts w:cstheme="minorHAnsi"/>
                <w:bCs/>
                <w:sz w:val="20"/>
                <w:szCs w:val="20"/>
                <w:lang w:val="en-US"/>
              </w:rPr>
              <w:t>Bajo</w:t>
            </w:r>
          </w:p>
        </w:tc>
        <w:tc>
          <w:tcPr>
            <w:tcW w:w="2561" w:type="dxa"/>
            <w:gridSpan w:val="2"/>
          </w:tcPr>
          <w:p w14:paraId="73B4B9AD" w14:textId="4A278B3A" w:rsidR="00E7102E" w:rsidRPr="00942652" w:rsidRDefault="00942652">
            <w:pPr>
              <w:jc w:val="both"/>
              <w:rPr>
                <w:rFonts w:cstheme="minorHAnsi"/>
                <w:sz w:val="20"/>
                <w:szCs w:val="20"/>
                <w:lang w:val="es-EC"/>
              </w:rPr>
            </w:pPr>
            <w:r w:rsidRPr="00A51E75">
              <w:rPr>
                <w:rFonts w:cstheme="minorHAnsi"/>
                <w:sz w:val="20"/>
                <w:szCs w:val="20"/>
              </w:rPr>
              <w:t>Consulta los impactos detallados en la Matriz de Riesgos del PNUD</w:t>
            </w:r>
          </w:p>
        </w:tc>
        <w:tc>
          <w:tcPr>
            <w:tcW w:w="4919" w:type="dxa"/>
            <w:gridSpan w:val="4"/>
          </w:tcPr>
          <w:p w14:paraId="5361B85F" w14:textId="77777777" w:rsidR="00790C87" w:rsidRPr="00790C87" w:rsidRDefault="00790C87" w:rsidP="00790C87">
            <w:pPr>
              <w:rPr>
                <w:rFonts w:eastAsia="Calibri" w:cstheme="minorHAnsi"/>
                <w:sz w:val="20"/>
                <w:szCs w:val="20"/>
                <w:lang w:val="es-EC"/>
              </w:rPr>
            </w:pPr>
            <w:r w:rsidRPr="00790C87">
              <w:rPr>
                <w:rFonts w:eastAsia="Calibri" w:cstheme="minorHAnsi"/>
                <w:sz w:val="20"/>
                <w:szCs w:val="20"/>
                <w:lang w:val="es-EC"/>
              </w:rPr>
              <w:t>Para mitigar los impactos relacionados con los desechos, se implementarán mecanismos adecuados de gestión, especialmente en los procesos de producción y en los bioemprendimientos. Se fomentarán técnicas agrícolas mejoradas que reduzcan el uso de fertilizantes y pesticidas. En el control de plagas, se priorizará el manejo integrado, el uso de variedades resistentes y el control biológico, así como el Código Internacional de Conducta para la Distribución y Utilización de Plaguicidas de la FAO.</w:t>
            </w:r>
          </w:p>
          <w:p w14:paraId="66EB0833" w14:textId="77777777" w:rsidR="00790C87" w:rsidRPr="00790C87" w:rsidRDefault="00790C87" w:rsidP="00790C87">
            <w:pPr>
              <w:rPr>
                <w:rFonts w:eastAsia="Calibri" w:cstheme="minorHAnsi"/>
                <w:sz w:val="20"/>
                <w:szCs w:val="20"/>
                <w:lang w:val="es-EC"/>
              </w:rPr>
            </w:pPr>
            <w:r w:rsidRPr="00790C87">
              <w:rPr>
                <w:rFonts w:eastAsia="Calibri" w:cstheme="minorHAnsi"/>
                <w:sz w:val="20"/>
                <w:szCs w:val="20"/>
                <w:lang w:val="es-EC"/>
              </w:rPr>
              <w:t>No se utilizarán pesticidas clasificados como extremadamente peligrosos o altamente peligrosos según la Clasificación Recomendada de Plaguicidas por Peligros de la Organización Mundial de la Salud.</w:t>
            </w:r>
          </w:p>
          <w:p w14:paraId="61A677BF" w14:textId="6111AFBE" w:rsidR="00790C87" w:rsidRPr="00790C87" w:rsidRDefault="00790C87" w:rsidP="00790C87">
            <w:pPr>
              <w:rPr>
                <w:rFonts w:eastAsia="Calibri" w:cstheme="minorHAnsi"/>
                <w:sz w:val="20"/>
                <w:szCs w:val="20"/>
                <w:lang w:val="es-EC"/>
              </w:rPr>
            </w:pPr>
            <w:r w:rsidRPr="00790C87">
              <w:rPr>
                <w:rFonts w:eastAsia="Calibri" w:cstheme="minorHAnsi"/>
                <w:sz w:val="20"/>
                <w:szCs w:val="20"/>
                <w:lang w:val="es-EC"/>
              </w:rPr>
              <w:t>La gestión de desechos se alineará con las Directrices para el Manejo Integrado de Residuos Plásticos de Uso Agrícola del Ministerio de Agricultura, Ganadería y Pesca (MAG</w:t>
            </w:r>
            <w:r>
              <w:rPr>
                <w:rFonts w:eastAsia="Calibri" w:cstheme="minorHAnsi"/>
                <w:sz w:val="20"/>
                <w:szCs w:val="20"/>
                <w:lang w:val="es-EC"/>
              </w:rPr>
              <w:t>P</w:t>
            </w:r>
            <w:r w:rsidRPr="00790C87">
              <w:rPr>
                <w:rFonts w:eastAsia="Calibri" w:cstheme="minorHAnsi"/>
                <w:sz w:val="20"/>
                <w:szCs w:val="20"/>
                <w:lang w:val="es-EC"/>
              </w:rPr>
              <w:t>), promoviendo la responsabilidad extendida del productor, con planes para la recolección y la disposición adecuada de plásticos agrícolas. Los Centros de Agro</w:t>
            </w:r>
            <w:r w:rsidR="00EC4586">
              <w:rPr>
                <w:rFonts w:eastAsia="Calibri" w:cstheme="minorHAnsi"/>
                <w:sz w:val="20"/>
                <w:szCs w:val="20"/>
                <w:lang w:val="es-EC"/>
              </w:rPr>
              <w:t>negocios</w:t>
            </w:r>
            <w:r w:rsidRPr="00790C87">
              <w:rPr>
                <w:rFonts w:eastAsia="Calibri" w:cstheme="minorHAnsi"/>
                <w:sz w:val="20"/>
                <w:szCs w:val="20"/>
                <w:lang w:val="es-EC"/>
              </w:rPr>
              <w:t xml:space="preserve"> supervisarán este proceso, promoviendo prácticas agrícolas sostenibles que reduzcan el uso de pesticidas y recursos.</w:t>
            </w:r>
          </w:p>
          <w:p w14:paraId="5386D5EB" w14:textId="3BD48A40" w:rsidR="00E7102E" w:rsidRPr="00790C87" w:rsidRDefault="00790C87">
            <w:pPr>
              <w:rPr>
                <w:rFonts w:eastAsia="Calibri" w:cstheme="minorHAnsi"/>
                <w:sz w:val="20"/>
                <w:szCs w:val="20"/>
                <w:lang w:val="es-EC"/>
              </w:rPr>
            </w:pPr>
            <w:r w:rsidRPr="00790C87">
              <w:rPr>
                <w:rFonts w:eastAsia="Calibri" w:cstheme="minorHAnsi"/>
                <w:sz w:val="20"/>
                <w:szCs w:val="20"/>
                <w:lang w:val="es-EC"/>
              </w:rPr>
              <w:t>Además, se garantizará la sostenibilidad a largo plazo del proyecto mediante estrategias de financiamiento comunitario y el acceso a mercados diferenciados para la producción agroecológica.</w:t>
            </w:r>
          </w:p>
        </w:tc>
      </w:tr>
      <w:tr w:rsidR="00E7102E" w:rsidRPr="007E49E0" w14:paraId="082D2374" w14:textId="77777777">
        <w:trPr>
          <w:trHeight w:val="593"/>
        </w:trPr>
        <w:tc>
          <w:tcPr>
            <w:tcW w:w="3437" w:type="dxa"/>
            <w:vMerge w:val="restart"/>
          </w:tcPr>
          <w:p w14:paraId="2AC780ED" w14:textId="77777777" w:rsidR="00E7102E" w:rsidRPr="00790C87" w:rsidRDefault="00E7102E">
            <w:pPr>
              <w:rPr>
                <w:rFonts w:cstheme="minorHAnsi"/>
                <w:b/>
                <w:sz w:val="20"/>
                <w:szCs w:val="20"/>
                <w:lang w:val="es-EC"/>
              </w:rPr>
            </w:pPr>
          </w:p>
        </w:tc>
        <w:tc>
          <w:tcPr>
            <w:tcW w:w="9697" w:type="dxa"/>
            <w:gridSpan w:val="8"/>
            <w:shd w:val="clear" w:color="auto" w:fill="0F243E"/>
          </w:tcPr>
          <w:p w14:paraId="42A9D3BF" w14:textId="38F1507A" w:rsidR="00E7102E" w:rsidRPr="00FD148F" w:rsidRDefault="008322C1">
            <w:pPr>
              <w:rPr>
                <w:rFonts w:cstheme="minorHAnsi"/>
                <w:b/>
                <w:sz w:val="20"/>
                <w:szCs w:val="20"/>
                <w:lang w:val="es-EC"/>
              </w:rPr>
            </w:pPr>
            <w:r w:rsidRPr="00F0129D">
              <w:rPr>
                <w:rFonts w:cstheme="minorHAnsi"/>
                <w:b/>
                <w:bCs/>
                <w:sz w:val="20"/>
                <w:szCs w:val="20"/>
                <w:lang w:val="es-EC"/>
              </w:rPr>
              <w:t>PREGUNTA</w:t>
            </w:r>
            <w:r w:rsidR="00E7102E" w:rsidRPr="00F0129D">
              <w:rPr>
                <w:rFonts w:cstheme="minorHAnsi"/>
                <w:b/>
                <w:bCs/>
                <w:sz w:val="20"/>
                <w:szCs w:val="20"/>
                <w:lang w:val="es-EC"/>
              </w:rPr>
              <w:t xml:space="preserve"> 4: </w:t>
            </w:r>
            <w:r w:rsidRPr="00F0129D">
              <w:rPr>
                <w:rFonts w:cstheme="minorHAnsi"/>
                <w:b/>
                <w:bCs/>
                <w:sz w:val="20"/>
                <w:szCs w:val="20"/>
                <w:lang w:val="es-EC"/>
              </w:rPr>
              <w:t xml:space="preserve">Cuál es </w:t>
            </w:r>
            <w:r w:rsidR="00F0129D" w:rsidRPr="00F0129D">
              <w:rPr>
                <w:rFonts w:cstheme="minorHAnsi"/>
                <w:b/>
                <w:bCs/>
                <w:sz w:val="20"/>
                <w:szCs w:val="20"/>
                <w:lang w:val="es-EC"/>
              </w:rPr>
              <w:t>la clasificación de</w:t>
            </w:r>
            <w:r w:rsidRPr="00F0129D">
              <w:rPr>
                <w:rFonts w:cstheme="minorHAnsi"/>
                <w:b/>
                <w:bCs/>
                <w:sz w:val="20"/>
                <w:szCs w:val="20"/>
                <w:lang w:val="es-EC"/>
              </w:rPr>
              <w:t xml:space="preserve"> riesgo global</w:t>
            </w:r>
            <w:r w:rsidR="00F0129D" w:rsidRPr="00F0129D">
              <w:rPr>
                <w:rFonts w:cstheme="minorHAnsi"/>
                <w:b/>
                <w:bCs/>
                <w:sz w:val="20"/>
                <w:szCs w:val="20"/>
                <w:lang w:val="es-EC"/>
              </w:rPr>
              <w:t xml:space="preserve"> el proyecto?</w:t>
            </w:r>
          </w:p>
        </w:tc>
      </w:tr>
      <w:tr w:rsidR="00E7102E" w:rsidRPr="00A51E75" w14:paraId="15DBA574" w14:textId="77777777">
        <w:trPr>
          <w:trHeight w:val="125"/>
        </w:trPr>
        <w:tc>
          <w:tcPr>
            <w:tcW w:w="3437" w:type="dxa"/>
            <w:vMerge/>
          </w:tcPr>
          <w:p w14:paraId="46B5BD2E" w14:textId="77777777" w:rsidR="00E7102E" w:rsidRPr="00FD148F" w:rsidRDefault="00E7102E">
            <w:pPr>
              <w:rPr>
                <w:rFonts w:cstheme="minorHAnsi"/>
                <w:sz w:val="20"/>
                <w:szCs w:val="20"/>
                <w:u w:val="single"/>
                <w:lang w:val="es-EC"/>
              </w:rPr>
            </w:pPr>
          </w:p>
        </w:tc>
        <w:tc>
          <w:tcPr>
            <w:tcW w:w="9697" w:type="dxa"/>
            <w:gridSpan w:val="8"/>
          </w:tcPr>
          <w:p w14:paraId="452775B6" w14:textId="77777777" w:rsidR="00E7102E" w:rsidRPr="00A51E75" w:rsidRDefault="00E7102E">
            <w:pPr>
              <w:rPr>
                <w:rFonts w:cstheme="minorHAnsi"/>
                <w:b/>
                <w:sz w:val="20"/>
                <w:szCs w:val="20"/>
                <w:lang w:val="en-US"/>
              </w:rPr>
            </w:pPr>
            <w:r w:rsidRPr="00A51E75">
              <w:rPr>
                <w:rFonts w:cstheme="minorHAnsi"/>
                <w:b/>
                <w:sz w:val="20"/>
                <w:szCs w:val="20"/>
                <w:lang w:val="en-US"/>
              </w:rPr>
              <w:t>Select one</w:t>
            </w:r>
          </w:p>
        </w:tc>
      </w:tr>
      <w:tr w:rsidR="00E7102E" w:rsidRPr="00A51E75" w14:paraId="77619234" w14:textId="77777777">
        <w:trPr>
          <w:trHeight w:val="251"/>
        </w:trPr>
        <w:tc>
          <w:tcPr>
            <w:tcW w:w="3437" w:type="dxa"/>
            <w:vMerge/>
          </w:tcPr>
          <w:p w14:paraId="266720EB" w14:textId="77777777" w:rsidR="00E7102E" w:rsidRPr="00A51E75" w:rsidRDefault="00E7102E">
            <w:pPr>
              <w:rPr>
                <w:rFonts w:cstheme="minorHAnsi"/>
                <w:sz w:val="20"/>
                <w:szCs w:val="20"/>
                <w:lang w:val="en-US"/>
              </w:rPr>
            </w:pPr>
          </w:p>
        </w:tc>
        <w:tc>
          <w:tcPr>
            <w:tcW w:w="4246" w:type="dxa"/>
            <w:gridSpan w:val="3"/>
          </w:tcPr>
          <w:p w14:paraId="5D669FAD" w14:textId="186A6A57" w:rsidR="00E7102E" w:rsidRPr="00A51E75" w:rsidRDefault="00F0129D">
            <w:pPr>
              <w:rPr>
                <w:rFonts w:cstheme="minorHAnsi"/>
                <w:b/>
                <w:i/>
                <w:sz w:val="20"/>
                <w:szCs w:val="20"/>
                <w:lang w:val="en-US"/>
              </w:rPr>
            </w:pPr>
            <w:r>
              <w:rPr>
                <w:rFonts w:cstheme="minorHAnsi"/>
                <w:b/>
                <w:bCs/>
                <w:i/>
                <w:iCs/>
                <w:sz w:val="20"/>
                <w:szCs w:val="20"/>
                <w:lang w:val="en-US"/>
              </w:rPr>
              <w:t>Riesgo Bajo</w:t>
            </w:r>
            <w:r w:rsidR="00E7102E" w:rsidRPr="00A51E75">
              <w:rPr>
                <w:rFonts w:cstheme="minorHAnsi"/>
                <w:b/>
                <w:bCs/>
                <w:i/>
                <w:iCs/>
                <w:sz w:val="20"/>
                <w:szCs w:val="20"/>
                <w:lang w:val="en-US"/>
              </w:rPr>
              <w:t xml:space="preserve"> </w:t>
            </w:r>
          </w:p>
        </w:tc>
        <w:tc>
          <w:tcPr>
            <w:tcW w:w="704" w:type="dxa"/>
            <w:gridSpan w:val="2"/>
          </w:tcPr>
          <w:p w14:paraId="4508948D" w14:textId="77777777" w:rsidR="00E7102E" w:rsidRPr="00A51E75" w:rsidRDefault="00E7102E">
            <w:pPr>
              <w:ind w:left="-2230" w:firstLine="2230"/>
              <w:rPr>
                <w:rFonts w:cstheme="minorHAnsi"/>
                <w:b/>
                <w:sz w:val="20"/>
                <w:szCs w:val="20"/>
                <w:lang w:val="en-US"/>
              </w:rPr>
            </w:pPr>
          </w:p>
        </w:tc>
        <w:tc>
          <w:tcPr>
            <w:tcW w:w="4747" w:type="dxa"/>
            <w:gridSpan w:val="3"/>
          </w:tcPr>
          <w:p w14:paraId="7537C3DB" w14:textId="77777777" w:rsidR="00E7102E" w:rsidRPr="00A51E75" w:rsidRDefault="00E7102E">
            <w:pPr>
              <w:rPr>
                <w:rFonts w:cstheme="minorHAnsi"/>
                <w:b/>
                <w:sz w:val="20"/>
                <w:szCs w:val="20"/>
                <w:lang w:val="en-US"/>
              </w:rPr>
            </w:pPr>
          </w:p>
        </w:tc>
      </w:tr>
      <w:tr w:rsidR="00E7102E" w:rsidRPr="00A51E75" w14:paraId="30D62387" w14:textId="77777777">
        <w:tc>
          <w:tcPr>
            <w:tcW w:w="3437" w:type="dxa"/>
            <w:vMerge/>
          </w:tcPr>
          <w:p w14:paraId="7532D996" w14:textId="77777777" w:rsidR="00E7102E" w:rsidRPr="00A51E75" w:rsidRDefault="00E7102E">
            <w:pPr>
              <w:rPr>
                <w:rFonts w:cstheme="minorHAnsi"/>
                <w:sz w:val="20"/>
                <w:szCs w:val="20"/>
                <w:lang w:val="en-US"/>
              </w:rPr>
            </w:pPr>
          </w:p>
        </w:tc>
        <w:tc>
          <w:tcPr>
            <w:tcW w:w="4246" w:type="dxa"/>
            <w:gridSpan w:val="3"/>
          </w:tcPr>
          <w:p w14:paraId="3AD243B5" w14:textId="02A1693A" w:rsidR="00E7102E" w:rsidRPr="00A51E75" w:rsidRDefault="00F0129D">
            <w:pPr>
              <w:rPr>
                <w:rFonts w:cstheme="minorHAnsi"/>
                <w:b/>
                <w:i/>
                <w:sz w:val="20"/>
                <w:szCs w:val="20"/>
                <w:lang w:val="en-US"/>
              </w:rPr>
            </w:pPr>
            <w:r>
              <w:rPr>
                <w:rFonts w:cstheme="minorHAnsi"/>
                <w:b/>
                <w:bCs/>
                <w:i/>
                <w:iCs/>
                <w:sz w:val="20"/>
                <w:szCs w:val="20"/>
                <w:lang w:val="en-US"/>
              </w:rPr>
              <w:t xml:space="preserve">Riesgo </w:t>
            </w:r>
            <w:proofErr w:type="spellStart"/>
            <w:r>
              <w:rPr>
                <w:rFonts w:cstheme="minorHAnsi"/>
                <w:b/>
                <w:bCs/>
                <w:i/>
                <w:iCs/>
                <w:sz w:val="20"/>
                <w:szCs w:val="20"/>
                <w:lang w:val="en-US"/>
              </w:rPr>
              <w:t>Moderado</w:t>
            </w:r>
            <w:proofErr w:type="spellEnd"/>
          </w:p>
        </w:tc>
        <w:tc>
          <w:tcPr>
            <w:tcW w:w="704" w:type="dxa"/>
            <w:gridSpan w:val="2"/>
          </w:tcPr>
          <w:p w14:paraId="2F7C461B" w14:textId="77777777" w:rsidR="00E7102E" w:rsidRPr="00A51E75" w:rsidRDefault="00E7102E">
            <w:pPr>
              <w:tabs>
                <w:tab w:val="right" w:pos="488"/>
              </w:tabs>
              <w:ind w:left="-2230"/>
              <w:rPr>
                <w:rFonts w:cstheme="minorHAnsi"/>
                <w:b/>
                <w:bCs/>
                <w:sz w:val="20"/>
                <w:szCs w:val="20"/>
                <w:lang w:val="en-US"/>
              </w:rPr>
            </w:pPr>
          </w:p>
        </w:tc>
        <w:tc>
          <w:tcPr>
            <w:tcW w:w="4747" w:type="dxa"/>
            <w:gridSpan w:val="3"/>
          </w:tcPr>
          <w:p w14:paraId="4D9A3AFF" w14:textId="77777777" w:rsidR="00E7102E" w:rsidRPr="00A51E75" w:rsidRDefault="00E7102E">
            <w:pPr>
              <w:rPr>
                <w:rFonts w:cstheme="minorHAnsi"/>
                <w:b/>
                <w:bCs/>
                <w:sz w:val="20"/>
                <w:szCs w:val="20"/>
                <w:lang w:val="en-US"/>
              </w:rPr>
            </w:pPr>
          </w:p>
        </w:tc>
      </w:tr>
      <w:tr w:rsidR="00E7102E" w:rsidRPr="00A51E75" w14:paraId="336F20A4" w14:textId="77777777">
        <w:tc>
          <w:tcPr>
            <w:tcW w:w="3437" w:type="dxa"/>
            <w:vMerge/>
          </w:tcPr>
          <w:p w14:paraId="221DB22F" w14:textId="77777777" w:rsidR="00E7102E" w:rsidRPr="00A51E75" w:rsidRDefault="00E7102E">
            <w:pPr>
              <w:rPr>
                <w:rFonts w:cstheme="minorHAnsi"/>
                <w:sz w:val="20"/>
                <w:szCs w:val="20"/>
                <w:lang w:val="en-US"/>
              </w:rPr>
            </w:pPr>
          </w:p>
        </w:tc>
        <w:tc>
          <w:tcPr>
            <w:tcW w:w="4246" w:type="dxa"/>
            <w:gridSpan w:val="3"/>
          </w:tcPr>
          <w:p w14:paraId="68497B21" w14:textId="0D517DCC" w:rsidR="00E7102E" w:rsidRPr="00A51E75" w:rsidRDefault="00F0129D">
            <w:pPr>
              <w:rPr>
                <w:rFonts w:cstheme="minorHAnsi"/>
                <w:b/>
                <w:i/>
                <w:sz w:val="20"/>
                <w:szCs w:val="20"/>
                <w:lang w:val="en-US"/>
              </w:rPr>
            </w:pPr>
            <w:r>
              <w:rPr>
                <w:rFonts w:cstheme="minorHAnsi"/>
                <w:b/>
                <w:bCs/>
                <w:i/>
                <w:iCs/>
                <w:sz w:val="20"/>
                <w:szCs w:val="20"/>
                <w:lang w:val="en-US"/>
              </w:rPr>
              <w:t xml:space="preserve">Riesgo </w:t>
            </w:r>
            <w:proofErr w:type="spellStart"/>
            <w:r>
              <w:rPr>
                <w:rFonts w:cstheme="minorHAnsi"/>
                <w:b/>
                <w:bCs/>
                <w:i/>
                <w:iCs/>
                <w:sz w:val="20"/>
                <w:szCs w:val="20"/>
                <w:lang w:val="en-US"/>
              </w:rPr>
              <w:t>Sustanvcial</w:t>
            </w:r>
            <w:proofErr w:type="spellEnd"/>
          </w:p>
        </w:tc>
        <w:tc>
          <w:tcPr>
            <w:tcW w:w="704" w:type="dxa"/>
            <w:gridSpan w:val="2"/>
          </w:tcPr>
          <w:p w14:paraId="66059AD2" w14:textId="77777777" w:rsidR="00E7102E" w:rsidRPr="00A51E75" w:rsidRDefault="00E7102E">
            <w:pPr>
              <w:ind w:left="-2230" w:firstLine="2230"/>
              <w:rPr>
                <w:rFonts w:cstheme="minorHAnsi"/>
                <w:b/>
                <w:sz w:val="20"/>
                <w:szCs w:val="20"/>
                <w:lang w:val="en-US"/>
              </w:rPr>
            </w:pPr>
            <w:r w:rsidRPr="00A51E75">
              <w:rPr>
                <w:rFonts w:cstheme="minorHAnsi"/>
                <w:b/>
                <w:sz w:val="20"/>
                <w:szCs w:val="20"/>
                <w:lang w:val="en-US"/>
              </w:rPr>
              <w:t>x</w:t>
            </w:r>
          </w:p>
        </w:tc>
        <w:tc>
          <w:tcPr>
            <w:tcW w:w="4747" w:type="dxa"/>
            <w:gridSpan w:val="3"/>
          </w:tcPr>
          <w:p w14:paraId="00115178" w14:textId="77777777" w:rsidR="00E7102E" w:rsidRPr="00A51E75" w:rsidRDefault="00E7102E">
            <w:pPr>
              <w:rPr>
                <w:rFonts w:cstheme="minorHAnsi"/>
                <w:b/>
                <w:sz w:val="20"/>
                <w:szCs w:val="20"/>
                <w:lang w:val="en-US"/>
              </w:rPr>
            </w:pPr>
          </w:p>
        </w:tc>
      </w:tr>
      <w:tr w:rsidR="00E7102E" w:rsidRPr="00A51E75" w14:paraId="52B12004" w14:textId="77777777">
        <w:tc>
          <w:tcPr>
            <w:tcW w:w="3437" w:type="dxa"/>
            <w:vMerge/>
          </w:tcPr>
          <w:p w14:paraId="49440853" w14:textId="77777777" w:rsidR="00E7102E" w:rsidRPr="00A51E75" w:rsidRDefault="00E7102E">
            <w:pPr>
              <w:rPr>
                <w:rFonts w:cstheme="minorHAnsi"/>
                <w:sz w:val="20"/>
                <w:szCs w:val="20"/>
                <w:lang w:val="en-US"/>
              </w:rPr>
            </w:pPr>
          </w:p>
        </w:tc>
        <w:tc>
          <w:tcPr>
            <w:tcW w:w="4246" w:type="dxa"/>
            <w:gridSpan w:val="3"/>
          </w:tcPr>
          <w:p w14:paraId="520029F9" w14:textId="47FE3129" w:rsidR="00E7102E" w:rsidRPr="00A51E75" w:rsidRDefault="00F0129D">
            <w:pPr>
              <w:rPr>
                <w:rFonts w:cstheme="minorHAnsi"/>
                <w:b/>
                <w:i/>
                <w:sz w:val="20"/>
                <w:szCs w:val="20"/>
                <w:lang w:val="en-US"/>
              </w:rPr>
            </w:pPr>
            <w:r>
              <w:rPr>
                <w:rFonts w:cstheme="minorHAnsi"/>
                <w:b/>
                <w:bCs/>
                <w:i/>
                <w:iCs/>
                <w:sz w:val="20"/>
                <w:szCs w:val="20"/>
                <w:lang w:val="en-US"/>
              </w:rPr>
              <w:t>Riesgo Alto</w:t>
            </w:r>
          </w:p>
        </w:tc>
        <w:tc>
          <w:tcPr>
            <w:tcW w:w="704" w:type="dxa"/>
            <w:gridSpan w:val="2"/>
          </w:tcPr>
          <w:p w14:paraId="6B571CC8" w14:textId="77777777" w:rsidR="00E7102E" w:rsidRPr="00A51E75" w:rsidRDefault="00E7102E">
            <w:pPr>
              <w:rPr>
                <w:rFonts w:cstheme="minorHAnsi"/>
                <w:b/>
                <w:sz w:val="20"/>
                <w:szCs w:val="20"/>
                <w:lang w:val="en-US"/>
              </w:rPr>
            </w:pPr>
          </w:p>
        </w:tc>
        <w:tc>
          <w:tcPr>
            <w:tcW w:w="4747" w:type="dxa"/>
            <w:gridSpan w:val="3"/>
          </w:tcPr>
          <w:p w14:paraId="07F81102" w14:textId="77777777" w:rsidR="00E7102E" w:rsidRPr="00A51E75" w:rsidRDefault="00E7102E">
            <w:pPr>
              <w:rPr>
                <w:rFonts w:cstheme="minorHAnsi"/>
                <w:b/>
                <w:sz w:val="20"/>
                <w:szCs w:val="20"/>
                <w:lang w:val="en-US"/>
              </w:rPr>
            </w:pPr>
          </w:p>
        </w:tc>
      </w:tr>
      <w:tr w:rsidR="00E7102E" w:rsidRPr="00A51E75" w14:paraId="4C589A01" w14:textId="77777777">
        <w:trPr>
          <w:trHeight w:val="782"/>
        </w:trPr>
        <w:tc>
          <w:tcPr>
            <w:tcW w:w="3437" w:type="dxa"/>
            <w:vMerge w:val="restart"/>
            <w:shd w:val="clear" w:color="auto" w:fill="FFFFFF" w:themeFill="background1"/>
          </w:tcPr>
          <w:p w14:paraId="70260C52" w14:textId="77777777" w:rsidR="00E7102E" w:rsidRPr="00A51E75" w:rsidRDefault="00E7102E">
            <w:pPr>
              <w:ind w:hanging="18"/>
              <w:rPr>
                <w:rFonts w:cstheme="minorHAnsi"/>
                <w:b/>
                <w:sz w:val="20"/>
                <w:szCs w:val="20"/>
                <w:lang w:val="en-US"/>
              </w:rPr>
            </w:pPr>
            <w:r w:rsidRPr="00A51E75">
              <w:rPr>
                <w:rFonts w:cstheme="minorHAnsi"/>
                <w:b/>
                <w:bCs/>
                <w:sz w:val="20"/>
                <w:szCs w:val="20"/>
                <w:lang w:val="en-US"/>
              </w:rPr>
              <w:lastRenderedPageBreak/>
              <w:t xml:space="preserve"> </w:t>
            </w:r>
          </w:p>
        </w:tc>
        <w:tc>
          <w:tcPr>
            <w:tcW w:w="9697" w:type="dxa"/>
            <w:gridSpan w:val="8"/>
            <w:shd w:val="clear" w:color="auto" w:fill="0F243E"/>
            <w:vAlign w:val="center"/>
          </w:tcPr>
          <w:p w14:paraId="7EB3A1F1" w14:textId="1EF7CAEB" w:rsidR="00E7102E" w:rsidRPr="00BE3B45" w:rsidRDefault="00BE3B45">
            <w:pPr>
              <w:tabs>
                <w:tab w:val="left" w:pos="360"/>
              </w:tabs>
              <w:rPr>
                <w:rFonts w:cstheme="minorHAnsi"/>
                <w:b/>
                <w:bCs/>
                <w:sz w:val="20"/>
                <w:szCs w:val="20"/>
                <w:lang w:val="es-EC"/>
              </w:rPr>
            </w:pPr>
            <w:r w:rsidRPr="00BE3B45">
              <w:rPr>
                <w:rFonts w:cstheme="minorHAnsi"/>
                <w:b/>
                <w:bCs/>
                <w:sz w:val="20"/>
                <w:szCs w:val="20"/>
                <w:lang w:val="es-EC"/>
              </w:rPr>
              <w:t>Pregunta 5: ¿Cuál es la clasificación global del riesgo del proyecto? (Marque todas las que correspondan)</w:t>
            </w:r>
          </w:p>
        </w:tc>
      </w:tr>
      <w:tr w:rsidR="00E7102E" w:rsidRPr="00C25A51" w14:paraId="732D513B" w14:textId="77777777">
        <w:trPr>
          <w:trHeight w:val="188"/>
        </w:trPr>
        <w:tc>
          <w:tcPr>
            <w:tcW w:w="3437" w:type="dxa"/>
            <w:vMerge/>
          </w:tcPr>
          <w:p w14:paraId="7E18F126" w14:textId="77777777" w:rsidR="00E7102E" w:rsidRPr="00A51E75" w:rsidRDefault="00E7102E">
            <w:pPr>
              <w:rPr>
                <w:rFonts w:cstheme="minorHAnsi"/>
                <w:sz w:val="20"/>
                <w:szCs w:val="20"/>
                <w:u w:val="single"/>
                <w:lang w:val="en-US"/>
              </w:rPr>
            </w:pPr>
          </w:p>
        </w:tc>
        <w:tc>
          <w:tcPr>
            <w:tcW w:w="9697" w:type="dxa"/>
            <w:gridSpan w:val="8"/>
          </w:tcPr>
          <w:p w14:paraId="1DE84860" w14:textId="516C267D" w:rsidR="00E7102E" w:rsidRPr="00C25A51" w:rsidRDefault="00C25A51">
            <w:pPr>
              <w:tabs>
                <w:tab w:val="left" w:pos="360"/>
              </w:tabs>
              <w:rPr>
                <w:rFonts w:cstheme="minorHAnsi"/>
                <w:sz w:val="20"/>
                <w:szCs w:val="20"/>
                <w:lang w:val="es-EC"/>
              </w:rPr>
            </w:pPr>
            <w:r w:rsidRPr="00C25A51">
              <w:rPr>
                <w:rFonts w:cstheme="minorHAnsi"/>
                <w:sz w:val="20"/>
                <w:szCs w:val="20"/>
                <w:lang w:val="es-EC"/>
              </w:rPr>
              <w:t>Pregunta obligatoria, solo para proyectos de riesgo Moderado, Sustancial y Alto</w:t>
            </w:r>
          </w:p>
        </w:tc>
      </w:tr>
      <w:tr w:rsidR="00E7102E" w:rsidRPr="00A51E75" w14:paraId="54B76FA1" w14:textId="77777777">
        <w:trPr>
          <w:trHeight w:val="98"/>
        </w:trPr>
        <w:tc>
          <w:tcPr>
            <w:tcW w:w="3437" w:type="dxa"/>
            <w:vMerge/>
          </w:tcPr>
          <w:p w14:paraId="2C9233C7" w14:textId="77777777" w:rsidR="00E7102E" w:rsidRPr="00C25A51" w:rsidRDefault="00E7102E">
            <w:pPr>
              <w:rPr>
                <w:rFonts w:cstheme="minorHAnsi"/>
                <w:sz w:val="20"/>
                <w:szCs w:val="20"/>
                <w:u w:val="single"/>
                <w:lang w:val="es-EC"/>
              </w:rPr>
            </w:pPr>
          </w:p>
        </w:tc>
        <w:tc>
          <w:tcPr>
            <w:tcW w:w="4246" w:type="dxa"/>
            <w:gridSpan w:val="3"/>
            <w:vAlign w:val="center"/>
          </w:tcPr>
          <w:p w14:paraId="7FD93022" w14:textId="75939033" w:rsidR="00E7102E" w:rsidRPr="00C25A51" w:rsidRDefault="00C25A51">
            <w:pPr>
              <w:tabs>
                <w:tab w:val="left" w:pos="360"/>
              </w:tabs>
              <w:rPr>
                <w:rFonts w:cstheme="minorHAnsi"/>
                <w:b/>
                <w:i/>
                <w:sz w:val="20"/>
                <w:szCs w:val="20"/>
                <w:u w:val="single"/>
                <w:lang w:val="es-EC"/>
              </w:rPr>
            </w:pPr>
            <w:r w:rsidRPr="00C25A51">
              <w:rPr>
                <w:rFonts w:cstheme="minorHAnsi"/>
                <w:b/>
                <w:bCs/>
                <w:i/>
                <w:iCs/>
                <w:sz w:val="20"/>
                <w:szCs w:val="20"/>
                <w:u w:val="single"/>
                <w:lang w:val="es-EC"/>
              </w:rPr>
              <w:t xml:space="preserve">Es necesaria una </w:t>
            </w:r>
            <w:proofErr w:type="gramStart"/>
            <w:r w:rsidRPr="00C25A51">
              <w:rPr>
                <w:rFonts w:cstheme="minorHAnsi"/>
                <w:b/>
                <w:bCs/>
                <w:i/>
                <w:iCs/>
                <w:sz w:val="20"/>
                <w:szCs w:val="20"/>
                <w:u w:val="single"/>
                <w:lang w:val="es-EC"/>
              </w:rPr>
              <w:t>Evaluación?</w:t>
            </w:r>
            <w:r w:rsidR="00E7102E" w:rsidRPr="00C25A51">
              <w:rPr>
                <w:rFonts w:cstheme="minorHAnsi"/>
                <w:b/>
                <w:bCs/>
                <w:i/>
                <w:iCs/>
                <w:sz w:val="20"/>
                <w:szCs w:val="20"/>
                <w:u w:val="single"/>
                <w:lang w:val="es-EC"/>
              </w:rPr>
              <w:t>(</w:t>
            </w:r>
            <w:proofErr w:type="spellStart"/>
            <w:proofErr w:type="gramEnd"/>
            <w:r w:rsidR="00E7102E" w:rsidRPr="00C25A51">
              <w:rPr>
                <w:rFonts w:cstheme="minorHAnsi"/>
                <w:b/>
                <w:bCs/>
                <w:i/>
                <w:iCs/>
                <w:sz w:val="20"/>
                <w:szCs w:val="20"/>
                <w:u w:val="single"/>
                <w:lang w:val="es-EC"/>
              </w:rPr>
              <w:t>Check</w:t>
            </w:r>
            <w:proofErr w:type="spellEnd"/>
            <w:r w:rsidR="00E7102E" w:rsidRPr="00C25A51">
              <w:rPr>
                <w:rFonts w:cstheme="minorHAnsi"/>
                <w:b/>
                <w:bCs/>
                <w:i/>
                <w:iCs/>
                <w:sz w:val="20"/>
                <w:szCs w:val="20"/>
                <w:u w:val="single"/>
                <w:lang w:val="es-EC"/>
              </w:rPr>
              <w:t xml:space="preserve"> </w:t>
            </w:r>
            <w:proofErr w:type="spellStart"/>
            <w:r w:rsidR="00E7102E" w:rsidRPr="00C25A51">
              <w:rPr>
                <w:rFonts w:cstheme="minorHAnsi"/>
                <w:b/>
                <w:bCs/>
                <w:i/>
                <w:iCs/>
                <w:sz w:val="20"/>
                <w:szCs w:val="20"/>
                <w:u w:val="single"/>
                <w:lang w:val="es-EC"/>
              </w:rPr>
              <w:t>if</w:t>
            </w:r>
            <w:proofErr w:type="spellEnd"/>
            <w:r w:rsidR="00E7102E" w:rsidRPr="00C25A51">
              <w:rPr>
                <w:rFonts w:cstheme="minorHAnsi"/>
                <w:b/>
                <w:bCs/>
                <w:i/>
                <w:iCs/>
                <w:sz w:val="20"/>
                <w:szCs w:val="20"/>
                <w:u w:val="single"/>
                <w:lang w:val="es-EC"/>
              </w:rPr>
              <w:t xml:space="preserve"> yes.)</w:t>
            </w:r>
          </w:p>
        </w:tc>
        <w:tc>
          <w:tcPr>
            <w:tcW w:w="704" w:type="dxa"/>
            <w:gridSpan w:val="2"/>
            <w:vAlign w:val="center"/>
          </w:tcPr>
          <w:p w14:paraId="4A187632" w14:textId="77777777" w:rsidR="00E7102E" w:rsidRPr="00A51E75" w:rsidRDefault="00E7102E">
            <w:pPr>
              <w:tabs>
                <w:tab w:val="left" w:pos="360"/>
              </w:tabs>
              <w:rPr>
                <w:rFonts w:cstheme="minorHAnsi"/>
                <w:sz w:val="20"/>
                <w:szCs w:val="20"/>
                <w:u w:val="single"/>
                <w:lang w:val="en-US"/>
              </w:rPr>
            </w:pPr>
            <w:r w:rsidRPr="00A51E75">
              <w:rPr>
                <w:rFonts w:cstheme="minorHAnsi"/>
                <w:b/>
                <w:sz w:val="20"/>
                <w:szCs w:val="20"/>
                <w:lang w:val="en-US"/>
              </w:rPr>
              <w:t>x</w:t>
            </w:r>
          </w:p>
        </w:tc>
        <w:tc>
          <w:tcPr>
            <w:tcW w:w="427" w:type="dxa"/>
          </w:tcPr>
          <w:p w14:paraId="277B4118" w14:textId="77777777" w:rsidR="00E7102E" w:rsidRPr="00A51E75" w:rsidRDefault="00E7102E">
            <w:pPr>
              <w:tabs>
                <w:tab w:val="left" w:pos="360"/>
              </w:tabs>
              <w:rPr>
                <w:rFonts w:cstheme="minorHAnsi"/>
                <w:b/>
                <w:i/>
                <w:sz w:val="20"/>
                <w:szCs w:val="20"/>
                <w:lang w:val="en-US"/>
              </w:rPr>
            </w:pPr>
            <w:r w:rsidRPr="00A51E75">
              <w:rPr>
                <w:rFonts w:ascii="Segoe UI Symbol" w:hAnsi="Segoe UI Symbol" w:cs="Segoe UI Symbol"/>
                <w:b/>
                <w:bCs/>
                <w:sz w:val="20"/>
                <w:szCs w:val="20"/>
                <w:lang w:val="en-US"/>
              </w:rPr>
              <w:t>☐</w:t>
            </w:r>
          </w:p>
        </w:tc>
        <w:tc>
          <w:tcPr>
            <w:tcW w:w="1954" w:type="dxa"/>
          </w:tcPr>
          <w:p w14:paraId="3E7D02E5" w14:textId="77777777" w:rsidR="00E7102E" w:rsidRPr="00A51E75" w:rsidRDefault="00E7102E">
            <w:pPr>
              <w:tabs>
                <w:tab w:val="left" w:pos="360"/>
              </w:tabs>
              <w:rPr>
                <w:rFonts w:cstheme="minorHAnsi"/>
                <w:b/>
                <w:i/>
                <w:sz w:val="20"/>
                <w:szCs w:val="20"/>
                <w:lang w:val="en-US"/>
              </w:rPr>
            </w:pPr>
          </w:p>
        </w:tc>
        <w:tc>
          <w:tcPr>
            <w:tcW w:w="2366" w:type="dxa"/>
          </w:tcPr>
          <w:p w14:paraId="5CE4E87A" w14:textId="0F2B2CCF" w:rsidR="00E7102E" w:rsidRPr="00A51E75" w:rsidRDefault="00F647A8">
            <w:pPr>
              <w:tabs>
                <w:tab w:val="left" w:pos="360"/>
              </w:tabs>
              <w:rPr>
                <w:rFonts w:cstheme="minorHAnsi"/>
                <w:b/>
                <w:i/>
                <w:sz w:val="20"/>
                <w:szCs w:val="20"/>
                <w:lang w:val="en-US"/>
              </w:rPr>
            </w:pPr>
            <w:r>
              <w:rPr>
                <w:rFonts w:cstheme="minorHAnsi"/>
                <w:b/>
                <w:bCs/>
                <w:i/>
                <w:iCs/>
                <w:sz w:val="20"/>
                <w:szCs w:val="20"/>
                <w:lang w:val="en-US"/>
              </w:rPr>
              <w:t>Estado</w:t>
            </w:r>
            <w:r w:rsidR="00E7102E" w:rsidRPr="00A51E75">
              <w:rPr>
                <w:rFonts w:cstheme="minorHAnsi"/>
                <w:b/>
                <w:bCs/>
                <w:i/>
                <w:iCs/>
                <w:sz w:val="20"/>
                <w:szCs w:val="20"/>
                <w:lang w:val="en-US"/>
              </w:rPr>
              <w:t>? (</w:t>
            </w:r>
            <w:proofErr w:type="spellStart"/>
            <w:r w:rsidR="00E7102E" w:rsidRPr="00A51E75">
              <w:rPr>
                <w:rFonts w:cstheme="minorHAnsi"/>
                <w:b/>
                <w:bCs/>
                <w:i/>
                <w:iCs/>
                <w:sz w:val="20"/>
                <w:szCs w:val="20"/>
                <w:lang w:val="en-US"/>
              </w:rPr>
              <w:t>complet</w:t>
            </w:r>
            <w:r>
              <w:rPr>
                <w:rFonts w:cstheme="minorHAnsi"/>
                <w:b/>
                <w:bCs/>
                <w:i/>
                <w:iCs/>
                <w:sz w:val="20"/>
                <w:szCs w:val="20"/>
                <w:lang w:val="en-US"/>
              </w:rPr>
              <w:t>o</w:t>
            </w:r>
            <w:proofErr w:type="spellEnd"/>
            <w:r w:rsidR="00E7102E" w:rsidRPr="00A51E75">
              <w:rPr>
                <w:rFonts w:cstheme="minorHAnsi"/>
                <w:b/>
                <w:bCs/>
                <w:i/>
                <w:iCs/>
                <w:sz w:val="20"/>
                <w:szCs w:val="20"/>
                <w:lang w:val="en-US"/>
              </w:rPr>
              <w:t xml:space="preserve">, </w:t>
            </w:r>
            <w:proofErr w:type="spellStart"/>
            <w:r w:rsidR="00E7102E" w:rsidRPr="00A51E75">
              <w:rPr>
                <w:rFonts w:cstheme="minorHAnsi"/>
                <w:b/>
                <w:bCs/>
                <w:i/>
                <w:iCs/>
                <w:sz w:val="20"/>
                <w:szCs w:val="20"/>
                <w:lang w:val="en-US"/>
              </w:rPr>
              <w:t>preliminar</w:t>
            </w:r>
            <w:proofErr w:type="spellEnd"/>
            <w:r w:rsidR="00E7102E" w:rsidRPr="00A51E75">
              <w:rPr>
                <w:rFonts w:cstheme="minorHAnsi"/>
                <w:b/>
                <w:bCs/>
                <w:i/>
                <w:iCs/>
                <w:sz w:val="20"/>
                <w:szCs w:val="20"/>
                <w:lang w:val="en-US"/>
              </w:rPr>
              <w:t>)</w:t>
            </w:r>
          </w:p>
        </w:tc>
      </w:tr>
      <w:tr w:rsidR="00E7102E" w:rsidRPr="00A51E75" w14:paraId="73B6D927" w14:textId="77777777">
        <w:tc>
          <w:tcPr>
            <w:tcW w:w="3437" w:type="dxa"/>
            <w:vMerge/>
          </w:tcPr>
          <w:p w14:paraId="1C424F21" w14:textId="77777777" w:rsidR="00E7102E" w:rsidRPr="00A51E75" w:rsidRDefault="00E7102E">
            <w:pPr>
              <w:tabs>
                <w:tab w:val="left" w:pos="270"/>
              </w:tabs>
              <w:ind w:left="270" w:hanging="270"/>
              <w:rPr>
                <w:rFonts w:cstheme="minorHAnsi"/>
                <w:sz w:val="20"/>
                <w:szCs w:val="20"/>
                <w:lang w:val="en-US"/>
              </w:rPr>
            </w:pPr>
          </w:p>
        </w:tc>
        <w:tc>
          <w:tcPr>
            <w:tcW w:w="4246" w:type="dxa"/>
            <w:gridSpan w:val="3"/>
            <w:vMerge w:val="restart"/>
          </w:tcPr>
          <w:p w14:paraId="0C533DEB" w14:textId="77777777" w:rsidR="002E31D8" w:rsidRPr="002E31D8" w:rsidRDefault="002E31D8" w:rsidP="002E31D8">
            <w:pPr>
              <w:tabs>
                <w:tab w:val="left" w:pos="270"/>
              </w:tabs>
              <w:jc w:val="right"/>
              <w:rPr>
                <w:rFonts w:cstheme="minorHAnsi"/>
                <w:i/>
                <w:iCs/>
                <w:color w:val="000000"/>
                <w:sz w:val="20"/>
                <w:szCs w:val="20"/>
                <w:lang w:val="es-EC"/>
              </w:rPr>
            </w:pPr>
            <w:r w:rsidRPr="002E31D8">
              <w:rPr>
                <w:rFonts w:cstheme="minorHAnsi"/>
                <w:i/>
                <w:iCs/>
                <w:color w:val="000000"/>
                <w:sz w:val="20"/>
                <w:szCs w:val="20"/>
                <w:lang w:val="es-EC"/>
              </w:rPr>
              <w:t>Si la respuesta es “sí”, por favor indique el tipo general y la condición.</w:t>
            </w:r>
          </w:p>
          <w:p w14:paraId="36E25E16" w14:textId="48EB7779" w:rsidR="00E7102E" w:rsidRPr="002E31D8" w:rsidRDefault="00E7102E">
            <w:pPr>
              <w:tabs>
                <w:tab w:val="left" w:pos="270"/>
              </w:tabs>
              <w:jc w:val="right"/>
              <w:rPr>
                <w:rFonts w:cstheme="minorHAnsi"/>
                <w:i/>
                <w:color w:val="000000"/>
                <w:sz w:val="20"/>
                <w:szCs w:val="20"/>
                <w:lang w:val="es-EC"/>
              </w:rPr>
            </w:pPr>
          </w:p>
        </w:tc>
        <w:tc>
          <w:tcPr>
            <w:tcW w:w="704" w:type="dxa"/>
            <w:gridSpan w:val="2"/>
            <w:vAlign w:val="center"/>
          </w:tcPr>
          <w:p w14:paraId="25403534" w14:textId="77777777" w:rsidR="00E7102E" w:rsidRPr="002E31D8" w:rsidDel="00E47BCB" w:rsidRDefault="00E7102E">
            <w:pPr>
              <w:tabs>
                <w:tab w:val="left" w:pos="360"/>
              </w:tabs>
              <w:rPr>
                <w:rFonts w:cstheme="minorHAnsi"/>
                <w:b/>
                <w:sz w:val="20"/>
                <w:szCs w:val="20"/>
                <w:lang w:val="es-EC"/>
              </w:rPr>
            </w:pPr>
          </w:p>
        </w:tc>
        <w:tc>
          <w:tcPr>
            <w:tcW w:w="427" w:type="dxa"/>
          </w:tcPr>
          <w:p w14:paraId="2B45E31C" w14:textId="77777777" w:rsidR="00E7102E" w:rsidRPr="00A51E75" w:rsidRDefault="00E7102E">
            <w:pPr>
              <w:tabs>
                <w:tab w:val="left" w:pos="360"/>
              </w:tabs>
              <w:rPr>
                <w:rFonts w:cstheme="minorHAnsi"/>
                <w:sz w:val="20"/>
                <w:szCs w:val="20"/>
                <w:lang w:val="en-US"/>
              </w:rPr>
            </w:pPr>
            <w:r w:rsidRPr="00A51E75">
              <w:rPr>
                <w:rFonts w:ascii="Segoe UI Symbol" w:hAnsi="Segoe UI Symbol" w:cs="Segoe UI Symbol"/>
                <w:b/>
                <w:bCs/>
                <w:sz w:val="20"/>
                <w:szCs w:val="20"/>
                <w:lang w:val="en-US"/>
              </w:rPr>
              <w:t>☐</w:t>
            </w:r>
          </w:p>
        </w:tc>
        <w:tc>
          <w:tcPr>
            <w:tcW w:w="1954" w:type="dxa"/>
          </w:tcPr>
          <w:p w14:paraId="33266D22" w14:textId="06DF44A0" w:rsidR="00E7102E" w:rsidRPr="00A51E75" w:rsidRDefault="002E31D8">
            <w:pPr>
              <w:tabs>
                <w:tab w:val="left" w:pos="360"/>
              </w:tabs>
              <w:rPr>
                <w:rFonts w:cstheme="minorHAnsi"/>
                <w:sz w:val="20"/>
                <w:szCs w:val="20"/>
                <w:lang w:val="en-US"/>
              </w:rPr>
            </w:pPr>
            <w:proofErr w:type="spellStart"/>
            <w:r>
              <w:rPr>
                <w:rFonts w:cstheme="minorHAnsi"/>
                <w:sz w:val="20"/>
                <w:szCs w:val="20"/>
                <w:lang w:val="en-US"/>
              </w:rPr>
              <w:t>Evaluaciones</w:t>
            </w:r>
            <w:proofErr w:type="spellEnd"/>
            <w:r>
              <w:rPr>
                <w:rFonts w:cstheme="minorHAnsi"/>
                <w:sz w:val="20"/>
                <w:szCs w:val="20"/>
                <w:lang w:val="en-US"/>
              </w:rPr>
              <w:t xml:space="preserve"> </w:t>
            </w:r>
            <w:proofErr w:type="spellStart"/>
            <w:r>
              <w:rPr>
                <w:rFonts w:cstheme="minorHAnsi"/>
                <w:sz w:val="20"/>
                <w:szCs w:val="20"/>
                <w:lang w:val="en-US"/>
              </w:rPr>
              <w:t>específicas</w:t>
            </w:r>
            <w:proofErr w:type="spellEnd"/>
            <w:r w:rsidR="00E7102E" w:rsidRPr="00A51E75">
              <w:rPr>
                <w:rFonts w:cstheme="minorHAnsi"/>
                <w:sz w:val="20"/>
                <w:szCs w:val="20"/>
                <w:lang w:val="en-US"/>
              </w:rPr>
              <w:t xml:space="preserve"> </w:t>
            </w:r>
          </w:p>
        </w:tc>
        <w:tc>
          <w:tcPr>
            <w:tcW w:w="2366" w:type="dxa"/>
          </w:tcPr>
          <w:p w14:paraId="64358186" w14:textId="77777777" w:rsidR="00E7102E" w:rsidRPr="00A51E75" w:rsidRDefault="00E7102E">
            <w:pPr>
              <w:tabs>
                <w:tab w:val="left" w:pos="360"/>
              </w:tabs>
              <w:rPr>
                <w:rFonts w:cstheme="minorHAnsi"/>
                <w:sz w:val="20"/>
                <w:szCs w:val="20"/>
                <w:lang w:val="en-US"/>
              </w:rPr>
            </w:pPr>
          </w:p>
        </w:tc>
      </w:tr>
      <w:tr w:rsidR="00E7102E" w:rsidRPr="00F647A8" w14:paraId="33FA7ABA" w14:textId="77777777">
        <w:tc>
          <w:tcPr>
            <w:tcW w:w="3437" w:type="dxa"/>
            <w:vMerge/>
          </w:tcPr>
          <w:p w14:paraId="48B5A773" w14:textId="77777777" w:rsidR="00E7102E" w:rsidRPr="00A51E75" w:rsidRDefault="00E7102E">
            <w:pPr>
              <w:tabs>
                <w:tab w:val="left" w:pos="270"/>
              </w:tabs>
              <w:ind w:left="270" w:hanging="270"/>
              <w:rPr>
                <w:rFonts w:cstheme="minorHAnsi"/>
                <w:sz w:val="20"/>
                <w:szCs w:val="20"/>
                <w:lang w:val="en-US"/>
              </w:rPr>
            </w:pPr>
          </w:p>
        </w:tc>
        <w:tc>
          <w:tcPr>
            <w:tcW w:w="4246" w:type="dxa"/>
            <w:gridSpan w:val="3"/>
            <w:vMerge/>
          </w:tcPr>
          <w:p w14:paraId="7BE5D166" w14:textId="77777777" w:rsidR="00E7102E" w:rsidRPr="00A51E75" w:rsidRDefault="00E7102E">
            <w:pPr>
              <w:tabs>
                <w:tab w:val="left" w:pos="270"/>
              </w:tabs>
              <w:ind w:left="270" w:hanging="270"/>
              <w:rPr>
                <w:rFonts w:cstheme="minorHAnsi"/>
                <w:b/>
                <w:i/>
                <w:color w:val="000000"/>
                <w:sz w:val="20"/>
                <w:szCs w:val="20"/>
                <w:lang w:val="en-US"/>
              </w:rPr>
            </w:pPr>
          </w:p>
        </w:tc>
        <w:tc>
          <w:tcPr>
            <w:tcW w:w="704" w:type="dxa"/>
            <w:gridSpan w:val="2"/>
            <w:vAlign w:val="center"/>
          </w:tcPr>
          <w:p w14:paraId="3A9F221A" w14:textId="77777777" w:rsidR="00E7102E" w:rsidRPr="00A51E75" w:rsidDel="00E47BCB" w:rsidRDefault="00E7102E">
            <w:pPr>
              <w:tabs>
                <w:tab w:val="left" w:pos="360"/>
              </w:tabs>
              <w:rPr>
                <w:rFonts w:cstheme="minorHAnsi"/>
                <w:b/>
                <w:bCs/>
                <w:sz w:val="20"/>
                <w:szCs w:val="20"/>
                <w:lang w:val="en-US"/>
              </w:rPr>
            </w:pPr>
            <w:r w:rsidRPr="00A51E75">
              <w:rPr>
                <w:rFonts w:cstheme="minorHAnsi"/>
                <w:b/>
                <w:sz w:val="20"/>
                <w:szCs w:val="20"/>
                <w:lang w:val="en-US"/>
              </w:rPr>
              <w:t>x</w:t>
            </w:r>
          </w:p>
        </w:tc>
        <w:tc>
          <w:tcPr>
            <w:tcW w:w="427" w:type="dxa"/>
          </w:tcPr>
          <w:p w14:paraId="05EC1697" w14:textId="77777777" w:rsidR="00E7102E" w:rsidRPr="00A51E75" w:rsidRDefault="00E7102E">
            <w:pPr>
              <w:tabs>
                <w:tab w:val="left" w:pos="360"/>
              </w:tabs>
              <w:rPr>
                <w:rFonts w:cstheme="minorHAnsi"/>
                <w:sz w:val="20"/>
                <w:szCs w:val="20"/>
                <w:lang w:val="en-US"/>
              </w:rPr>
            </w:pPr>
            <w:r w:rsidRPr="00A51E75">
              <w:rPr>
                <w:rFonts w:ascii="Segoe UI Symbol" w:hAnsi="Segoe UI Symbol" w:cs="Segoe UI Symbol"/>
                <w:b/>
                <w:bCs/>
                <w:sz w:val="20"/>
                <w:szCs w:val="20"/>
                <w:lang w:val="en-US"/>
              </w:rPr>
              <w:t>☐</w:t>
            </w:r>
          </w:p>
        </w:tc>
        <w:tc>
          <w:tcPr>
            <w:tcW w:w="1954" w:type="dxa"/>
          </w:tcPr>
          <w:p w14:paraId="39373943" w14:textId="2B0B5CDA" w:rsidR="00F647A8" w:rsidRPr="00F647A8" w:rsidRDefault="00E7102E" w:rsidP="00F647A8">
            <w:pPr>
              <w:tabs>
                <w:tab w:val="left" w:pos="360"/>
              </w:tabs>
              <w:rPr>
                <w:rFonts w:cstheme="minorHAnsi"/>
                <w:sz w:val="20"/>
                <w:szCs w:val="20"/>
                <w:lang w:val="es-EC"/>
              </w:rPr>
            </w:pPr>
            <w:r w:rsidRPr="00F647A8">
              <w:rPr>
                <w:rFonts w:cstheme="minorHAnsi"/>
                <w:sz w:val="20"/>
                <w:szCs w:val="20"/>
                <w:lang w:val="es-EC"/>
              </w:rPr>
              <w:t xml:space="preserve">ESIA </w:t>
            </w:r>
            <w:r w:rsidR="00F647A8">
              <w:rPr>
                <w:rFonts w:cstheme="minorHAnsi"/>
                <w:sz w:val="20"/>
                <w:szCs w:val="20"/>
                <w:lang w:val="es-EC"/>
              </w:rPr>
              <w:t>(</w:t>
            </w:r>
            <w:r w:rsidR="00F647A8" w:rsidRPr="00F647A8">
              <w:rPr>
                <w:rFonts w:cstheme="minorHAnsi"/>
                <w:sz w:val="20"/>
                <w:szCs w:val="20"/>
                <w:lang w:val="es-EC"/>
              </w:rPr>
              <w:t>Evaluación de Impacto Ambiental y Social</w:t>
            </w:r>
            <w:r w:rsidR="00F647A8">
              <w:rPr>
                <w:rFonts w:cstheme="minorHAnsi"/>
                <w:sz w:val="20"/>
                <w:szCs w:val="20"/>
                <w:lang w:val="es-EC"/>
              </w:rPr>
              <w:t>)</w:t>
            </w:r>
          </w:p>
          <w:p w14:paraId="4D2B5BD9" w14:textId="169C9955" w:rsidR="00E7102E" w:rsidRPr="00F647A8" w:rsidRDefault="00E7102E">
            <w:pPr>
              <w:tabs>
                <w:tab w:val="left" w:pos="360"/>
              </w:tabs>
              <w:rPr>
                <w:rFonts w:cstheme="minorHAnsi"/>
                <w:sz w:val="20"/>
                <w:szCs w:val="20"/>
                <w:lang w:val="es-EC"/>
              </w:rPr>
            </w:pPr>
          </w:p>
        </w:tc>
        <w:tc>
          <w:tcPr>
            <w:tcW w:w="2366" w:type="dxa"/>
          </w:tcPr>
          <w:p w14:paraId="136F6821" w14:textId="05CC16D4" w:rsidR="00E7102E" w:rsidRPr="00F647A8" w:rsidRDefault="00F647A8">
            <w:pPr>
              <w:tabs>
                <w:tab w:val="left" w:pos="360"/>
              </w:tabs>
              <w:rPr>
                <w:rFonts w:ascii="Aptos" w:eastAsia="Aptos" w:hAnsi="Aptos" w:cs="Aptos"/>
                <w:sz w:val="20"/>
                <w:szCs w:val="20"/>
                <w:bdr w:val="nil"/>
                <w:lang w:val="es-EC"/>
              </w:rPr>
            </w:pPr>
            <w:r w:rsidRPr="00F647A8">
              <w:rPr>
                <w:rFonts w:ascii="Aptos" w:eastAsia="Aptos" w:hAnsi="Aptos" w:cs="Aptos"/>
                <w:sz w:val="20"/>
                <w:szCs w:val="20"/>
                <w:bdr w:val="nil"/>
                <w:lang w:val="es-EC"/>
              </w:rPr>
              <w:t>Se reconoce la necesidad de una Evaluación de Impacto Ambiental y Social (EIAS) específica y de su correspondiente Plan de Gestión Ambiental y Social (PGAS) para abordar los riesgos ambientales y sociales de determinados productos de los Componentes 2 y 3, así como de futuras actividades que se especificarán durante la implementación del proyecto.</w:t>
            </w:r>
          </w:p>
        </w:tc>
      </w:tr>
      <w:tr w:rsidR="00E7102E" w:rsidRPr="00D5192E" w14:paraId="159C506E" w14:textId="77777777">
        <w:tc>
          <w:tcPr>
            <w:tcW w:w="3437" w:type="dxa"/>
            <w:vMerge/>
          </w:tcPr>
          <w:p w14:paraId="2B430903" w14:textId="77777777" w:rsidR="00E7102E" w:rsidRPr="00F647A8" w:rsidRDefault="00E7102E">
            <w:pPr>
              <w:tabs>
                <w:tab w:val="left" w:pos="270"/>
              </w:tabs>
              <w:ind w:left="270" w:hanging="270"/>
              <w:rPr>
                <w:rFonts w:cstheme="minorHAnsi"/>
                <w:sz w:val="20"/>
                <w:szCs w:val="20"/>
                <w:lang w:val="es-EC"/>
              </w:rPr>
            </w:pPr>
          </w:p>
        </w:tc>
        <w:tc>
          <w:tcPr>
            <w:tcW w:w="4246" w:type="dxa"/>
            <w:gridSpan w:val="3"/>
            <w:vMerge/>
          </w:tcPr>
          <w:p w14:paraId="45BD90F4" w14:textId="77777777" w:rsidR="00E7102E" w:rsidRPr="00F647A8" w:rsidRDefault="00E7102E">
            <w:pPr>
              <w:tabs>
                <w:tab w:val="left" w:pos="270"/>
              </w:tabs>
              <w:ind w:left="270" w:hanging="270"/>
              <w:rPr>
                <w:rFonts w:cstheme="minorHAnsi"/>
                <w:b/>
                <w:i/>
                <w:color w:val="000000"/>
                <w:sz w:val="20"/>
                <w:szCs w:val="20"/>
                <w:lang w:val="es-EC"/>
              </w:rPr>
            </w:pPr>
          </w:p>
        </w:tc>
        <w:tc>
          <w:tcPr>
            <w:tcW w:w="704" w:type="dxa"/>
            <w:gridSpan w:val="2"/>
            <w:vAlign w:val="center"/>
          </w:tcPr>
          <w:p w14:paraId="146ECAD1" w14:textId="77777777" w:rsidR="00E7102E" w:rsidRPr="00F647A8" w:rsidDel="00E47BCB" w:rsidRDefault="00E7102E">
            <w:pPr>
              <w:tabs>
                <w:tab w:val="left" w:pos="360"/>
              </w:tabs>
              <w:rPr>
                <w:rFonts w:cstheme="minorHAnsi"/>
                <w:b/>
                <w:bCs/>
                <w:sz w:val="20"/>
                <w:szCs w:val="20"/>
                <w:lang w:val="es-EC"/>
              </w:rPr>
            </w:pPr>
          </w:p>
        </w:tc>
        <w:tc>
          <w:tcPr>
            <w:tcW w:w="427" w:type="dxa"/>
          </w:tcPr>
          <w:p w14:paraId="79677629" w14:textId="77777777" w:rsidR="00E7102E" w:rsidRPr="00F647A8" w:rsidRDefault="00E7102E">
            <w:pPr>
              <w:tabs>
                <w:tab w:val="left" w:pos="360"/>
              </w:tabs>
              <w:rPr>
                <w:rFonts w:cstheme="minorHAnsi"/>
                <w:b/>
                <w:sz w:val="20"/>
                <w:szCs w:val="20"/>
                <w:lang w:val="es-EC"/>
              </w:rPr>
            </w:pPr>
          </w:p>
        </w:tc>
        <w:tc>
          <w:tcPr>
            <w:tcW w:w="1954" w:type="dxa"/>
          </w:tcPr>
          <w:p w14:paraId="112CF29E" w14:textId="768A3A7C" w:rsidR="00E7102E" w:rsidRPr="00D5192E" w:rsidRDefault="00E7102E">
            <w:pPr>
              <w:tabs>
                <w:tab w:val="left" w:pos="360"/>
              </w:tabs>
              <w:rPr>
                <w:rFonts w:cstheme="minorHAnsi"/>
                <w:sz w:val="20"/>
                <w:szCs w:val="20"/>
                <w:lang w:val="es-EC"/>
              </w:rPr>
            </w:pPr>
            <w:r w:rsidRPr="00D5192E">
              <w:rPr>
                <w:rFonts w:cstheme="minorHAnsi"/>
                <w:sz w:val="20"/>
                <w:szCs w:val="20"/>
                <w:lang w:val="es-EC"/>
              </w:rPr>
              <w:t>SESA (</w:t>
            </w:r>
            <w:r w:rsidR="00D5192E" w:rsidRPr="00D5192E">
              <w:rPr>
                <w:rFonts w:cstheme="minorHAnsi"/>
                <w:sz w:val="20"/>
                <w:szCs w:val="20"/>
                <w:lang w:val="es-EC"/>
              </w:rPr>
              <w:t>Evaluación Ambiental y Social Estratégica</w:t>
            </w:r>
            <w:r w:rsidRPr="00D5192E">
              <w:rPr>
                <w:rFonts w:cstheme="minorHAnsi"/>
                <w:sz w:val="20"/>
                <w:szCs w:val="20"/>
                <w:lang w:val="es-EC"/>
              </w:rPr>
              <w:t xml:space="preserve">) </w:t>
            </w:r>
          </w:p>
        </w:tc>
        <w:tc>
          <w:tcPr>
            <w:tcW w:w="2366" w:type="dxa"/>
          </w:tcPr>
          <w:p w14:paraId="04644449" w14:textId="77777777" w:rsidR="00E7102E" w:rsidRPr="00D5192E" w:rsidRDefault="00E7102E">
            <w:pPr>
              <w:tabs>
                <w:tab w:val="left" w:pos="360"/>
              </w:tabs>
              <w:rPr>
                <w:rFonts w:cstheme="minorHAnsi"/>
                <w:sz w:val="20"/>
                <w:szCs w:val="20"/>
                <w:lang w:val="es-EC"/>
              </w:rPr>
            </w:pPr>
          </w:p>
        </w:tc>
      </w:tr>
      <w:tr w:rsidR="00E7102E" w:rsidRPr="00A51E75" w14:paraId="2BE200A0" w14:textId="77777777">
        <w:tc>
          <w:tcPr>
            <w:tcW w:w="3437" w:type="dxa"/>
            <w:vMerge/>
          </w:tcPr>
          <w:p w14:paraId="28C6505F" w14:textId="77777777" w:rsidR="00E7102E" w:rsidRPr="00D5192E" w:rsidRDefault="00E7102E">
            <w:pPr>
              <w:tabs>
                <w:tab w:val="left" w:pos="270"/>
              </w:tabs>
              <w:ind w:left="270" w:hanging="270"/>
              <w:rPr>
                <w:rFonts w:cstheme="minorHAnsi"/>
                <w:sz w:val="20"/>
                <w:szCs w:val="20"/>
                <w:lang w:val="es-EC"/>
              </w:rPr>
            </w:pPr>
          </w:p>
        </w:tc>
        <w:tc>
          <w:tcPr>
            <w:tcW w:w="4246" w:type="dxa"/>
            <w:gridSpan w:val="3"/>
            <w:vAlign w:val="center"/>
          </w:tcPr>
          <w:p w14:paraId="5B062021" w14:textId="5EE443FF" w:rsidR="00E7102E" w:rsidRPr="00D5192E" w:rsidRDefault="00D5192E" w:rsidP="00D5192E">
            <w:pPr>
              <w:tabs>
                <w:tab w:val="left" w:pos="270"/>
              </w:tabs>
              <w:ind w:left="270" w:hanging="270"/>
              <w:rPr>
                <w:rFonts w:cstheme="minorHAnsi"/>
                <w:b/>
                <w:bCs/>
                <w:i/>
                <w:iCs/>
                <w:color w:val="000000"/>
                <w:sz w:val="20"/>
                <w:szCs w:val="20"/>
                <w:lang w:val="es-EC"/>
              </w:rPr>
            </w:pPr>
            <w:r w:rsidRPr="00D5192E">
              <w:rPr>
                <w:rFonts w:cstheme="minorHAnsi"/>
                <w:b/>
                <w:bCs/>
                <w:i/>
                <w:iCs/>
                <w:color w:val="000000"/>
                <w:sz w:val="20"/>
                <w:szCs w:val="20"/>
                <w:lang w:val="es-EC"/>
              </w:rPr>
              <w:t>¿Se requieren planes de gestión? (Marque si la respuesta es sí</w:t>
            </w:r>
            <w:r>
              <w:rPr>
                <w:rFonts w:cstheme="minorHAnsi"/>
                <w:b/>
                <w:bCs/>
                <w:i/>
                <w:iCs/>
                <w:color w:val="000000"/>
                <w:sz w:val="20"/>
                <w:szCs w:val="20"/>
                <w:lang w:val="es-EC"/>
              </w:rPr>
              <w:t>)</w:t>
            </w:r>
          </w:p>
        </w:tc>
        <w:tc>
          <w:tcPr>
            <w:tcW w:w="704" w:type="dxa"/>
            <w:gridSpan w:val="2"/>
            <w:vAlign w:val="center"/>
          </w:tcPr>
          <w:p w14:paraId="150B871B" w14:textId="77777777" w:rsidR="00E7102E" w:rsidRPr="00A51E75" w:rsidRDefault="00E7102E">
            <w:pPr>
              <w:tabs>
                <w:tab w:val="left" w:pos="360"/>
              </w:tabs>
              <w:rPr>
                <w:rFonts w:cstheme="minorHAnsi"/>
                <w:b/>
                <w:sz w:val="20"/>
                <w:szCs w:val="20"/>
                <w:lang w:val="en-US"/>
              </w:rPr>
            </w:pPr>
            <w:r w:rsidRPr="00A51E75">
              <w:rPr>
                <w:rFonts w:cstheme="minorHAnsi"/>
                <w:b/>
                <w:sz w:val="20"/>
                <w:szCs w:val="20"/>
                <w:lang w:val="en-US"/>
              </w:rPr>
              <w:t>x</w:t>
            </w:r>
          </w:p>
        </w:tc>
        <w:tc>
          <w:tcPr>
            <w:tcW w:w="427" w:type="dxa"/>
          </w:tcPr>
          <w:p w14:paraId="764AC69C" w14:textId="77777777" w:rsidR="00E7102E" w:rsidRPr="00A51E75" w:rsidRDefault="00E7102E">
            <w:pPr>
              <w:tabs>
                <w:tab w:val="left" w:pos="360"/>
              </w:tabs>
              <w:rPr>
                <w:rFonts w:cstheme="minorHAnsi"/>
                <w:b/>
                <w:sz w:val="20"/>
                <w:szCs w:val="20"/>
                <w:lang w:val="en-US"/>
              </w:rPr>
            </w:pPr>
            <w:r w:rsidRPr="00A51E75">
              <w:rPr>
                <w:rFonts w:ascii="Segoe UI Symbol" w:hAnsi="Segoe UI Symbol" w:cs="Segoe UI Symbol"/>
                <w:b/>
                <w:bCs/>
                <w:sz w:val="20"/>
                <w:szCs w:val="20"/>
                <w:lang w:val="en-US"/>
              </w:rPr>
              <w:t>☐</w:t>
            </w:r>
          </w:p>
        </w:tc>
        <w:tc>
          <w:tcPr>
            <w:tcW w:w="4320" w:type="dxa"/>
            <w:gridSpan w:val="2"/>
          </w:tcPr>
          <w:p w14:paraId="2DB24A88" w14:textId="77777777" w:rsidR="00E7102E" w:rsidRPr="00A51E75" w:rsidRDefault="00E7102E">
            <w:pPr>
              <w:tabs>
                <w:tab w:val="left" w:pos="360"/>
              </w:tabs>
              <w:rPr>
                <w:rFonts w:cstheme="minorHAnsi"/>
                <w:sz w:val="20"/>
                <w:szCs w:val="20"/>
                <w:lang w:val="en-US"/>
              </w:rPr>
            </w:pPr>
          </w:p>
        </w:tc>
      </w:tr>
      <w:tr w:rsidR="00E7102E" w:rsidRPr="001F1378" w14:paraId="5DE565D6" w14:textId="77777777">
        <w:tc>
          <w:tcPr>
            <w:tcW w:w="3437" w:type="dxa"/>
            <w:vMerge/>
          </w:tcPr>
          <w:p w14:paraId="183EBCF7" w14:textId="77777777" w:rsidR="00E7102E" w:rsidRPr="00A51E75" w:rsidRDefault="00E7102E">
            <w:pPr>
              <w:tabs>
                <w:tab w:val="left" w:pos="270"/>
              </w:tabs>
              <w:ind w:left="270" w:hanging="270"/>
              <w:rPr>
                <w:rFonts w:cstheme="minorHAnsi"/>
                <w:sz w:val="20"/>
                <w:szCs w:val="20"/>
                <w:lang w:val="en-US"/>
              </w:rPr>
            </w:pPr>
          </w:p>
        </w:tc>
        <w:tc>
          <w:tcPr>
            <w:tcW w:w="4246" w:type="dxa"/>
            <w:gridSpan w:val="3"/>
            <w:vMerge w:val="restart"/>
          </w:tcPr>
          <w:p w14:paraId="39E4041B" w14:textId="35380074" w:rsidR="00E7102E" w:rsidRPr="009D2FDB" w:rsidRDefault="009D2FDB">
            <w:pPr>
              <w:tabs>
                <w:tab w:val="left" w:pos="270"/>
              </w:tabs>
              <w:ind w:left="270" w:hanging="270"/>
              <w:jc w:val="right"/>
              <w:rPr>
                <w:rFonts w:cstheme="minorHAnsi"/>
                <w:i/>
                <w:color w:val="000000"/>
                <w:sz w:val="20"/>
                <w:szCs w:val="20"/>
                <w:lang w:val="es-EC"/>
              </w:rPr>
            </w:pPr>
            <w:r w:rsidRPr="009D2FDB">
              <w:rPr>
                <w:rFonts w:cstheme="minorHAnsi"/>
                <w:i/>
                <w:iCs/>
                <w:color w:val="000000"/>
                <w:sz w:val="20"/>
                <w:szCs w:val="20"/>
                <w:lang w:val="es-EC"/>
              </w:rPr>
              <w:t>Si la respuesta es “sí”, indique el tipo general</w:t>
            </w:r>
          </w:p>
        </w:tc>
        <w:tc>
          <w:tcPr>
            <w:tcW w:w="704" w:type="dxa"/>
            <w:gridSpan w:val="2"/>
            <w:vAlign w:val="center"/>
          </w:tcPr>
          <w:p w14:paraId="7B7E585F" w14:textId="77777777" w:rsidR="00E7102E" w:rsidRPr="00A51E75" w:rsidDel="00E47BCB" w:rsidRDefault="00E7102E">
            <w:pPr>
              <w:tabs>
                <w:tab w:val="left" w:pos="360"/>
              </w:tabs>
              <w:rPr>
                <w:rFonts w:cstheme="minorHAnsi"/>
                <w:b/>
                <w:sz w:val="20"/>
                <w:szCs w:val="20"/>
                <w:lang w:val="en-US"/>
              </w:rPr>
            </w:pPr>
            <w:r w:rsidRPr="00A51E75">
              <w:rPr>
                <w:rFonts w:cstheme="minorHAnsi"/>
                <w:b/>
                <w:sz w:val="20"/>
                <w:szCs w:val="20"/>
                <w:lang w:val="en-US"/>
              </w:rPr>
              <w:t>x</w:t>
            </w:r>
          </w:p>
        </w:tc>
        <w:tc>
          <w:tcPr>
            <w:tcW w:w="427" w:type="dxa"/>
          </w:tcPr>
          <w:p w14:paraId="3911292D" w14:textId="77777777" w:rsidR="00E7102E" w:rsidRPr="00A51E75" w:rsidRDefault="00E7102E">
            <w:pPr>
              <w:tabs>
                <w:tab w:val="left" w:pos="360"/>
              </w:tabs>
              <w:rPr>
                <w:rFonts w:cstheme="minorHAnsi"/>
                <w:sz w:val="20"/>
                <w:szCs w:val="20"/>
                <w:lang w:val="en-US"/>
              </w:rPr>
            </w:pPr>
            <w:r w:rsidRPr="00A51E75">
              <w:rPr>
                <w:rFonts w:ascii="Segoe UI Symbol" w:hAnsi="Segoe UI Symbol" w:cs="Segoe UI Symbol"/>
                <w:b/>
                <w:bCs/>
                <w:sz w:val="20"/>
                <w:szCs w:val="20"/>
                <w:lang w:val="en-US"/>
              </w:rPr>
              <w:t>☐</w:t>
            </w:r>
          </w:p>
        </w:tc>
        <w:tc>
          <w:tcPr>
            <w:tcW w:w="1954" w:type="dxa"/>
          </w:tcPr>
          <w:p w14:paraId="62657624" w14:textId="16B37D3D" w:rsidR="00E7102E" w:rsidRPr="00712AE0" w:rsidRDefault="00712AE0">
            <w:pPr>
              <w:tabs>
                <w:tab w:val="left" w:pos="360"/>
              </w:tabs>
              <w:rPr>
                <w:rFonts w:cstheme="minorHAnsi"/>
                <w:sz w:val="20"/>
                <w:szCs w:val="20"/>
                <w:lang w:val="es-EC"/>
              </w:rPr>
            </w:pPr>
            <w:r w:rsidRPr="00712AE0">
              <w:rPr>
                <w:rFonts w:cstheme="minorHAnsi"/>
                <w:sz w:val="20"/>
                <w:szCs w:val="20"/>
                <w:lang w:val="es-EC"/>
              </w:rPr>
              <w:t>Planes de gestión específicos (por ejemplo, Plan de Acción de Género, Plan de Respuesta a Emergencias, Plan de Gestión de Residuos, entre otros)</w:t>
            </w:r>
          </w:p>
        </w:tc>
        <w:tc>
          <w:tcPr>
            <w:tcW w:w="2366" w:type="dxa"/>
          </w:tcPr>
          <w:p w14:paraId="69723844" w14:textId="1391EA06" w:rsidR="00E7102E" w:rsidRPr="001F1378" w:rsidRDefault="001F1378">
            <w:pPr>
              <w:tabs>
                <w:tab w:val="left" w:pos="360"/>
              </w:tabs>
              <w:rPr>
                <w:rFonts w:cstheme="minorHAnsi"/>
                <w:sz w:val="20"/>
                <w:szCs w:val="20"/>
                <w:lang w:val="es-EC"/>
              </w:rPr>
            </w:pPr>
            <w:r w:rsidRPr="001F1378">
              <w:rPr>
                <w:rFonts w:cstheme="minorHAnsi"/>
                <w:sz w:val="20"/>
                <w:szCs w:val="20"/>
                <w:lang w:val="es-EC"/>
              </w:rPr>
              <w:t xml:space="preserve">El proyecto propone actualizar el Plan de Acción de Género, el Plan de Participación de Actores y el Marco de Pueblos Indígenas desarrollado durante la fase de preparación del proyecto (PPG), así como </w:t>
            </w:r>
            <w:r w:rsidRPr="001F1378">
              <w:rPr>
                <w:rFonts w:cstheme="minorHAnsi"/>
                <w:sz w:val="20"/>
                <w:szCs w:val="20"/>
                <w:lang w:val="es-EC"/>
              </w:rPr>
              <w:lastRenderedPageBreak/>
              <w:t>desarrollar el Plan de Pueblos Indígenas, el Plan de Acción de Biodiversidad y el Plan de Medios de Vida.</w:t>
            </w:r>
          </w:p>
        </w:tc>
      </w:tr>
      <w:tr w:rsidR="00E7102E" w:rsidRPr="007C7759" w14:paraId="465BE080" w14:textId="77777777">
        <w:tc>
          <w:tcPr>
            <w:tcW w:w="3437" w:type="dxa"/>
            <w:vMerge/>
          </w:tcPr>
          <w:p w14:paraId="4480BA7A" w14:textId="77777777" w:rsidR="00E7102E" w:rsidRPr="001F1378" w:rsidRDefault="00E7102E">
            <w:pPr>
              <w:tabs>
                <w:tab w:val="left" w:pos="270"/>
              </w:tabs>
              <w:ind w:left="270" w:hanging="270"/>
              <w:rPr>
                <w:rFonts w:cstheme="minorHAnsi"/>
                <w:sz w:val="20"/>
                <w:szCs w:val="20"/>
                <w:lang w:val="es-EC"/>
              </w:rPr>
            </w:pPr>
          </w:p>
        </w:tc>
        <w:tc>
          <w:tcPr>
            <w:tcW w:w="4246" w:type="dxa"/>
            <w:gridSpan w:val="3"/>
            <w:vMerge/>
          </w:tcPr>
          <w:p w14:paraId="197EBE34" w14:textId="77777777" w:rsidR="00E7102E" w:rsidRPr="001F1378" w:rsidRDefault="00E7102E">
            <w:pPr>
              <w:tabs>
                <w:tab w:val="left" w:pos="270"/>
              </w:tabs>
              <w:ind w:left="270" w:hanging="270"/>
              <w:rPr>
                <w:rFonts w:cstheme="minorHAnsi"/>
                <w:b/>
                <w:i/>
                <w:color w:val="000000"/>
                <w:sz w:val="20"/>
                <w:szCs w:val="20"/>
                <w:lang w:val="es-EC"/>
              </w:rPr>
            </w:pPr>
          </w:p>
        </w:tc>
        <w:tc>
          <w:tcPr>
            <w:tcW w:w="704" w:type="dxa"/>
            <w:gridSpan w:val="2"/>
            <w:vAlign w:val="center"/>
          </w:tcPr>
          <w:p w14:paraId="2E53893D" w14:textId="77777777" w:rsidR="00E7102E" w:rsidRPr="00A51E75" w:rsidDel="00E47BCB" w:rsidRDefault="00E7102E">
            <w:pPr>
              <w:tabs>
                <w:tab w:val="left" w:pos="360"/>
              </w:tabs>
              <w:rPr>
                <w:rFonts w:cstheme="minorHAnsi"/>
                <w:b/>
                <w:bCs/>
                <w:sz w:val="20"/>
                <w:szCs w:val="20"/>
                <w:lang w:val="en-US"/>
              </w:rPr>
            </w:pPr>
            <w:r w:rsidRPr="00A51E75">
              <w:rPr>
                <w:rFonts w:cstheme="minorHAnsi"/>
                <w:b/>
                <w:bCs/>
                <w:sz w:val="20"/>
                <w:szCs w:val="20"/>
                <w:lang w:val="en-US"/>
              </w:rPr>
              <w:t>x</w:t>
            </w:r>
          </w:p>
        </w:tc>
        <w:tc>
          <w:tcPr>
            <w:tcW w:w="427" w:type="dxa"/>
          </w:tcPr>
          <w:p w14:paraId="55C4B36A" w14:textId="77777777" w:rsidR="00E7102E" w:rsidRPr="00A51E75" w:rsidRDefault="00E7102E">
            <w:pPr>
              <w:tabs>
                <w:tab w:val="left" w:pos="360"/>
              </w:tabs>
              <w:rPr>
                <w:rFonts w:cstheme="minorHAnsi"/>
                <w:sz w:val="20"/>
                <w:szCs w:val="20"/>
                <w:lang w:val="en-US"/>
              </w:rPr>
            </w:pPr>
          </w:p>
        </w:tc>
        <w:tc>
          <w:tcPr>
            <w:tcW w:w="1954" w:type="dxa"/>
          </w:tcPr>
          <w:p w14:paraId="7623C392" w14:textId="0F540029" w:rsidR="00E7102E" w:rsidRPr="002C2878" w:rsidRDefault="00E7102E">
            <w:pPr>
              <w:tabs>
                <w:tab w:val="left" w:pos="360"/>
              </w:tabs>
              <w:rPr>
                <w:rFonts w:cstheme="minorHAnsi"/>
                <w:sz w:val="20"/>
                <w:szCs w:val="20"/>
                <w:lang w:val="es-EC"/>
              </w:rPr>
            </w:pPr>
            <w:r w:rsidRPr="002C2878">
              <w:rPr>
                <w:rFonts w:cstheme="minorHAnsi"/>
                <w:sz w:val="20"/>
                <w:szCs w:val="20"/>
                <w:lang w:val="es-EC"/>
              </w:rPr>
              <w:t>ESMP (</w:t>
            </w:r>
            <w:r w:rsidR="002C2878" w:rsidRPr="002C2878">
              <w:rPr>
                <w:rFonts w:cstheme="minorHAnsi"/>
                <w:sz w:val="20"/>
                <w:szCs w:val="20"/>
                <w:lang w:val="es-EC"/>
              </w:rPr>
              <w:t>Plan de Gestión Ambiental y Social, que puede incluir distintos planes específicos</w:t>
            </w:r>
            <w:r w:rsidRPr="002C2878">
              <w:rPr>
                <w:rFonts w:cstheme="minorHAnsi"/>
                <w:sz w:val="20"/>
                <w:szCs w:val="20"/>
                <w:lang w:val="es-EC"/>
              </w:rPr>
              <w:t>)</w:t>
            </w:r>
          </w:p>
        </w:tc>
        <w:tc>
          <w:tcPr>
            <w:tcW w:w="2366" w:type="dxa"/>
          </w:tcPr>
          <w:p w14:paraId="55129E9D" w14:textId="547E91C4" w:rsidR="00E7102E" w:rsidRPr="007C7759" w:rsidRDefault="007C7759">
            <w:pPr>
              <w:tabs>
                <w:tab w:val="left" w:pos="360"/>
              </w:tabs>
              <w:jc w:val="both"/>
              <w:rPr>
                <w:rFonts w:cstheme="minorHAnsi"/>
                <w:sz w:val="20"/>
                <w:szCs w:val="20"/>
                <w:lang w:val="es-EC"/>
              </w:rPr>
            </w:pPr>
            <w:r w:rsidRPr="007C7759">
              <w:rPr>
                <w:rFonts w:cstheme="minorHAnsi"/>
                <w:sz w:val="20"/>
                <w:szCs w:val="20"/>
                <w:lang w:val="es-EC"/>
              </w:rPr>
              <w:t>Debe elaborarse un Plan de Gestión Ambiental y Social para orientar la implementación del proyecto, el cual deberá incluir, entre otros elementos, indicadores sociales y ambientales que permitan monitorear la ejecución efectiva del proyecto y de sus respectivos planes de gestión.</w:t>
            </w:r>
          </w:p>
        </w:tc>
      </w:tr>
      <w:tr w:rsidR="00E7102E" w:rsidRPr="00CB2906" w14:paraId="08C7A17C" w14:textId="77777777">
        <w:trPr>
          <w:trHeight w:val="512"/>
        </w:trPr>
        <w:tc>
          <w:tcPr>
            <w:tcW w:w="3437" w:type="dxa"/>
            <w:vMerge/>
          </w:tcPr>
          <w:p w14:paraId="4DC064D1" w14:textId="77777777" w:rsidR="00E7102E" w:rsidRPr="007C7759" w:rsidRDefault="00E7102E">
            <w:pPr>
              <w:tabs>
                <w:tab w:val="left" w:pos="270"/>
              </w:tabs>
              <w:ind w:left="270" w:hanging="270"/>
              <w:rPr>
                <w:rFonts w:cstheme="minorHAnsi"/>
                <w:sz w:val="20"/>
                <w:szCs w:val="20"/>
                <w:lang w:val="es-EC"/>
              </w:rPr>
            </w:pPr>
          </w:p>
        </w:tc>
        <w:tc>
          <w:tcPr>
            <w:tcW w:w="4246" w:type="dxa"/>
            <w:gridSpan w:val="3"/>
            <w:vMerge/>
          </w:tcPr>
          <w:p w14:paraId="68E8895A" w14:textId="77777777" w:rsidR="00E7102E" w:rsidRPr="007C7759" w:rsidRDefault="00E7102E">
            <w:pPr>
              <w:tabs>
                <w:tab w:val="left" w:pos="270"/>
              </w:tabs>
              <w:ind w:left="270" w:hanging="270"/>
              <w:rPr>
                <w:rFonts w:cstheme="minorHAnsi"/>
                <w:b/>
                <w:i/>
                <w:color w:val="000000"/>
                <w:sz w:val="20"/>
                <w:szCs w:val="20"/>
                <w:lang w:val="es-EC"/>
              </w:rPr>
            </w:pPr>
          </w:p>
        </w:tc>
        <w:tc>
          <w:tcPr>
            <w:tcW w:w="704" w:type="dxa"/>
            <w:gridSpan w:val="2"/>
            <w:vAlign w:val="center"/>
          </w:tcPr>
          <w:p w14:paraId="3BEA4352" w14:textId="77777777" w:rsidR="00E7102E" w:rsidRPr="00A51E75" w:rsidDel="00E47BCB" w:rsidRDefault="00E7102E">
            <w:pPr>
              <w:tabs>
                <w:tab w:val="left" w:pos="360"/>
              </w:tabs>
              <w:rPr>
                <w:rFonts w:cstheme="minorHAnsi"/>
                <w:b/>
                <w:bCs/>
                <w:sz w:val="20"/>
                <w:szCs w:val="20"/>
                <w:lang w:val="en-US"/>
              </w:rPr>
            </w:pPr>
            <w:r w:rsidRPr="00A51E75">
              <w:rPr>
                <w:rFonts w:cstheme="minorHAnsi"/>
                <w:b/>
                <w:bCs/>
                <w:sz w:val="20"/>
                <w:szCs w:val="20"/>
                <w:lang w:val="en-US"/>
              </w:rPr>
              <w:t>x</w:t>
            </w:r>
          </w:p>
        </w:tc>
        <w:tc>
          <w:tcPr>
            <w:tcW w:w="427" w:type="dxa"/>
          </w:tcPr>
          <w:p w14:paraId="252583C5" w14:textId="77777777" w:rsidR="00E7102E" w:rsidRPr="00A51E75" w:rsidRDefault="00E7102E">
            <w:pPr>
              <w:tabs>
                <w:tab w:val="left" w:pos="360"/>
              </w:tabs>
              <w:rPr>
                <w:rFonts w:cstheme="minorHAnsi"/>
                <w:sz w:val="20"/>
                <w:szCs w:val="20"/>
                <w:lang w:val="en-US"/>
              </w:rPr>
            </w:pPr>
          </w:p>
        </w:tc>
        <w:tc>
          <w:tcPr>
            <w:tcW w:w="1954" w:type="dxa"/>
          </w:tcPr>
          <w:p w14:paraId="2B3CF462" w14:textId="25523F6C" w:rsidR="00E7102E" w:rsidRPr="001E25FA" w:rsidRDefault="00E7102E">
            <w:pPr>
              <w:tabs>
                <w:tab w:val="left" w:pos="360"/>
              </w:tabs>
              <w:rPr>
                <w:rFonts w:cstheme="minorHAnsi"/>
                <w:sz w:val="20"/>
                <w:szCs w:val="20"/>
                <w:lang w:val="es-EC"/>
              </w:rPr>
            </w:pPr>
            <w:r w:rsidRPr="001E25FA">
              <w:rPr>
                <w:rFonts w:cstheme="minorHAnsi"/>
                <w:sz w:val="20"/>
                <w:szCs w:val="20"/>
                <w:lang w:val="es-EC"/>
              </w:rPr>
              <w:t>ESMF (</w:t>
            </w:r>
            <w:r w:rsidR="001E25FA" w:rsidRPr="001E25FA">
              <w:rPr>
                <w:rFonts w:cstheme="minorHAnsi"/>
                <w:sz w:val="20"/>
                <w:szCs w:val="20"/>
                <w:lang w:val="es-EC"/>
              </w:rPr>
              <w:t>Marco de Gestión Ambiental y Social</w:t>
            </w:r>
            <w:r w:rsidRPr="001E25FA">
              <w:rPr>
                <w:rFonts w:cstheme="minorHAnsi"/>
                <w:sz w:val="20"/>
                <w:szCs w:val="20"/>
                <w:lang w:val="es-EC"/>
              </w:rPr>
              <w:t>)</w:t>
            </w:r>
          </w:p>
        </w:tc>
        <w:tc>
          <w:tcPr>
            <w:tcW w:w="2366" w:type="dxa"/>
          </w:tcPr>
          <w:p w14:paraId="5C7828F2" w14:textId="43AFB2D4" w:rsidR="00E7102E" w:rsidRPr="00CB2906" w:rsidRDefault="00CB2906">
            <w:pPr>
              <w:tabs>
                <w:tab w:val="left" w:pos="360"/>
              </w:tabs>
              <w:jc w:val="both"/>
              <w:rPr>
                <w:rFonts w:cstheme="minorHAnsi"/>
                <w:sz w:val="20"/>
                <w:szCs w:val="20"/>
                <w:lang w:val="es-EC"/>
              </w:rPr>
            </w:pPr>
            <w:r w:rsidRPr="00CB2906">
              <w:rPr>
                <w:rFonts w:cstheme="minorHAnsi"/>
                <w:sz w:val="20"/>
                <w:szCs w:val="20"/>
                <w:lang w:val="es-EC"/>
              </w:rPr>
              <w:t>Se elaboró un Marco de Gestión Ambiental y Social (MGAS) durante la fase de preparación del proyecto (PPG) para evaluar los riesgos relevantes asociados a los componentes del proyecto.</w:t>
            </w:r>
          </w:p>
        </w:tc>
      </w:tr>
      <w:tr w:rsidR="00E7102E" w:rsidRPr="00A51E75" w14:paraId="27535605" w14:textId="77777777">
        <w:trPr>
          <w:trHeight w:val="521"/>
        </w:trPr>
        <w:tc>
          <w:tcPr>
            <w:tcW w:w="3437" w:type="dxa"/>
            <w:vMerge/>
          </w:tcPr>
          <w:p w14:paraId="6D8AD627" w14:textId="77777777" w:rsidR="00E7102E" w:rsidRPr="00CB2906" w:rsidRDefault="00E7102E">
            <w:pPr>
              <w:tabs>
                <w:tab w:val="left" w:pos="270"/>
              </w:tabs>
              <w:ind w:left="270" w:hanging="270"/>
              <w:rPr>
                <w:rFonts w:cstheme="minorHAnsi"/>
                <w:sz w:val="20"/>
                <w:szCs w:val="20"/>
                <w:lang w:val="es-EC"/>
              </w:rPr>
            </w:pPr>
          </w:p>
        </w:tc>
        <w:tc>
          <w:tcPr>
            <w:tcW w:w="4246" w:type="dxa"/>
            <w:gridSpan w:val="3"/>
          </w:tcPr>
          <w:p w14:paraId="02469AA5" w14:textId="10EB84C4" w:rsidR="00E7102E" w:rsidRPr="00687C24" w:rsidRDefault="00687C24">
            <w:pPr>
              <w:tabs>
                <w:tab w:val="left" w:pos="270"/>
              </w:tabs>
              <w:rPr>
                <w:rFonts w:cstheme="minorHAnsi"/>
                <w:b/>
                <w:bCs/>
                <w:i/>
                <w:iCs/>
                <w:color w:val="000000"/>
                <w:sz w:val="20"/>
                <w:szCs w:val="20"/>
                <w:lang w:val="es-EC"/>
              </w:rPr>
            </w:pPr>
            <w:r w:rsidRPr="00687C24">
              <w:rPr>
                <w:rFonts w:cstheme="minorHAnsi"/>
                <w:b/>
                <w:bCs/>
                <w:i/>
                <w:iCs/>
                <w:color w:val="000000"/>
                <w:sz w:val="20"/>
                <w:szCs w:val="20"/>
                <w:lang w:val="es-EC"/>
              </w:rPr>
              <w:t>Considerando los riesgos identificados, ¿qué principios/estándares a nivel de proyecto han sido activados?</w:t>
            </w:r>
          </w:p>
        </w:tc>
        <w:tc>
          <w:tcPr>
            <w:tcW w:w="704" w:type="dxa"/>
            <w:gridSpan w:val="2"/>
            <w:vAlign w:val="center"/>
          </w:tcPr>
          <w:p w14:paraId="69A764CF" w14:textId="77777777" w:rsidR="00E7102E" w:rsidRPr="00687C24" w:rsidDel="00E47BCB" w:rsidRDefault="00E7102E">
            <w:pPr>
              <w:tabs>
                <w:tab w:val="left" w:pos="360"/>
              </w:tabs>
              <w:rPr>
                <w:rFonts w:cstheme="minorHAnsi"/>
                <w:b/>
                <w:sz w:val="20"/>
                <w:szCs w:val="20"/>
                <w:lang w:val="es-EC"/>
              </w:rPr>
            </w:pPr>
          </w:p>
        </w:tc>
        <w:tc>
          <w:tcPr>
            <w:tcW w:w="4747" w:type="dxa"/>
            <w:gridSpan w:val="3"/>
            <w:vAlign w:val="center"/>
          </w:tcPr>
          <w:p w14:paraId="55D3543C" w14:textId="59A6AD4D" w:rsidR="00E7102E" w:rsidRPr="00A51E75" w:rsidRDefault="00687C24">
            <w:pPr>
              <w:tabs>
                <w:tab w:val="left" w:pos="360"/>
              </w:tabs>
              <w:jc w:val="center"/>
              <w:rPr>
                <w:rFonts w:cstheme="minorHAnsi"/>
                <w:b/>
                <w:i/>
                <w:sz w:val="20"/>
                <w:szCs w:val="20"/>
                <w:lang w:val="en-US"/>
              </w:rPr>
            </w:pPr>
            <w:proofErr w:type="spellStart"/>
            <w:r>
              <w:rPr>
                <w:rFonts w:cstheme="minorHAnsi"/>
                <w:b/>
                <w:bCs/>
                <w:sz w:val="20"/>
                <w:szCs w:val="20"/>
                <w:lang w:val="en-US"/>
              </w:rPr>
              <w:t>Comentarios</w:t>
            </w:r>
            <w:proofErr w:type="spellEnd"/>
          </w:p>
        </w:tc>
      </w:tr>
      <w:tr w:rsidR="00E7102E" w:rsidRPr="00EF460B" w14:paraId="72AAC4DE" w14:textId="77777777">
        <w:tc>
          <w:tcPr>
            <w:tcW w:w="3437" w:type="dxa"/>
            <w:vMerge/>
          </w:tcPr>
          <w:p w14:paraId="4317B796" w14:textId="77777777" w:rsidR="00E7102E" w:rsidRPr="00A51E75" w:rsidRDefault="00E7102E">
            <w:pPr>
              <w:tabs>
                <w:tab w:val="left" w:pos="270"/>
              </w:tabs>
              <w:ind w:left="270" w:hanging="270"/>
              <w:rPr>
                <w:rFonts w:cstheme="minorHAnsi"/>
                <w:sz w:val="20"/>
                <w:szCs w:val="20"/>
                <w:lang w:val="en-US"/>
              </w:rPr>
            </w:pPr>
          </w:p>
        </w:tc>
        <w:tc>
          <w:tcPr>
            <w:tcW w:w="4246" w:type="dxa"/>
            <w:gridSpan w:val="3"/>
            <w:vAlign w:val="center"/>
          </w:tcPr>
          <w:p w14:paraId="7FEAD10D" w14:textId="28854335" w:rsidR="00E7102E" w:rsidRPr="00EF460B" w:rsidRDefault="00EF460B">
            <w:pPr>
              <w:tabs>
                <w:tab w:val="left" w:pos="270"/>
              </w:tabs>
              <w:ind w:left="270" w:hanging="270"/>
              <w:rPr>
                <w:rFonts w:cstheme="minorHAnsi"/>
                <w:b/>
                <w:i/>
                <w:sz w:val="20"/>
                <w:szCs w:val="20"/>
                <w:lang w:val="es-EC"/>
              </w:rPr>
            </w:pPr>
            <w:r w:rsidRPr="00EF460B">
              <w:rPr>
                <w:rFonts w:cstheme="minorHAnsi"/>
                <w:b/>
                <w:bCs/>
                <w:i/>
                <w:iCs/>
                <w:sz w:val="20"/>
                <w:szCs w:val="20"/>
                <w:lang w:val="es-EC"/>
              </w:rPr>
              <w:t>Principio general: No dejar a nadie atrás</w:t>
            </w:r>
          </w:p>
        </w:tc>
        <w:tc>
          <w:tcPr>
            <w:tcW w:w="704" w:type="dxa"/>
            <w:gridSpan w:val="2"/>
            <w:vAlign w:val="center"/>
          </w:tcPr>
          <w:p w14:paraId="6E62DE93" w14:textId="77777777" w:rsidR="00E7102E" w:rsidRPr="00A51E75" w:rsidRDefault="00E7102E">
            <w:pPr>
              <w:tabs>
                <w:tab w:val="left" w:pos="360"/>
              </w:tabs>
              <w:rPr>
                <w:rFonts w:cstheme="minorHAnsi"/>
                <w:b/>
                <w:sz w:val="20"/>
                <w:szCs w:val="20"/>
                <w:lang w:val="en-US"/>
              </w:rPr>
            </w:pPr>
            <w:r w:rsidRPr="00A51E75">
              <w:rPr>
                <w:rFonts w:cstheme="minorHAnsi"/>
                <w:b/>
                <w:sz w:val="20"/>
                <w:szCs w:val="20"/>
                <w:lang w:val="en-US"/>
              </w:rPr>
              <w:t>x</w:t>
            </w:r>
          </w:p>
        </w:tc>
        <w:tc>
          <w:tcPr>
            <w:tcW w:w="4747" w:type="dxa"/>
            <w:gridSpan w:val="3"/>
          </w:tcPr>
          <w:p w14:paraId="62019B2C" w14:textId="6FA469D9" w:rsidR="00E7102E" w:rsidRPr="00805A72" w:rsidRDefault="00EF460B">
            <w:pPr>
              <w:tabs>
                <w:tab w:val="left" w:pos="360"/>
              </w:tabs>
              <w:jc w:val="both"/>
              <w:rPr>
                <w:rFonts w:cstheme="minorHAnsi"/>
                <w:sz w:val="20"/>
                <w:szCs w:val="20"/>
                <w:lang w:val="es-EC"/>
              </w:rPr>
            </w:pPr>
            <w:r w:rsidRPr="00805A72">
              <w:rPr>
                <w:rFonts w:cstheme="minorHAnsi"/>
                <w:sz w:val="20"/>
                <w:szCs w:val="20"/>
                <w:lang w:val="es-EC"/>
              </w:rPr>
              <w:t>El proyecto trabajará para fortalecer las capacidades locales de socios como el MAE y el MAGP, garantizando así los derechos individuales y colectivos de las comunidades y productores involucrados en el proyecto. Los pueblos indígenas, la juventud y las mujeres serán involucrados mediante acciones afirmativas.</w:t>
            </w:r>
          </w:p>
        </w:tc>
      </w:tr>
      <w:tr w:rsidR="00E7102E" w:rsidRPr="00527B95" w14:paraId="5307895E" w14:textId="77777777">
        <w:trPr>
          <w:trHeight w:val="287"/>
        </w:trPr>
        <w:tc>
          <w:tcPr>
            <w:tcW w:w="3437" w:type="dxa"/>
            <w:vMerge/>
          </w:tcPr>
          <w:p w14:paraId="1C4F6958" w14:textId="77777777" w:rsidR="00E7102E" w:rsidRPr="00EF460B" w:rsidRDefault="00E7102E">
            <w:pPr>
              <w:tabs>
                <w:tab w:val="left" w:pos="270"/>
              </w:tabs>
              <w:ind w:left="270" w:hanging="270"/>
              <w:rPr>
                <w:rFonts w:cstheme="minorHAnsi"/>
                <w:sz w:val="20"/>
                <w:szCs w:val="20"/>
                <w:lang w:val="es-EC"/>
              </w:rPr>
            </w:pPr>
          </w:p>
        </w:tc>
        <w:tc>
          <w:tcPr>
            <w:tcW w:w="4246" w:type="dxa"/>
            <w:gridSpan w:val="3"/>
            <w:vAlign w:val="center"/>
          </w:tcPr>
          <w:p w14:paraId="2D890FA4" w14:textId="58FFA31C" w:rsidR="00E7102E" w:rsidRPr="00A51E75" w:rsidRDefault="00805A72">
            <w:pPr>
              <w:tabs>
                <w:tab w:val="left" w:pos="270"/>
              </w:tabs>
              <w:rPr>
                <w:rFonts w:cstheme="minorHAnsi"/>
                <w:b/>
                <w:i/>
                <w:sz w:val="20"/>
                <w:szCs w:val="20"/>
                <w:lang w:val="en-US"/>
              </w:rPr>
            </w:pPr>
            <w:r w:rsidRPr="00805A72">
              <w:rPr>
                <w:rFonts w:cstheme="minorHAnsi"/>
                <w:b/>
                <w:bCs/>
                <w:i/>
                <w:iCs/>
                <w:sz w:val="20"/>
                <w:szCs w:val="20"/>
                <w:lang w:val="en-US"/>
              </w:rPr>
              <w:t xml:space="preserve">Principio general: Derechos </w:t>
            </w:r>
            <w:proofErr w:type="spellStart"/>
            <w:r w:rsidRPr="00805A72">
              <w:rPr>
                <w:rFonts w:cstheme="minorHAnsi"/>
                <w:b/>
                <w:bCs/>
                <w:i/>
                <w:iCs/>
                <w:sz w:val="20"/>
                <w:szCs w:val="20"/>
                <w:lang w:val="en-US"/>
              </w:rPr>
              <w:t>humanos</w:t>
            </w:r>
            <w:proofErr w:type="spellEnd"/>
          </w:p>
        </w:tc>
        <w:tc>
          <w:tcPr>
            <w:tcW w:w="704" w:type="dxa"/>
            <w:gridSpan w:val="2"/>
            <w:vAlign w:val="center"/>
          </w:tcPr>
          <w:p w14:paraId="7E29C2AB" w14:textId="77777777" w:rsidR="00E7102E" w:rsidRPr="00A51E75" w:rsidRDefault="00E7102E">
            <w:pPr>
              <w:tabs>
                <w:tab w:val="left" w:pos="360"/>
              </w:tabs>
              <w:rPr>
                <w:rFonts w:cstheme="minorHAnsi"/>
                <w:b/>
                <w:sz w:val="20"/>
                <w:szCs w:val="20"/>
                <w:lang w:val="en-US"/>
              </w:rPr>
            </w:pPr>
            <w:r w:rsidRPr="00A51E75">
              <w:rPr>
                <w:rFonts w:cstheme="minorHAnsi"/>
                <w:b/>
                <w:sz w:val="20"/>
                <w:szCs w:val="20"/>
                <w:lang w:val="en-US"/>
              </w:rPr>
              <w:t>x</w:t>
            </w:r>
          </w:p>
        </w:tc>
        <w:tc>
          <w:tcPr>
            <w:tcW w:w="4747" w:type="dxa"/>
            <w:gridSpan w:val="3"/>
          </w:tcPr>
          <w:p w14:paraId="231E0DE3" w14:textId="10E32F15" w:rsidR="00E7102E" w:rsidRPr="00527B95" w:rsidRDefault="00527B95">
            <w:pPr>
              <w:tabs>
                <w:tab w:val="left" w:pos="360"/>
              </w:tabs>
              <w:jc w:val="both"/>
              <w:rPr>
                <w:rFonts w:cstheme="minorHAnsi"/>
                <w:sz w:val="20"/>
                <w:szCs w:val="20"/>
                <w:lang w:val="es-EC"/>
              </w:rPr>
            </w:pPr>
            <w:r w:rsidRPr="00527B95">
              <w:rPr>
                <w:rFonts w:cstheme="minorHAnsi"/>
                <w:sz w:val="20"/>
                <w:szCs w:val="20"/>
                <w:lang w:val="es-EC"/>
              </w:rPr>
              <w:t xml:space="preserve">El proyecto operará bajo un marco voluntario, respetando los derechos individuales y colectivos de las comunidades de conformidad con el marco jurídico nacional e internacional de derechos humanos. Se establecerán mecanismos para reportar quejas, disputas o </w:t>
            </w:r>
            <w:r w:rsidRPr="00527B95">
              <w:rPr>
                <w:rFonts w:cstheme="minorHAnsi"/>
                <w:sz w:val="20"/>
                <w:szCs w:val="20"/>
                <w:lang w:val="es-EC"/>
              </w:rPr>
              <w:lastRenderedPageBreak/>
              <w:t>hechos que afecten los derechos de las comunidades o de las personas a nivel nacional.</w:t>
            </w:r>
          </w:p>
        </w:tc>
      </w:tr>
      <w:tr w:rsidR="00E7102E" w:rsidRPr="00E168DD" w14:paraId="593D735C" w14:textId="77777777">
        <w:trPr>
          <w:trHeight w:val="260"/>
        </w:trPr>
        <w:tc>
          <w:tcPr>
            <w:tcW w:w="3437" w:type="dxa"/>
            <w:vMerge/>
          </w:tcPr>
          <w:p w14:paraId="632DB510" w14:textId="77777777" w:rsidR="00E7102E" w:rsidRPr="00527B95" w:rsidRDefault="00E7102E">
            <w:pPr>
              <w:tabs>
                <w:tab w:val="left" w:pos="270"/>
              </w:tabs>
              <w:ind w:left="270" w:hanging="270"/>
              <w:rPr>
                <w:rFonts w:cstheme="minorHAnsi"/>
                <w:sz w:val="20"/>
                <w:szCs w:val="20"/>
                <w:lang w:val="es-EC"/>
              </w:rPr>
            </w:pPr>
          </w:p>
        </w:tc>
        <w:tc>
          <w:tcPr>
            <w:tcW w:w="4246" w:type="dxa"/>
            <w:gridSpan w:val="3"/>
            <w:vAlign w:val="center"/>
          </w:tcPr>
          <w:p w14:paraId="6B87FF73" w14:textId="42F7C6F8" w:rsidR="00E7102E" w:rsidRPr="00093E2F" w:rsidRDefault="00093E2F">
            <w:pPr>
              <w:tabs>
                <w:tab w:val="left" w:pos="270"/>
              </w:tabs>
              <w:rPr>
                <w:rFonts w:cstheme="minorHAnsi"/>
                <w:b/>
                <w:bCs/>
                <w:i/>
                <w:iCs/>
                <w:sz w:val="20"/>
                <w:szCs w:val="20"/>
                <w:lang w:val="es-EC"/>
              </w:rPr>
            </w:pPr>
            <w:r w:rsidRPr="00093E2F">
              <w:rPr>
                <w:rFonts w:cstheme="minorHAnsi"/>
                <w:b/>
                <w:bCs/>
                <w:i/>
                <w:iCs/>
                <w:sz w:val="20"/>
                <w:szCs w:val="20"/>
                <w:lang w:val="es-EC"/>
              </w:rPr>
              <w:t>Principio general: Igualdad de género y empoderamiento de las mujeres</w:t>
            </w:r>
          </w:p>
        </w:tc>
        <w:tc>
          <w:tcPr>
            <w:tcW w:w="704" w:type="dxa"/>
            <w:gridSpan w:val="2"/>
            <w:vAlign w:val="center"/>
          </w:tcPr>
          <w:p w14:paraId="5B5FDA68" w14:textId="77777777" w:rsidR="00E7102E" w:rsidRPr="00A51E75" w:rsidRDefault="00E7102E">
            <w:pPr>
              <w:tabs>
                <w:tab w:val="left" w:pos="360"/>
              </w:tabs>
              <w:rPr>
                <w:rFonts w:cstheme="minorHAnsi"/>
                <w:b/>
                <w:sz w:val="20"/>
                <w:szCs w:val="20"/>
                <w:lang w:val="en-US"/>
              </w:rPr>
            </w:pPr>
            <w:r w:rsidRPr="00A51E75">
              <w:rPr>
                <w:rFonts w:cstheme="minorHAnsi"/>
                <w:b/>
                <w:sz w:val="20"/>
                <w:szCs w:val="20"/>
                <w:lang w:val="en-US"/>
              </w:rPr>
              <w:t>x</w:t>
            </w:r>
          </w:p>
        </w:tc>
        <w:tc>
          <w:tcPr>
            <w:tcW w:w="4747" w:type="dxa"/>
            <w:gridSpan w:val="3"/>
          </w:tcPr>
          <w:p w14:paraId="074ABCE6" w14:textId="21D1CB46" w:rsidR="00E7102E" w:rsidRPr="00F53DE9" w:rsidRDefault="00F53DE9">
            <w:pPr>
              <w:tabs>
                <w:tab w:val="left" w:pos="360"/>
              </w:tabs>
              <w:jc w:val="both"/>
              <w:rPr>
                <w:rFonts w:cstheme="minorHAnsi"/>
                <w:sz w:val="20"/>
                <w:szCs w:val="20"/>
                <w:lang w:val="es-EC"/>
              </w:rPr>
            </w:pPr>
            <w:r w:rsidRPr="00F53DE9">
              <w:rPr>
                <w:rFonts w:cstheme="minorHAnsi"/>
                <w:sz w:val="20"/>
                <w:szCs w:val="20"/>
                <w:lang w:val="es-EC"/>
              </w:rPr>
              <w:t>Se utilizará la Caja de Herramientas de Género, creada por el MAE y PROAmazonía. Se llevarán a cabo procesos de capacitación continua a través de plataformas virtuales, como MAEDUCA. Se establecerán criterios de género.</w:t>
            </w:r>
          </w:p>
        </w:tc>
      </w:tr>
      <w:tr w:rsidR="00E7102E" w:rsidRPr="007E49E0" w14:paraId="328A3925" w14:textId="77777777">
        <w:trPr>
          <w:trHeight w:val="278"/>
        </w:trPr>
        <w:tc>
          <w:tcPr>
            <w:tcW w:w="3437" w:type="dxa"/>
            <w:vMerge/>
          </w:tcPr>
          <w:p w14:paraId="257F65EB" w14:textId="77777777" w:rsidR="00E7102E" w:rsidRPr="00A51E75" w:rsidRDefault="00E7102E">
            <w:pPr>
              <w:tabs>
                <w:tab w:val="left" w:pos="270"/>
              </w:tabs>
              <w:ind w:left="270" w:hanging="270"/>
              <w:rPr>
                <w:rFonts w:cstheme="minorHAnsi"/>
                <w:sz w:val="20"/>
                <w:szCs w:val="20"/>
                <w:lang w:val="en-US"/>
              </w:rPr>
            </w:pPr>
          </w:p>
        </w:tc>
        <w:tc>
          <w:tcPr>
            <w:tcW w:w="4246" w:type="dxa"/>
            <w:gridSpan w:val="3"/>
            <w:vAlign w:val="center"/>
          </w:tcPr>
          <w:p w14:paraId="2375A584" w14:textId="7229D5F9" w:rsidR="00E7102E" w:rsidRPr="00F53DE9" w:rsidRDefault="00F53DE9">
            <w:pPr>
              <w:tabs>
                <w:tab w:val="left" w:pos="270"/>
              </w:tabs>
              <w:rPr>
                <w:rFonts w:cstheme="minorHAnsi"/>
                <w:b/>
                <w:bCs/>
                <w:i/>
                <w:iCs/>
                <w:sz w:val="20"/>
                <w:szCs w:val="20"/>
                <w:lang w:val="es-EC"/>
              </w:rPr>
            </w:pPr>
            <w:r w:rsidRPr="00F53DE9">
              <w:rPr>
                <w:rFonts w:cstheme="minorHAnsi"/>
                <w:b/>
                <w:bCs/>
                <w:i/>
                <w:iCs/>
                <w:sz w:val="20"/>
                <w:szCs w:val="20"/>
                <w:lang w:val="es-EC"/>
              </w:rPr>
              <w:t>Principio general: Sostenibilidad y resiliencia</w:t>
            </w:r>
          </w:p>
        </w:tc>
        <w:tc>
          <w:tcPr>
            <w:tcW w:w="704" w:type="dxa"/>
            <w:gridSpan w:val="2"/>
            <w:vAlign w:val="center"/>
          </w:tcPr>
          <w:p w14:paraId="735B74D1" w14:textId="77777777" w:rsidR="00E7102E" w:rsidRPr="00FD148F" w:rsidRDefault="00E7102E">
            <w:pPr>
              <w:tabs>
                <w:tab w:val="left" w:pos="360"/>
              </w:tabs>
              <w:rPr>
                <w:rFonts w:cstheme="minorHAnsi"/>
                <w:b/>
                <w:bCs/>
                <w:sz w:val="20"/>
                <w:szCs w:val="20"/>
                <w:lang w:val="es-EC"/>
              </w:rPr>
            </w:pPr>
          </w:p>
        </w:tc>
        <w:tc>
          <w:tcPr>
            <w:tcW w:w="4747" w:type="dxa"/>
            <w:gridSpan w:val="3"/>
          </w:tcPr>
          <w:p w14:paraId="169D7B27" w14:textId="77777777" w:rsidR="00E7102E" w:rsidRPr="00FD148F" w:rsidRDefault="00E7102E">
            <w:pPr>
              <w:tabs>
                <w:tab w:val="left" w:pos="360"/>
              </w:tabs>
              <w:jc w:val="both"/>
              <w:rPr>
                <w:rFonts w:cstheme="minorHAnsi"/>
                <w:sz w:val="20"/>
                <w:szCs w:val="20"/>
                <w:lang w:val="es-EC"/>
              </w:rPr>
            </w:pPr>
          </w:p>
        </w:tc>
      </w:tr>
      <w:tr w:rsidR="00E7102E" w:rsidRPr="00832B97" w14:paraId="31D77B64" w14:textId="77777777">
        <w:trPr>
          <w:trHeight w:val="278"/>
        </w:trPr>
        <w:tc>
          <w:tcPr>
            <w:tcW w:w="3437" w:type="dxa"/>
            <w:vMerge/>
          </w:tcPr>
          <w:p w14:paraId="7BBF2032" w14:textId="77777777" w:rsidR="00E7102E" w:rsidRPr="00FD148F" w:rsidRDefault="00E7102E">
            <w:pPr>
              <w:tabs>
                <w:tab w:val="left" w:pos="270"/>
              </w:tabs>
              <w:ind w:left="270" w:hanging="270"/>
              <w:rPr>
                <w:rFonts w:cstheme="minorHAnsi"/>
                <w:sz w:val="20"/>
                <w:szCs w:val="20"/>
                <w:lang w:val="es-EC"/>
              </w:rPr>
            </w:pPr>
          </w:p>
        </w:tc>
        <w:tc>
          <w:tcPr>
            <w:tcW w:w="4246" w:type="dxa"/>
            <w:gridSpan w:val="3"/>
            <w:vAlign w:val="center"/>
          </w:tcPr>
          <w:p w14:paraId="6E43239C" w14:textId="24BC1997" w:rsidR="00E7102E" w:rsidRPr="00BB0ADD" w:rsidRDefault="00BB0ADD">
            <w:pPr>
              <w:tabs>
                <w:tab w:val="left" w:pos="270"/>
              </w:tabs>
              <w:rPr>
                <w:rFonts w:cstheme="minorHAnsi"/>
                <w:b/>
                <w:bCs/>
                <w:i/>
                <w:iCs/>
                <w:sz w:val="20"/>
                <w:szCs w:val="20"/>
                <w:lang w:val="es-EC"/>
              </w:rPr>
            </w:pPr>
            <w:r w:rsidRPr="00BB0ADD">
              <w:rPr>
                <w:rFonts w:cstheme="minorHAnsi"/>
                <w:b/>
                <w:bCs/>
                <w:i/>
                <w:iCs/>
                <w:sz w:val="20"/>
                <w:szCs w:val="20"/>
                <w:lang w:val="es-EC"/>
              </w:rPr>
              <w:t>Principio general: Responsabilidad y rendición de cuentas</w:t>
            </w:r>
          </w:p>
        </w:tc>
        <w:tc>
          <w:tcPr>
            <w:tcW w:w="704" w:type="dxa"/>
            <w:gridSpan w:val="2"/>
            <w:vAlign w:val="center"/>
          </w:tcPr>
          <w:p w14:paraId="20BA04D8" w14:textId="77777777" w:rsidR="00E7102E" w:rsidRPr="00A51E75" w:rsidRDefault="00E7102E">
            <w:pPr>
              <w:tabs>
                <w:tab w:val="left" w:pos="360"/>
              </w:tabs>
              <w:rPr>
                <w:rFonts w:cstheme="minorHAnsi"/>
                <w:b/>
                <w:bCs/>
                <w:sz w:val="20"/>
                <w:szCs w:val="20"/>
                <w:lang w:val="en-US"/>
              </w:rPr>
            </w:pPr>
            <w:r w:rsidRPr="00A51E75">
              <w:rPr>
                <w:rFonts w:cstheme="minorHAnsi"/>
                <w:b/>
                <w:bCs/>
                <w:sz w:val="20"/>
                <w:szCs w:val="20"/>
                <w:lang w:val="en-US"/>
              </w:rPr>
              <w:t>x</w:t>
            </w:r>
          </w:p>
        </w:tc>
        <w:tc>
          <w:tcPr>
            <w:tcW w:w="4747" w:type="dxa"/>
            <w:gridSpan w:val="3"/>
          </w:tcPr>
          <w:p w14:paraId="1B589EF9" w14:textId="331EA705" w:rsidR="00E7102E" w:rsidRPr="00832B97" w:rsidRDefault="00832B97">
            <w:pPr>
              <w:tabs>
                <w:tab w:val="left" w:pos="360"/>
              </w:tabs>
              <w:jc w:val="both"/>
              <w:rPr>
                <w:rFonts w:cstheme="minorHAnsi"/>
                <w:sz w:val="20"/>
                <w:szCs w:val="20"/>
                <w:lang w:val="es-EC"/>
              </w:rPr>
            </w:pPr>
            <w:r w:rsidRPr="00832B97">
              <w:rPr>
                <w:rFonts w:cstheme="minorHAnsi"/>
                <w:sz w:val="20"/>
                <w:szCs w:val="20"/>
                <w:lang w:val="es-EC"/>
              </w:rPr>
              <w:t>Se crearán espacios de rendición de cuentas presenciales y virtuales para mantener informados y comprometidos a los socios locales, beneficiarios y a la comunidad en general con el proyecto. Se aprovecharán los espacios de participación previos y actuales dentro del marco de REDD+, como el Grupo de Trabajo REDD+, el Grupo Chacra, la Mesa Técnica de Articulación Provincial de Planificación de Pastaza (MTAPPP), el Centro de Gobernanza (STCTEA), el Consejo Consultivo de Pueblos y Nacionalidades de Pastaza, entre otros.</w:t>
            </w:r>
          </w:p>
        </w:tc>
      </w:tr>
      <w:tr w:rsidR="00E7102E" w:rsidRPr="001154DC" w14:paraId="48197078" w14:textId="77777777">
        <w:trPr>
          <w:trHeight w:val="360"/>
        </w:trPr>
        <w:tc>
          <w:tcPr>
            <w:tcW w:w="3437" w:type="dxa"/>
            <w:vMerge/>
          </w:tcPr>
          <w:p w14:paraId="32A5895D" w14:textId="77777777" w:rsidR="00E7102E" w:rsidRPr="00832B97" w:rsidRDefault="00E7102E">
            <w:pPr>
              <w:tabs>
                <w:tab w:val="left" w:pos="270"/>
              </w:tabs>
              <w:ind w:left="270" w:hanging="270"/>
              <w:rPr>
                <w:rFonts w:cstheme="minorHAnsi"/>
                <w:sz w:val="20"/>
                <w:szCs w:val="20"/>
                <w:lang w:val="es-EC"/>
              </w:rPr>
            </w:pPr>
          </w:p>
        </w:tc>
        <w:tc>
          <w:tcPr>
            <w:tcW w:w="4246" w:type="dxa"/>
            <w:gridSpan w:val="3"/>
            <w:vAlign w:val="center"/>
          </w:tcPr>
          <w:p w14:paraId="13938D0E" w14:textId="77D289D1" w:rsidR="00E7102E" w:rsidRPr="001154DC" w:rsidRDefault="00E7102E" w:rsidP="001154DC">
            <w:pPr>
              <w:tabs>
                <w:tab w:val="left" w:pos="270"/>
              </w:tabs>
              <w:ind w:left="270" w:hanging="270"/>
              <w:rPr>
                <w:rFonts w:cstheme="minorHAnsi"/>
                <w:b/>
                <w:bCs/>
                <w:i/>
                <w:iCs/>
                <w:sz w:val="20"/>
                <w:szCs w:val="20"/>
                <w:lang w:val="es-EC"/>
              </w:rPr>
            </w:pPr>
            <w:r w:rsidRPr="00832B97">
              <w:rPr>
                <w:rFonts w:cstheme="minorHAnsi"/>
                <w:b/>
                <w:bCs/>
                <w:i/>
                <w:iCs/>
                <w:sz w:val="20"/>
                <w:szCs w:val="20"/>
                <w:lang w:val="es-EC"/>
              </w:rPr>
              <w:t xml:space="preserve"> </w:t>
            </w:r>
            <w:r w:rsidR="00090E0E" w:rsidRPr="00090E0E">
              <w:rPr>
                <w:rFonts w:cstheme="minorHAnsi"/>
                <w:b/>
                <w:bCs/>
                <w:i/>
                <w:iCs/>
                <w:sz w:val="20"/>
                <w:szCs w:val="20"/>
                <w:lang w:val="es-EC"/>
              </w:rPr>
              <w:t>Estándar 1. Conservación de la biodiversidad y gestión sostenible de los recursos naturales</w:t>
            </w:r>
          </w:p>
        </w:tc>
        <w:tc>
          <w:tcPr>
            <w:tcW w:w="704" w:type="dxa"/>
            <w:gridSpan w:val="2"/>
            <w:vAlign w:val="center"/>
          </w:tcPr>
          <w:p w14:paraId="1E970484" w14:textId="77777777" w:rsidR="00E7102E" w:rsidRPr="00A51E75" w:rsidRDefault="00E7102E">
            <w:pPr>
              <w:tabs>
                <w:tab w:val="left" w:pos="360"/>
              </w:tabs>
              <w:rPr>
                <w:rFonts w:cstheme="minorHAnsi"/>
                <w:sz w:val="20"/>
                <w:szCs w:val="20"/>
                <w:lang w:val="en-US"/>
              </w:rPr>
            </w:pPr>
            <w:r w:rsidRPr="00A51E75">
              <w:rPr>
                <w:rFonts w:cstheme="minorHAnsi"/>
                <w:b/>
                <w:bCs/>
                <w:sz w:val="20"/>
                <w:szCs w:val="20"/>
                <w:lang w:val="en-US"/>
              </w:rPr>
              <w:t>x</w:t>
            </w:r>
          </w:p>
        </w:tc>
        <w:tc>
          <w:tcPr>
            <w:tcW w:w="4747" w:type="dxa"/>
            <w:gridSpan w:val="3"/>
          </w:tcPr>
          <w:p w14:paraId="2294F8CC" w14:textId="1520274B" w:rsidR="00E7102E" w:rsidRPr="001154DC" w:rsidRDefault="001154DC">
            <w:pPr>
              <w:tabs>
                <w:tab w:val="left" w:pos="360"/>
              </w:tabs>
              <w:jc w:val="both"/>
              <w:rPr>
                <w:rFonts w:cstheme="minorHAnsi"/>
                <w:sz w:val="20"/>
                <w:szCs w:val="20"/>
                <w:lang w:val="es-EC"/>
              </w:rPr>
            </w:pPr>
            <w:r w:rsidRPr="001154DC">
              <w:rPr>
                <w:rFonts w:cstheme="minorHAnsi"/>
                <w:sz w:val="20"/>
                <w:szCs w:val="20"/>
                <w:lang w:val="es-EC"/>
              </w:rPr>
              <w:t>El proyecto trabajará en ecosistemas con altos niveles de biodiversidad y en la conservación de zonas de recarga hídrica. Esta labor se llevará a cabo mediante planes de gestión adecuados, procesos sostenidos de monitoreo y métodos oportunos de verificación. Las acciones se coordinarán con socios locales, como universidades y comunidades, para fortalecer las unidades de investigación y el monitoreo comunitario, basándose en experiencias previas con organizaciones como la FAO.</w:t>
            </w:r>
          </w:p>
        </w:tc>
      </w:tr>
      <w:tr w:rsidR="00E7102E" w:rsidRPr="00044E1E" w14:paraId="342F9D5F" w14:textId="77777777">
        <w:trPr>
          <w:trHeight w:val="350"/>
        </w:trPr>
        <w:tc>
          <w:tcPr>
            <w:tcW w:w="3437" w:type="dxa"/>
            <w:vMerge/>
          </w:tcPr>
          <w:p w14:paraId="12FC7494" w14:textId="77777777" w:rsidR="00E7102E" w:rsidRPr="001154DC" w:rsidRDefault="00E7102E">
            <w:pPr>
              <w:tabs>
                <w:tab w:val="left" w:pos="270"/>
              </w:tabs>
              <w:ind w:left="270" w:hanging="270"/>
              <w:rPr>
                <w:rFonts w:cstheme="minorHAnsi"/>
                <w:sz w:val="20"/>
                <w:szCs w:val="20"/>
                <w:lang w:val="es-EC"/>
              </w:rPr>
            </w:pPr>
          </w:p>
        </w:tc>
        <w:tc>
          <w:tcPr>
            <w:tcW w:w="4246" w:type="dxa"/>
            <w:gridSpan w:val="3"/>
            <w:vAlign w:val="center"/>
          </w:tcPr>
          <w:p w14:paraId="7A110217" w14:textId="6A4A126E" w:rsidR="00E7102E" w:rsidRPr="00044E1E" w:rsidRDefault="00044E1E" w:rsidP="00044E1E">
            <w:pPr>
              <w:tabs>
                <w:tab w:val="left" w:pos="270"/>
              </w:tabs>
              <w:ind w:left="270" w:hanging="270"/>
              <w:rPr>
                <w:rFonts w:cstheme="minorHAnsi"/>
                <w:b/>
                <w:bCs/>
                <w:i/>
                <w:iCs/>
                <w:sz w:val="20"/>
                <w:szCs w:val="20"/>
                <w:lang w:val="es-EC"/>
              </w:rPr>
            </w:pPr>
            <w:r w:rsidRPr="00044E1E">
              <w:rPr>
                <w:rFonts w:cstheme="minorHAnsi"/>
                <w:b/>
                <w:bCs/>
                <w:i/>
                <w:iCs/>
                <w:sz w:val="20"/>
                <w:szCs w:val="20"/>
                <w:lang w:val="es-EC"/>
              </w:rPr>
              <w:t>Estándar 2. Cambio climático y riesgo de desastres</w:t>
            </w:r>
          </w:p>
        </w:tc>
        <w:tc>
          <w:tcPr>
            <w:tcW w:w="704" w:type="dxa"/>
            <w:gridSpan w:val="2"/>
            <w:vAlign w:val="center"/>
          </w:tcPr>
          <w:p w14:paraId="798A32A0" w14:textId="77777777" w:rsidR="00E7102E" w:rsidRPr="00A51E75" w:rsidRDefault="00E7102E">
            <w:pPr>
              <w:tabs>
                <w:tab w:val="left" w:pos="360"/>
              </w:tabs>
              <w:rPr>
                <w:rFonts w:cstheme="minorHAnsi"/>
                <w:b/>
                <w:bCs/>
                <w:sz w:val="20"/>
                <w:szCs w:val="20"/>
                <w:lang w:val="en-US"/>
              </w:rPr>
            </w:pPr>
            <w:r w:rsidRPr="00A51E75">
              <w:rPr>
                <w:rFonts w:cstheme="minorHAnsi"/>
                <w:b/>
                <w:bCs/>
                <w:sz w:val="20"/>
                <w:szCs w:val="20"/>
                <w:lang w:val="en-US"/>
              </w:rPr>
              <w:t>x</w:t>
            </w:r>
          </w:p>
        </w:tc>
        <w:tc>
          <w:tcPr>
            <w:tcW w:w="4747" w:type="dxa"/>
            <w:gridSpan w:val="3"/>
          </w:tcPr>
          <w:p w14:paraId="45C51125" w14:textId="14ADB833" w:rsidR="00E7102E" w:rsidRPr="00044E1E" w:rsidRDefault="00044E1E">
            <w:pPr>
              <w:tabs>
                <w:tab w:val="left" w:pos="360"/>
              </w:tabs>
              <w:jc w:val="both"/>
              <w:rPr>
                <w:rFonts w:cstheme="minorHAnsi"/>
                <w:sz w:val="20"/>
                <w:szCs w:val="20"/>
                <w:lang w:val="es-EC"/>
              </w:rPr>
            </w:pPr>
            <w:r w:rsidRPr="00044E1E">
              <w:rPr>
                <w:rFonts w:cstheme="minorHAnsi"/>
                <w:sz w:val="20"/>
                <w:szCs w:val="20"/>
                <w:lang w:val="es-EC"/>
              </w:rPr>
              <w:t>La cuenca del río Napo enfrenta riesgos potenciales asociados con altos volúmenes de precipitación que podrían causar inundaciones en algunas áreas. La preparación del proyecto considerará estos escenarios y consultará la información del MAE para identificar las zonas vulnerables a dichos eventos y desarrollar estrategias de adaptación en consecuencia.</w:t>
            </w:r>
          </w:p>
        </w:tc>
      </w:tr>
      <w:tr w:rsidR="00E7102E" w:rsidRPr="0044505D" w14:paraId="2CE1EFD1" w14:textId="77777777">
        <w:trPr>
          <w:trHeight w:val="332"/>
        </w:trPr>
        <w:tc>
          <w:tcPr>
            <w:tcW w:w="3437" w:type="dxa"/>
            <w:vMerge/>
          </w:tcPr>
          <w:p w14:paraId="21B512B1" w14:textId="77777777" w:rsidR="00E7102E" w:rsidRPr="00044E1E" w:rsidRDefault="00E7102E">
            <w:pPr>
              <w:tabs>
                <w:tab w:val="left" w:pos="270"/>
              </w:tabs>
              <w:ind w:left="270" w:hanging="270"/>
              <w:rPr>
                <w:rFonts w:cstheme="minorHAnsi"/>
                <w:sz w:val="20"/>
                <w:szCs w:val="20"/>
                <w:lang w:val="es-EC"/>
              </w:rPr>
            </w:pPr>
          </w:p>
        </w:tc>
        <w:tc>
          <w:tcPr>
            <w:tcW w:w="4246" w:type="dxa"/>
            <w:gridSpan w:val="3"/>
            <w:vAlign w:val="center"/>
          </w:tcPr>
          <w:p w14:paraId="71578D38" w14:textId="77777777" w:rsidR="00D82207" w:rsidRPr="00D82207" w:rsidRDefault="00D82207" w:rsidP="00D82207">
            <w:pPr>
              <w:tabs>
                <w:tab w:val="left" w:pos="270"/>
              </w:tabs>
              <w:ind w:left="270" w:hanging="270"/>
              <w:rPr>
                <w:rFonts w:cstheme="minorHAnsi"/>
                <w:b/>
                <w:bCs/>
                <w:i/>
                <w:iCs/>
                <w:sz w:val="20"/>
                <w:szCs w:val="20"/>
                <w:lang w:val="es-EC"/>
              </w:rPr>
            </w:pPr>
            <w:r w:rsidRPr="00D82207">
              <w:rPr>
                <w:rFonts w:cstheme="minorHAnsi"/>
                <w:b/>
                <w:bCs/>
                <w:i/>
                <w:iCs/>
                <w:sz w:val="20"/>
                <w:szCs w:val="20"/>
                <w:lang w:val="es-EC"/>
              </w:rPr>
              <w:t>Estándar 3. Salud, seguridad y protección comunitaria</w:t>
            </w:r>
          </w:p>
          <w:p w14:paraId="3A9AC739" w14:textId="7D3B91DC" w:rsidR="00E7102E" w:rsidRPr="00D82207" w:rsidRDefault="00E7102E" w:rsidP="00D82207">
            <w:pPr>
              <w:tabs>
                <w:tab w:val="left" w:pos="270"/>
              </w:tabs>
              <w:rPr>
                <w:rFonts w:cstheme="minorHAnsi"/>
                <w:b/>
                <w:i/>
                <w:sz w:val="20"/>
                <w:szCs w:val="20"/>
                <w:lang w:val="es-EC"/>
              </w:rPr>
            </w:pPr>
          </w:p>
        </w:tc>
        <w:tc>
          <w:tcPr>
            <w:tcW w:w="704" w:type="dxa"/>
            <w:gridSpan w:val="2"/>
            <w:vAlign w:val="center"/>
          </w:tcPr>
          <w:p w14:paraId="5ED9B504" w14:textId="77777777" w:rsidR="00E7102E" w:rsidRPr="00A51E75" w:rsidRDefault="00E7102E">
            <w:pPr>
              <w:tabs>
                <w:tab w:val="left" w:pos="360"/>
              </w:tabs>
              <w:rPr>
                <w:rFonts w:cstheme="minorHAnsi"/>
                <w:b/>
                <w:sz w:val="20"/>
                <w:szCs w:val="20"/>
                <w:lang w:val="en-US"/>
              </w:rPr>
            </w:pPr>
            <w:r w:rsidRPr="00A51E75">
              <w:rPr>
                <w:rFonts w:cstheme="minorHAnsi"/>
                <w:b/>
                <w:sz w:val="20"/>
                <w:szCs w:val="20"/>
                <w:lang w:val="en-US"/>
              </w:rPr>
              <w:t>x</w:t>
            </w:r>
          </w:p>
        </w:tc>
        <w:tc>
          <w:tcPr>
            <w:tcW w:w="4747" w:type="dxa"/>
            <w:gridSpan w:val="3"/>
          </w:tcPr>
          <w:p w14:paraId="61023617" w14:textId="1457AF9F" w:rsidR="00E7102E" w:rsidRPr="0044505D" w:rsidRDefault="00D82207">
            <w:pPr>
              <w:tabs>
                <w:tab w:val="left" w:pos="360"/>
              </w:tabs>
              <w:jc w:val="both"/>
              <w:rPr>
                <w:rFonts w:cstheme="minorHAnsi"/>
                <w:sz w:val="20"/>
                <w:szCs w:val="20"/>
                <w:lang w:val="es-EC"/>
              </w:rPr>
            </w:pPr>
            <w:r w:rsidRPr="00D82207">
              <w:rPr>
                <w:rFonts w:cstheme="minorHAnsi"/>
                <w:sz w:val="20"/>
                <w:szCs w:val="20"/>
              </w:rPr>
              <w:t>Para mitigar los impactos sobre los ecosistemas y la salud de las comunidades, es fundamental adoptar una gestión ambiental integral que conserve los ecosistemas estratégicos, promueva medios de vida sostenibles, alinee el uso de la tierra con la conservación de los servicios ecosistémicos y fortalezca la gobernanza participativa y la resiliencia territorial.</w:t>
            </w:r>
          </w:p>
        </w:tc>
      </w:tr>
      <w:tr w:rsidR="00E7102E" w:rsidRPr="00430CEA" w14:paraId="68701746" w14:textId="77777777">
        <w:trPr>
          <w:trHeight w:val="242"/>
        </w:trPr>
        <w:tc>
          <w:tcPr>
            <w:tcW w:w="3437" w:type="dxa"/>
            <w:vMerge/>
          </w:tcPr>
          <w:p w14:paraId="72B9E822" w14:textId="77777777" w:rsidR="00E7102E" w:rsidRPr="0044505D" w:rsidRDefault="00E7102E">
            <w:pPr>
              <w:tabs>
                <w:tab w:val="left" w:pos="270"/>
              </w:tabs>
              <w:ind w:left="270" w:hanging="270"/>
              <w:rPr>
                <w:rFonts w:cstheme="minorHAnsi"/>
                <w:sz w:val="20"/>
                <w:szCs w:val="20"/>
                <w:lang w:val="es-EC"/>
              </w:rPr>
            </w:pPr>
          </w:p>
        </w:tc>
        <w:tc>
          <w:tcPr>
            <w:tcW w:w="4246" w:type="dxa"/>
            <w:gridSpan w:val="3"/>
            <w:vAlign w:val="center"/>
          </w:tcPr>
          <w:p w14:paraId="5EA6CADE" w14:textId="3BF4416C" w:rsidR="00430CEA" w:rsidRPr="00430CEA" w:rsidRDefault="00430CEA" w:rsidP="00430CEA">
            <w:pPr>
              <w:tabs>
                <w:tab w:val="left" w:pos="270"/>
              </w:tabs>
              <w:ind w:left="270" w:hanging="270"/>
              <w:rPr>
                <w:rFonts w:cstheme="minorHAnsi"/>
                <w:b/>
                <w:bCs/>
                <w:i/>
                <w:iCs/>
                <w:sz w:val="20"/>
                <w:szCs w:val="20"/>
                <w:lang w:val="es-EC"/>
              </w:rPr>
            </w:pPr>
            <w:r w:rsidRPr="00430CEA">
              <w:rPr>
                <w:rFonts w:cstheme="minorHAnsi"/>
                <w:b/>
                <w:bCs/>
                <w:i/>
                <w:iCs/>
                <w:sz w:val="20"/>
                <w:szCs w:val="20"/>
                <w:lang w:val="es-EC"/>
              </w:rPr>
              <w:t>Estándar 4. Patrimonio cultural</w:t>
            </w:r>
          </w:p>
          <w:p w14:paraId="610B5DEE" w14:textId="3FC1837C" w:rsidR="00E7102E" w:rsidRPr="00A51E75" w:rsidRDefault="00E7102E">
            <w:pPr>
              <w:tabs>
                <w:tab w:val="left" w:pos="270"/>
              </w:tabs>
              <w:ind w:left="270" w:hanging="270"/>
              <w:rPr>
                <w:rFonts w:cstheme="minorHAnsi"/>
                <w:b/>
                <w:i/>
                <w:sz w:val="20"/>
                <w:szCs w:val="20"/>
                <w:lang w:val="en-US"/>
              </w:rPr>
            </w:pPr>
          </w:p>
        </w:tc>
        <w:tc>
          <w:tcPr>
            <w:tcW w:w="704" w:type="dxa"/>
            <w:gridSpan w:val="2"/>
            <w:vAlign w:val="center"/>
          </w:tcPr>
          <w:p w14:paraId="0C1F5DCA" w14:textId="77777777" w:rsidR="00E7102E" w:rsidRPr="00A51E75" w:rsidRDefault="00E7102E">
            <w:pPr>
              <w:tabs>
                <w:tab w:val="left" w:pos="360"/>
              </w:tabs>
              <w:rPr>
                <w:rFonts w:cstheme="minorHAnsi"/>
                <w:b/>
                <w:bCs/>
                <w:sz w:val="20"/>
                <w:szCs w:val="20"/>
                <w:lang w:val="en-US"/>
              </w:rPr>
            </w:pPr>
            <w:r w:rsidRPr="00A51E75">
              <w:rPr>
                <w:rFonts w:cstheme="minorHAnsi"/>
                <w:b/>
                <w:bCs/>
                <w:sz w:val="20"/>
                <w:szCs w:val="20"/>
                <w:lang w:val="en-US"/>
              </w:rPr>
              <w:t>x</w:t>
            </w:r>
          </w:p>
        </w:tc>
        <w:tc>
          <w:tcPr>
            <w:tcW w:w="4747" w:type="dxa"/>
            <w:gridSpan w:val="3"/>
          </w:tcPr>
          <w:p w14:paraId="2A5DB832" w14:textId="6995B3D1" w:rsidR="00E7102E" w:rsidRPr="00430CEA" w:rsidRDefault="00430CEA">
            <w:pPr>
              <w:tabs>
                <w:tab w:val="left" w:pos="360"/>
              </w:tabs>
              <w:jc w:val="both"/>
              <w:rPr>
                <w:rFonts w:cstheme="minorHAnsi"/>
                <w:sz w:val="20"/>
                <w:szCs w:val="20"/>
              </w:rPr>
            </w:pPr>
            <w:r w:rsidRPr="00430CEA">
              <w:rPr>
                <w:rFonts w:cstheme="minorHAnsi"/>
                <w:sz w:val="20"/>
                <w:szCs w:val="20"/>
              </w:rPr>
              <w:t>El proyecto trabajará con los pueblos indígenas para fortalecer el patrimonio cultural inmaterial de las comunidades, que podría incluir los conocimientos ancestrales. Es necesario proteger el patrimonio cultural inmaterial de las comunidades y obtener su consentimiento previo para cualquier acción que se realice en sus territorios.</w:t>
            </w:r>
          </w:p>
        </w:tc>
      </w:tr>
      <w:tr w:rsidR="00E7102E" w:rsidRPr="003D65CA" w14:paraId="7E54E2CD" w14:textId="77777777">
        <w:trPr>
          <w:trHeight w:val="360"/>
        </w:trPr>
        <w:tc>
          <w:tcPr>
            <w:tcW w:w="3437" w:type="dxa"/>
            <w:vMerge/>
          </w:tcPr>
          <w:p w14:paraId="2F39D2B7" w14:textId="77777777" w:rsidR="00E7102E" w:rsidRPr="00430CEA" w:rsidRDefault="00E7102E">
            <w:pPr>
              <w:tabs>
                <w:tab w:val="left" w:pos="270"/>
              </w:tabs>
              <w:ind w:left="270" w:hanging="270"/>
              <w:rPr>
                <w:rFonts w:cstheme="minorHAnsi"/>
                <w:sz w:val="20"/>
                <w:szCs w:val="20"/>
                <w:lang w:val="es-EC"/>
              </w:rPr>
            </w:pPr>
          </w:p>
        </w:tc>
        <w:tc>
          <w:tcPr>
            <w:tcW w:w="4246" w:type="dxa"/>
            <w:gridSpan w:val="3"/>
            <w:vAlign w:val="center"/>
          </w:tcPr>
          <w:p w14:paraId="58557ABD" w14:textId="29F375B2" w:rsidR="00E7102E" w:rsidRPr="00A51E75" w:rsidRDefault="00534B1C">
            <w:pPr>
              <w:tabs>
                <w:tab w:val="left" w:pos="270"/>
              </w:tabs>
              <w:ind w:left="270" w:hanging="270"/>
              <w:rPr>
                <w:rFonts w:cstheme="minorHAnsi"/>
                <w:b/>
                <w:i/>
                <w:sz w:val="20"/>
                <w:szCs w:val="20"/>
                <w:lang w:val="en-US"/>
              </w:rPr>
            </w:pPr>
            <w:proofErr w:type="spellStart"/>
            <w:r>
              <w:rPr>
                <w:rFonts w:cstheme="minorHAnsi"/>
                <w:b/>
                <w:bCs/>
                <w:i/>
                <w:iCs/>
                <w:sz w:val="20"/>
                <w:szCs w:val="20"/>
                <w:lang w:val="en-US"/>
              </w:rPr>
              <w:t>Es</w:t>
            </w:r>
            <w:r w:rsidR="00E7102E" w:rsidRPr="00A51E75">
              <w:rPr>
                <w:rFonts w:cstheme="minorHAnsi"/>
                <w:b/>
                <w:bCs/>
                <w:i/>
                <w:iCs/>
                <w:sz w:val="20"/>
                <w:szCs w:val="20"/>
                <w:lang w:val="en-US"/>
              </w:rPr>
              <w:t>t</w:t>
            </w:r>
            <w:r w:rsidR="005B47BC">
              <w:rPr>
                <w:rFonts w:cstheme="minorHAnsi"/>
                <w:b/>
                <w:bCs/>
                <w:i/>
                <w:iCs/>
                <w:sz w:val="20"/>
                <w:szCs w:val="20"/>
                <w:lang w:val="en-US"/>
              </w:rPr>
              <w:t>á</w:t>
            </w:r>
            <w:r w:rsidR="00E7102E" w:rsidRPr="00A51E75">
              <w:rPr>
                <w:rFonts w:cstheme="minorHAnsi"/>
                <w:b/>
                <w:bCs/>
                <w:i/>
                <w:iCs/>
                <w:sz w:val="20"/>
                <w:szCs w:val="20"/>
                <w:lang w:val="en-US"/>
              </w:rPr>
              <w:t>ndar</w:t>
            </w:r>
            <w:proofErr w:type="spellEnd"/>
            <w:r w:rsidR="00E7102E" w:rsidRPr="00A51E75">
              <w:rPr>
                <w:rFonts w:cstheme="minorHAnsi"/>
                <w:b/>
                <w:bCs/>
                <w:i/>
                <w:iCs/>
                <w:sz w:val="20"/>
                <w:szCs w:val="20"/>
                <w:lang w:val="en-US"/>
              </w:rPr>
              <w:t xml:space="preserve"> 5. </w:t>
            </w:r>
            <w:proofErr w:type="spellStart"/>
            <w:r w:rsidRPr="00534B1C">
              <w:rPr>
                <w:rFonts w:cstheme="minorHAnsi"/>
                <w:b/>
                <w:bCs/>
                <w:i/>
                <w:iCs/>
                <w:sz w:val="20"/>
                <w:szCs w:val="20"/>
                <w:lang w:val="en-US"/>
              </w:rPr>
              <w:t>Desplazamiento</w:t>
            </w:r>
            <w:proofErr w:type="spellEnd"/>
            <w:r w:rsidRPr="00534B1C">
              <w:rPr>
                <w:rFonts w:cstheme="minorHAnsi"/>
                <w:b/>
                <w:bCs/>
                <w:i/>
                <w:iCs/>
                <w:sz w:val="20"/>
                <w:szCs w:val="20"/>
                <w:lang w:val="en-US"/>
              </w:rPr>
              <w:t xml:space="preserve"> y </w:t>
            </w:r>
            <w:proofErr w:type="spellStart"/>
            <w:r w:rsidRPr="00534B1C">
              <w:rPr>
                <w:rFonts w:cstheme="minorHAnsi"/>
                <w:b/>
                <w:bCs/>
                <w:i/>
                <w:iCs/>
                <w:sz w:val="20"/>
                <w:szCs w:val="20"/>
                <w:lang w:val="en-US"/>
              </w:rPr>
              <w:t>reasentamiento</w:t>
            </w:r>
            <w:proofErr w:type="spellEnd"/>
          </w:p>
        </w:tc>
        <w:tc>
          <w:tcPr>
            <w:tcW w:w="704" w:type="dxa"/>
            <w:gridSpan w:val="2"/>
            <w:vAlign w:val="center"/>
          </w:tcPr>
          <w:p w14:paraId="625290B4" w14:textId="77777777" w:rsidR="00E7102E" w:rsidRPr="00A51E75" w:rsidRDefault="00E7102E">
            <w:pPr>
              <w:tabs>
                <w:tab w:val="left" w:pos="360"/>
              </w:tabs>
              <w:rPr>
                <w:rFonts w:cstheme="minorHAnsi"/>
                <w:sz w:val="20"/>
                <w:szCs w:val="20"/>
                <w:lang w:val="en-US"/>
              </w:rPr>
            </w:pPr>
            <w:r w:rsidRPr="00A51E75">
              <w:rPr>
                <w:rFonts w:cstheme="minorHAnsi"/>
                <w:b/>
                <w:bCs/>
                <w:sz w:val="20"/>
                <w:szCs w:val="20"/>
                <w:lang w:val="en-US"/>
              </w:rPr>
              <w:t>x</w:t>
            </w:r>
          </w:p>
        </w:tc>
        <w:tc>
          <w:tcPr>
            <w:tcW w:w="4747" w:type="dxa"/>
            <w:gridSpan w:val="3"/>
          </w:tcPr>
          <w:p w14:paraId="148646C0" w14:textId="20E0830D" w:rsidR="00E7102E" w:rsidRPr="003D65CA" w:rsidRDefault="00ED0528">
            <w:pPr>
              <w:tabs>
                <w:tab w:val="left" w:pos="360"/>
              </w:tabs>
              <w:jc w:val="both"/>
              <w:rPr>
                <w:rFonts w:cstheme="minorHAnsi"/>
                <w:sz w:val="20"/>
                <w:szCs w:val="20"/>
                <w:lang w:val="es-EC"/>
              </w:rPr>
            </w:pPr>
            <w:r w:rsidRPr="00ED0528">
              <w:rPr>
                <w:rFonts w:cstheme="minorHAnsi"/>
                <w:sz w:val="20"/>
                <w:szCs w:val="20"/>
              </w:rPr>
              <w:t>El proyecto no generará desplazamiento físico. Existe un riesgo moderado de desplazamiento económico que podrían enfrentar las actividades de MFS, lo que genera un costo de oportunidad para los productores y las comunidades locales. Por ello, todo el trabajo se realizará bajo esquemas de participación voluntaria, con las personas y comunidades ya involucradas en los procesos de producción en curso. Se crearán negocios y planes de gestión para contribuir a mejorar las condiciones de los productores y las comunidades, así como a la conservación de sus recursos.</w:t>
            </w:r>
          </w:p>
        </w:tc>
      </w:tr>
      <w:tr w:rsidR="00E7102E" w:rsidRPr="00243EC9" w14:paraId="62F1422A" w14:textId="77777777">
        <w:trPr>
          <w:trHeight w:val="360"/>
        </w:trPr>
        <w:tc>
          <w:tcPr>
            <w:tcW w:w="3437" w:type="dxa"/>
            <w:vMerge/>
          </w:tcPr>
          <w:p w14:paraId="198DD560" w14:textId="77777777" w:rsidR="00E7102E" w:rsidRPr="003D65CA" w:rsidRDefault="00E7102E">
            <w:pPr>
              <w:tabs>
                <w:tab w:val="left" w:pos="270"/>
              </w:tabs>
              <w:ind w:left="270" w:hanging="270"/>
              <w:rPr>
                <w:rFonts w:cstheme="minorHAnsi"/>
                <w:sz w:val="20"/>
                <w:szCs w:val="20"/>
                <w:lang w:val="es-EC"/>
              </w:rPr>
            </w:pPr>
          </w:p>
        </w:tc>
        <w:tc>
          <w:tcPr>
            <w:tcW w:w="4246" w:type="dxa"/>
            <w:gridSpan w:val="3"/>
            <w:vAlign w:val="center"/>
          </w:tcPr>
          <w:p w14:paraId="713F83F0" w14:textId="07387EE7" w:rsidR="00E7102E" w:rsidRPr="00A51E75" w:rsidRDefault="003D65CA">
            <w:pPr>
              <w:tabs>
                <w:tab w:val="left" w:pos="270"/>
              </w:tabs>
              <w:ind w:left="270" w:hanging="270"/>
              <w:rPr>
                <w:rFonts w:cstheme="minorHAnsi"/>
                <w:b/>
                <w:i/>
                <w:sz w:val="20"/>
                <w:szCs w:val="20"/>
                <w:lang w:val="en-US"/>
              </w:rPr>
            </w:pPr>
            <w:proofErr w:type="spellStart"/>
            <w:r>
              <w:rPr>
                <w:rFonts w:cstheme="minorHAnsi"/>
                <w:b/>
                <w:bCs/>
                <w:i/>
                <w:iCs/>
                <w:sz w:val="20"/>
                <w:szCs w:val="20"/>
                <w:lang w:val="en-US"/>
              </w:rPr>
              <w:t>Es</w:t>
            </w:r>
            <w:r w:rsidR="00E7102E" w:rsidRPr="00A51E75">
              <w:rPr>
                <w:rFonts w:cstheme="minorHAnsi"/>
                <w:b/>
                <w:bCs/>
                <w:i/>
                <w:iCs/>
                <w:sz w:val="20"/>
                <w:szCs w:val="20"/>
                <w:lang w:val="en-US"/>
              </w:rPr>
              <w:t>t</w:t>
            </w:r>
            <w:r w:rsidR="005B47BC">
              <w:rPr>
                <w:rFonts w:cstheme="minorHAnsi"/>
                <w:b/>
                <w:bCs/>
                <w:i/>
                <w:iCs/>
                <w:sz w:val="20"/>
                <w:szCs w:val="20"/>
                <w:lang w:val="en-US"/>
              </w:rPr>
              <w:t>á</w:t>
            </w:r>
            <w:r w:rsidR="00E7102E" w:rsidRPr="00A51E75">
              <w:rPr>
                <w:rFonts w:cstheme="minorHAnsi"/>
                <w:b/>
                <w:bCs/>
                <w:i/>
                <w:iCs/>
                <w:sz w:val="20"/>
                <w:szCs w:val="20"/>
                <w:lang w:val="en-US"/>
              </w:rPr>
              <w:t>ndar</w:t>
            </w:r>
            <w:proofErr w:type="spellEnd"/>
            <w:r w:rsidR="00E7102E" w:rsidRPr="00A51E75">
              <w:rPr>
                <w:rFonts w:cstheme="minorHAnsi"/>
                <w:b/>
                <w:bCs/>
                <w:i/>
                <w:iCs/>
                <w:sz w:val="20"/>
                <w:szCs w:val="20"/>
                <w:lang w:val="en-US"/>
              </w:rPr>
              <w:t xml:space="preserve"> 6</w:t>
            </w:r>
            <w:r>
              <w:rPr>
                <w:rFonts w:cstheme="minorHAnsi"/>
                <w:b/>
                <w:bCs/>
                <w:i/>
                <w:iCs/>
                <w:sz w:val="20"/>
                <w:szCs w:val="20"/>
                <w:lang w:val="en-US"/>
              </w:rPr>
              <w:t xml:space="preserve">. Pueblos </w:t>
            </w:r>
            <w:proofErr w:type="spellStart"/>
            <w:r>
              <w:rPr>
                <w:rFonts w:cstheme="minorHAnsi"/>
                <w:b/>
                <w:bCs/>
                <w:i/>
                <w:iCs/>
                <w:sz w:val="20"/>
                <w:szCs w:val="20"/>
                <w:lang w:val="en-US"/>
              </w:rPr>
              <w:t>Indígenas</w:t>
            </w:r>
            <w:proofErr w:type="spellEnd"/>
          </w:p>
        </w:tc>
        <w:tc>
          <w:tcPr>
            <w:tcW w:w="704" w:type="dxa"/>
            <w:gridSpan w:val="2"/>
            <w:vAlign w:val="center"/>
          </w:tcPr>
          <w:p w14:paraId="2CB573A4" w14:textId="77777777" w:rsidR="00E7102E" w:rsidRPr="00A51E75" w:rsidRDefault="00E7102E">
            <w:pPr>
              <w:tabs>
                <w:tab w:val="left" w:pos="360"/>
              </w:tabs>
              <w:rPr>
                <w:rFonts w:cstheme="minorHAnsi"/>
                <w:sz w:val="20"/>
                <w:szCs w:val="20"/>
                <w:lang w:val="en-US"/>
              </w:rPr>
            </w:pPr>
            <w:r w:rsidRPr="00A51E75">
              <w:rPr>
                <w:rFonts w:cstheme="minorHAnsi"/>
                <w:b/>
                <w:bCs/>
                <w:sz w:val="20"/>
                <w:szCs w:val="20"/>
                <w:lang w:val="en-US"/>
              </w:rPr>
              <w:t>x</w:t>
            </w:r>
          </w:p>
        </w:tc>
        <w:tc>
          <w:tcPr>
            <w:tcW w:w="4747" w:type="dxa"/>
            <w:gridSpan w:val="3"/>
          </w:tcPr>
          <w:p w14:paraId="48223252" w14:textId="5D34D216" w:rsidR="00E7102E" w:rsidRPr="00243EC9" w:rsidRDefault="00243EC9">
            <w:pPr>
              <w:tabs>
                <w:tab w:val="left" w:pos="360"/>
              </w:tabs>
              <w:jc w:val="both"/>
              <w:rPr>
                <w:rFonts w:cstheme="minorHAnsi"/>
                <w:sz w:val="20"/>
                <w:szCs w:val="20"/>
                <w:lang w:val="es-EC"/>
              </w:rPr>
            </w:pPr>
            <w:r w:rsidRPr="00243EC9">
              <w:rPr>
                <w:rFonts w:cstheme="minorHAnsi"/>
                <w:sz w:val="20"/>
                <w:szCs w:val="20"/>
              </w:rPr>
              <w:t xml:space="preserve">Se respetarán los derechos individuales y colectivos de los pueblos indígenas mediante la aplicación de instrumentos nacionales e internacionales como la Guía Nacional de Consulta para Actividades REDD+ en Territorios Colectivos, el Protocolo de Nagoya y el Repositorio Voluntario de Conocimiento para la Protección del Conocimiento Ancestral. Asimismo, se promoverá el respeto a los derechos colectivos garantizados en la Constitución Ecuatoriana y otros instrumentos internacionales. Asimismo, el PNUD activará un Marco de Gestión Ambiental y Social (MGAS) durante </w:t>
            </w:r>
            <w:r w:rsidR="00492FA3">
              <w:rPr>
                <w:rFonts w:cstheme="minorHAnsi"/>
                <w:sz w:val="20"/>
                <w:szCs w:val="20"/>
              </w:rPr>
              <w:t>la Fase</w:t>
            </w:r>
            <w:r w:rsidRPr="00243EC9">
              <w:rPr>
                <w:rFonts w:cstheme="minorHAnsi"/>
                <w:sz w:val="20"/>
                <w:szCs w:val="20"/>
              </w:rPr>
              <w:t xml:space="preserve"> PPG para evaluar los riesgos asociados a posibles restricciones en la disponibilidad, calidad o acceso a recursos o servicios básicos, en particular para personas o grupos marginados, incluidas las personas con discapacidad.</w:t>
            </w:r>
          </w:p>
        </w:tc>
      </w:tr>
      <w:tr w:rsidR="00E7102E" w:rsidRPr="008C74E4" w14:paraId="0B131260" w14:textId="77777777">
        <w:trPr>
          <w:trHeight w:val="360"/>
        </w:trPr>
        <w:tc>
          <w:tcPr>
            <w:tcW w:w="3437" w:type="dxa"/>
            <w:vMerge/>
          </w:tcPr>
          <w:p w14:paraId="5C841EF2" w14:textId="77777777" w:rsidR="00E7102E" w:rsidRPr="00243EC9" w:rsidRDefault="00E7102E">
            <w:pPr>
              <w:tabs>
                <w:tab w:val="left" w:pos="270"/>
              </w:tabs>
              <w:ind w:left="270" w:hanging="270"/>
              <w:rPr>
                <w:rFonts w:cstheme="minorHAnsi"/>
                <w:sz w:val="20"/>
                <w:szCs w:val="20"/>
                <w:lang w:val="es-EC"/>
              </w:rPr>
            </w:pPr>
          </w:p>
        </w:tc>
        <w:tc>
          <w:tcPr>
            <w:tcW w:w="4246" w:type="dxa"/>
            <w:gridSpan w:val="3"/>
            <w:vAlign w:val="center"/>
          </w:tcPr>
          <w:p w14:paraId="47E985BC" w14:textId="77777777" w:rsidR="00887CEA" w:rsidRPr="00887CEA" w:rsidRDefault="00887CEA" w:rsidP="00887CEA">
            <w:pPr>
              <w:tabs>
                <w:tab w:val="left" w:pos="270"/>
              </w:tabs>
              <w:ind w:left="270" w:hanging="270"/>
              <w:rPr>
                <w:rFonts w:cstheme="minorHAnsi"/>
                <w:b/>
                <w:bCs/>
                <w:i/>
                <w:iCs/>
                <w:sz w:val="20"/>
                <w:szCs w:val="20"/>
                <w:lang w:val="es-EC"/>
              </w:rPr>
            </w:pPr>
            <w:r w:rsidRPr="00887CEA">
              <w:rPr>
                <w:rFonts w:cstheme="minorHAnsi"/>
                <w:b/>
                <w:bCs/>
                <w:i/>
                <w:iCs/>
                <w:sz w:val="20"/>
                <w:szCs w:val="20"/>
                <w:lang w:val="es-EC"/>
              </w:rPr>
              <w:t>Estándar 7. Trabajo y condiciones laborales</w:t>
            </w:r>
          </w:p>
          <w:p w14:paraId="53A41403" w14:textId="2DB30592" w:rsidR="00E7102E" w:rsidRPr="00A51E75" w:rsidRDefault="00E7102E" w:rsidP="00887CEA">
            <w:pPr>
              <w:tabs>
                <w:tab w:val="left" w:pos="270"/>
              </w:tabs>
              <w:rPr>
                <w:rFonts w:cstheme="minorHAnsi"/>
                <w:b/>
                <w:i/>
                <w:sz w:val="20"/>
                <w:szCs w:val="20"/>
                <w:lang w:val="en-US"/>
              </w:rPr>
            </w:pPr>
          </w:p>
        </w:tc>
        <w:tc>
          <w:tcPr>
            <w:tcW w:w="704" w:type="dxa"/>
            <w:gridSpan w:val="2"/>
            <w:vAlign w:val="center"/>
          </w:tcPr>
          <w:p w14:paraId="58A098B8" w14:textId="77777777" w:rsidR="00E7102E" w:rsidRPr="00A51E75" w:rsidRDefault="00E7102E">
            <w:pPr>
              <w:tabs>
                <w:tab w:val="left" w:pos="360"/>
              </w:tabs>
              <w:rPr>
                <w:rFonts w:cstheme="minorHAnsi"/>
                <w:b/>
                <w:sz w:val="20"/>
                <w:szCs w:val="20"/>
                <w:lang w:val="en-US"/>
              </w:rPr>
            </w:pPr>
            <w:r w:rsidRPr="00A51E75">
              <w:rPr>
                <w:rFonts w:cstheme="minorHAnsi"/>
                <w:b/>
                <w:sz w:val="20"/>
                <w:szCs w:val="20"/>
                <w:lang w:val="en-US"/>
              </w:rPr>
              <w:t>x</w:t>
            </w:r>
          </w:p>
        </w:tc>
        <w:tc>
          <w:tcPr>
            <w:tcW w:w="4747" w:type="dxa"/>
            <w:gridSpan w:val="3"/>
          </w:tcPr>
          <w:p w14:paraId="240FBEAF" w14:textId="23B8462F" w:rsidR="00E7102E" w:rsidRPr="008C74E4" w:rsidRDefault="001E0B16">
            <w:pPr>
              <w:tabs>
                <w:tab w:val="left" w:pos="360"/>
              </w:tabs>
              <w:jc w:val="both"/>
              <w:rPr>
                <w:rFonts w:cstheme="minorHAnsi"/>
                <w:sz w:val="20"/>
                <w:szCs w:val="20"/>
                <w:lang w:val="es-EC"/>
              </w:rPr>
            </w:pPr>
            <w:r w:rsidRPr="001E0B16">
              <w:rPr>
                <w:rFonts w:cstheme="minorHAnsi"/>
                <w:sz w:val="20"/>
                <w:szCs w:val="20"/>
              </w:rPr>
              <w:t>Todos los procesos de contratación se realizarán respetando los derechos de los trabajadores, de acuerdo con el marco legal laboral nacional vigente. No se contratará a menores de edad y se aplicará una política de equidad de género adecuada en estos procesos para evitar la discriminación y promover la igualdad de oportunidades.</w:t>
            </w:r>
          </w:p>
        </w:tc>
      </w:tr>
      <w:tr w:rsidR="00E7102E" w:rsidRPr="008C74E4" w14:paraId="2D7A2CD3" w14:textId="77777777">
        <w:trPr>
          <w:trHeight w:val="287"/>
        </w:trPr>
        <w:tc>
          <w:tcPr>
            <w:tcW w:w="3437" w:type="dxa"/>
            <w:vMerge/>
          </w:tcPr>
          <w:p w14:paraId="75B49555" w14:textId="77777777" w:rsidR="00E7102E" w:rsidRPr="008C74E4" w:rsidRDefault="00E7102E">
            <w:pPr>
              <w:tabs>
                <w:tab w:val="left" w:pos="270"/>
              </w:tabs>
              <w:ind w:left="270" w:hanging="270"/>
              <w:rPr>
                <w:rFonts w:cstheme="minorHAnsi"/>
                <w:sz w:val="20"/>
                <w:szCs w:val="20"/>
                <w:lang w:val="es-EC"/>
              </w:rPr>
            </w:pPr>
          </w:p>
        </w:tc>
        <w:tc>
          <w:tcPr>
            <w:tcW w:w="4246" w:type="dxa"/>
            <w:gridSpan w:val="3"/>
            <w:vAlign w:val="center"/>
          </w:tcPr>
          <w:p w14:paraId="2BD1E161" w14:textId="2EC12DB0" w:rsidR="00E7102E" w:rsidRPr="001E0B16" w:rsidRDefault="001E0B16" w:rsidP="001E0B16">
            <w:pPr>
              <w:tabs>
                <w:tab w:val="left" w:pos="270"/>
              </w:tabs>
              <w:ind w:left="270" w:hanging="270"/>
              <w:rPr>
                <w:rFonts w:cstheme="minorHAnsi"/>
                <w:b/>
                <w:bCs/>
                <w:i/>
                <w:iCs/>
                <w:sz w:val="20"/>
                <w:szCs w:val="20"/>
                <w:lang w:val="es-EC"/>
              </w:rPr>
            </w:pPr>
            <w:r w:rsidRPr="001E0B16">
              <w:rPr>
                <w:rFonts w:cstheme="minorHAnsi"/>
                <w:b/>
                <w:bCs/>
                <w:i/>
                <w:iCs/>
                <w:sz w:val="20"/>
                <w:szCs w:val="20"/>
                <w:lang w:val="es-EC"/>
              </w:rPr>
              <w:t>Estándar 8. Prevención de la contaminación y uso eficiente de los recursos</w:t>
            </w:r>
          </w:p>
        </w:tc>
        <w:tc>
          <w:tcPr>
            <w:tcW w:w="704" w:type="dxa"/>
            <w:gridSpan w:val="2"/>
            <w:vAlign w:val="center"/>
          </w:tcPr>
          <w:p w14:paraId="2DC017B0" w14:textId="77777777" w:rsidR="00E7102E" w:rsidRPr="00A51E75" w:rsidRDefault="00E7102E">
            <w:pPr>
              <w:tabs>
                <w:tab w:val="left" w:pos="360"/>
              </w:tabs>
              <w:rPr>
                <w:rFonts w:cstheme="minorHAnsi"/>
                <w:sz w:val="20"/>
                <w:szCs w:val="20"/>
                <w:lang w:val="en-US"/>
              </w:rPr>
            </w:pPr>
            <w:r w:rsidRPr="001E0B16">
              <w:rPr>
                <w:rFonts w:cstheme="minorHAnsi"/>
                <w:b/>
                <w:bCs/>
                <w:sz w:val="20"/>
                <w:szCs w:val="20"/>
                <w:lang w:val="es-EC"/>
              </w:rPr>
              <w:t xml:space="preserve"> </w:t>
            </w:r>
            <w:r w:rsidRPr="00A51E75">
              <w:rPr>
                <w:rFonts w:cstheme="minorHAnsi"/>
                <w:b/>
                <w:bCs/>
                <w:sz w:val="20"/>
                <w:szCs w:val="20"/>
                <w:lang w:val="en-US"/>
              </w:rPr>
              <w:t>x</w:t>
            </w:r>
          </w:p>
        </w:tc>
        <w:tc>
          <w:tcPr>
            <w:tcW w:w="4747" w:type="dxa"/>
            <w:gridSpan w:val="3"/>
          </w:tcPr>
          <w:p w14:paraId="5A15D7B1" w14:textId="0C745699" w:rsidR="008C74E4" w:rsidRPr="008C74E4" w:rsidRDefault="008C74E4" w:rsidP="008C74E4">
            <w:pPr>
              <w:tabs>
                <w:tab w:val="left" w:pos="360"/>
              </w:tabs>
              <w:jc w:val="both"/>
              <w:rPr>
                <w:rFonts w:cstheme="minorHAnsi"/>
                <w:sz w:val="20"/>
                <w:szCs w:val="20"/>
                <w:lang w:val="es-EC"/>
              </w:rPr>
            </w:pPr>
            <w:r w:rsidRPr="008C74E4">
              <w:rPr>
                <w:rFonts w:cstheme="minorHAnsi"/>
                <w:sz w:val="20"/>
                <w:szCs w:val="20"/>
              </w:rPr>
              <w:t xml:space="preserve">Se implementarán procesos de desarrollo de capacidades para la gestión de recursos naturales con asociaciones productivas. Se han establecido regulaciones y procesos para </w:t>
            </w:r>
            <w:r>
              <w:rPr>
                <w:rFonts w:cstheme="minorHAnsi"/>
                <w:sz w:val="20"/>
                <w:szCs w:val="20"/>
              </w:rPr>
              <w:t>el Instintivo</w:t>
            </w:r>
            <w:r w:rsidRPr="008C74E4">
              <w:rPr>
                <w:rFonts w:cstheme="minorHAnsi"/>
                <w:sz w:val="20"/>
                <w:szCs w:val="20"/>
              </w:rPr>
              <w:t xml:space="preserve"> Verde Libre de Deforestación, requisito para la certificación de Buenas Prácticas Agrícolas. No se utilizarán productos químicos que contaminen la tierra ni las fuentes de agua en los procesos de producción.</w:t>
            </w:r>
          </w:p>
          <w:p w14:paraId="3D597F6C" w14:textId="6F16D5D2" w:rsidR="00E7102E" w:rsidRPr="008C74E4" w:rsidRDefault="00E7102E">
            <w:pPr>
              <w:tabs>
                <w:tab w:val="left" w:pos="360"/>
              </w:tabs>
              <w:jc w:val="both"/>
              <w:rPr>
                <w:rFonts w:cstheme="minorHAnsi"/>
                <w:sz w:val="20"/>
                <w:szCs w:val="20"/>
                <w:lang w:val="es-EC"/>
              </w:rPr>
            </w:pPr>
          </w:p>
        </w:tc>
      </w:tr>
    </w:tbl>
    <w:p w14:paraId="3D28ED2A" w14:textId="77777777" w:rsidR="008C66C4" w:rsidRPr="00A51E75" w:rsidRDefault="008C66C4" w:rsidP="00A23396">
      <w:pPr>
        <w:keepNext/>
        <w:spacing w:before="200"/>
        <w:rPr>
          <w:rFonts w:eastAsia="Calibri" w:cstheme="minorHAnsi"/>
          <w:b/>
          <w:color w:val="4F81BB"/>
          <w:lang w:val="en-US"/>
        </w:rPr>
      </w:pPr>
      <w:r w:rsidRPr="00A51E75">
        <w:rPr>
          <w:rFonts w:eastAsia="Calibri" w:cstheme="minorHAnsi"/>
          <w:b/>
          <w:color w:val="4F81BD"/>
          <w:lang w:val="en-US"/>
        </w:rPr>
        <w:t>SESP Annex 1. Checklist for the Assessment of Social and Environmental Risks</w:t>
      </w:r>
    </w:p>
    <w:p w14:paraId="50EAC951" w14:textId="77777777" w:rsidR="008C66C4" w:rsidRPr="00A51E75" w:rsidRDefault="008C66C4" w:rsidP="008C66C4">
      <w:pPr>
        <w:spacing w:before="19"/>
        <w:ind w:left="461"/>
        <w:rPr>
          <w:rFonts w:eastAsia="Calibri" w:cstheme="minorHAnsi"/>
          <w:lang w:val="en-US"/>
        </w:rPr>
      </w:pPr>
    </w:p>
    <w:tbl>
      <w:tblPr>
        <w:tblW w:w="5000" w:type="pct"/>
        <w:tblCellMar>
          <w:left w:w="0" w:type="dxa"/>
          <w:right w:w="0" w:type="dxa"/>
        </w:tblCellMar>
        <w:tblLook w:val="01E0" w:firstRow="1" w:lastRow="1" w:firstColumn="1" w:lastColumn="1" w:noHBand="0" w:noVBand="0"/>
      </w:tblPr>
      <w:tblGrid>
        <w:gridCol w:w="13119"/>
        <w:gridCol w:w="1269"/>
      </w:tblGrid>
      <w:tr w:rsidR="008C66C4" w:rsidRPr="0063505D" w14:paraId="57282E90" w14:textId="77777777" w:rsidTr="00471726">
        <w:trPr>
          <w:trHeight w:hRule="exact" w:val="266"/>
        </w:trPr>
        <w:tc>
          <w:tcPr>
            <w:tcW w:w="4559" w:type="pct"/>
            <w:tcBorders>
              <w:top w:val="single" w:sz="5" w:space="0" w:color="000000"/>
              <w:left w:val="single" w:sz="5" w:space="0" w:color="000000"/>
              <w:bottom w:val="single" w:sz="8" w:space="0" w:color="8DB3E0"/>
              <w:right w:val="single" w:sz="5" w:space="0" w:color="000000"/>
            </w:tcBorders>
            <w:shd w:val="clear" w:color="auto" w:fill="8DB3E0"/>
          </w:tcPr>
          <w:p w14:paraId="661F3BFF" w14:textId="77777777" w:rsidR="008C66C4" w:rsidRPr="00A51E75" w:rsidRDefault="008C66C4">
            <w:pPr>
              <w:ind w:left="104"/>
              <w:rPr>
                <w:rFonts w:eastAsia="Calibri" w:cstheme="minorHAnsi"/>
                <w:lang w:val="en-US"/>
              </w:rPr>
            </w:pPr>
            <w:r w:rsidRPr="00A51E75">
              <w:rPr>
                <w:rFonts w:eastAsia="Calibri" w:cstheme="minorHAnsi"/>
                <w:b/>
                <w:spacing w:val="-1"/>
                <w:position w:val="1"/>
                <w:lang w:val="en-US"/>
              </w:rPr>
              <w:t>Checklist of Potential Social and Environmental Risks</w:t>
            </w:r>
          </w:p>
        </w:tc>
        <w:tc>
          <w:tcPr>
            <w:tcW w:w="441" w:type="pct"/>
            <w:tcBorders>
              <w:top w:val="single" w:sz="5" w:space="0" w:color="000000"/>
              <w:left w:val="single" w:sz="5" w:space="0" w:color="000000"/>
              <w:bottom w:val="single" w:sz="5" w:space="0" w:color="000000"/>
              <w:right w:val="single" w:sz="5" w:space="0" w:color="000000"/>
            </w:tcBorders>
            <w:shd w:val="clear" w:color="auto" w:fill="8DB3E0"/>
          </w:tcPr>
          <w:p w14:paraId="574D9A60" w14:textId="77777777" w:rsidR="008C66C4" w:rsidRPr="00A51E75" w:rsidRDefault="008C66C4">
            <w:pPr>
              <w:rPr>
                <w:rFonts w:cstheme="minorHAnsi"/>
                <w:lang w:val="en-US"/>
              </w:rPr>
            </w:pPr>
          </w:p>
        </w:tc>
      </w:tr>
      <w:tr w:rsidR="008C66C4" w:rsidRPr="0063505D" w14:paraId="7CB17CC4" w14:textId="77777777" w:rsidTr="00471726">
        <w:trPr>
          <w:trHeight w:hRule="exact" w:val="1199"/>
        </w:trPr>
        <w:tc>
          <w:tcPr>
            <w:tcW w:w="4559" w:type="pct"/>
            <w:tcBorders>
              <w:top w:val="single" w:sz="8" w:space="0" w:color="8DB3E0"/>
              <w:left w:val="single" w:sz="5" w:space="0" w:color="000000"/>
              <w:bottom w:val="single" w:sz="5" w:space="0" w:color="000000"/>
              <w:right w:val="single" w:sz="5" w:space="0" w:color="000000"/>
            </w:tcBorders>
          </w:tcPr>
          <w:p w14:paraId="3B8F3469" w14:textId="77777777" w:rsidR="008C66C4" w:rsidRPr="00A51E75" w:rsidRDefault="008C66C4">
            <w:pPr>
              <w:spacing w:before="5"/>
              <w:ind w:left="104" w:right="101"/>
              <w:rPr>
                <w:rFonts w:eastAsia="Calibri" w:cstheme="minorHAnsi"/>
                <w:sz w:val="18"/>
                <w:szCs w:val="18"/>
                <w:lang w:val="en-US"/>
              </w:rPr>
            </w:pPr>
            <w:r w:rsidRPr="00A51E75">
              <w:rPr>
                <w:rFonts w:eastAsia="Calibri" w:cstheme="minorHAnsi"/>
                <w:sz w:val="18"/>
                <w:szCs w:val="18"/>
                <w:lang w:val="en-US"/>
              </w:rPr>
              <w:t>INSTRUCTIONS: The risk assessment checklist will help answer questions 2-6 of the assessment template. The answers to the checklist questions help to (1) identify potential risks, (2) determine the overall categorization of project risks, and (3) determine the required level of assessment and management measures. See the SES Toolkit for further guidance on how to address the assessment questions.</w:t>
            </w:r>
          </w:p>
        </w:tc>
        <w:tc>
          <w:tcPr>
            <w:tcW w:w="441" w:type="pct"/>
            <w:tcBorders>
              <w:top w:val="single" w:sz="5" w:space="0" w:color="000000"/>
              <w:left w:val="single" w:sz="5" w:space="0" w:color="000000"/>
              <w:bottom w:val="single" w:sz="5" w:space="0" w:color="000000"/>
              <w:right w:val="single" w:sz="5" w:space="0" w:color="000000"/>
            </w:tcBorders>
          </w:tcPr>
          <w:p w14:paraId="7FDA81C6" w14:textId="77777777" w:rsidR="008C66C4" w:rsidRPr="00A51E75" w:rsidRDefault="008C66C4">
            <w:pPr>
              <w:rPr>
                <w:rFonts w:cstheme="minorHAnsi"/>
                <w:lang w:val="en-US"/>
              </w:rPr>
            </w:pPr>
          </w:p>
        </w:tc>
      </w:tr>
      <w:tr w:rsidR="008C66C4" w:rsidRPr="00A51E75" w14:paraId="3E473A2C" w14:textId="77777777" w:rsidTr="00471726">
        <w:trPr>
          <w:trHeight w:hRule="exact" w:val="836"/>
        </w:trPr>
        <w:tc>
          <w:tcPr>
            <w:tcW w:w="4559" w:type="pct"/>
            <w:tcBorders>
              <w:top w:val="single" w:sz="5" w:space="0" w:color="000000"/>
              <w:left w:val="single" w:sz="5" w:space="0" w:color="000000"/>
              <w:bottom w:val="single" w:sz="5" w:space="0" w:color="000000"/>
              <w:right w:val="single" w:sz="5" w:space="0" w:color="000000"/>
            </w:tcBorders>
            <w:shd w:val="clear" w:color="auto" w:fill="DBE3EF"/>
          </w:tcPr>
          <w:p w14:paraId="400C6483" w14:textId="77777777" w:rsidR="008C66C4" w:rsidRPr="00A51E75" w:rsidRDefault="008C66C4">
            <w:pPr>
              <w:spacing w:before="9"/>
              <w:rPr>
                <w:rFonts w:cstheme="minorHAnsi"/>
                <w:sz w:val="11"/>
                <w:szCs w:val="11"/>
                <w:lang w:val="en-US"/>
              </w:rPr>
            </w:pPr>
          </w:p>
          <w:p w14:paraId="3678D26D" w14:textId="77777777" w:rsidR="008C66C4" w:rsidRPr="00A51E75" w:rsidRDefault="008C66C4">
            <w:pPr>
              <w:ind w:left="104"/>
              <w:rPr>
                <w:rFonts w:eastAsia="Calibri" w:cstheme="minorHAnsi"/>
                <w:sz w:val="20"/>
                <w:szCs w:val="20"/>
                <w:lang w:val="en-US"/>
              </w:rPr>
            </w:pPr>
            <w:r w:rsidRPr="00A51E75">
              <w:rPr>
                <w:rFonts w:eastAsia="Calibri" w:cstheme="minorHAnsi"/>
                <w:b/>
                <w:sz w:val="20"/>
                <w:szCs w:val="20"/>
                <w:lang w:val="en-US"/>
              </w:rPr>
              <w:t>General Principle: Leave no one behind</w:t>
            </w:r>
          </w:p>
          <w:p w14:paraId="542D7B75" w14:textId="77777777" w:rsidR="008C66C4" w:rsidRPr="00A51E75" w:rsidRDefault="008C66C4">
            <w:pPr>
              <w:spacing w:before="1"/>
              <w:rPr>
                <w:rFonts w:cstheme="minorHAnsi"/>
                <w:sz w:val="12"/>
                <w:szCs w:val="12"/>
                <w:lang w:val="en-US"/>
              </w:rPr>
            </w:pPr>
          </w:p>
          <w:p w14:paraId="6FE62BDD" w14:textId="77777777" w:rsidR="008C66C4" w:rsidRPr="00A51E75" w:rsidRDefault="008C66C4">
            <w:pPr>
              <w:ind w:left="104"/>
              <w:rPr>
                <w:rFonts w:eastAsia="Calibri" w:cstheme="minorHAnsi"/>
                <w:sz w:val="18"/>
                <w:szCs w:val="18"/>
                <w:lang w:val="en-US"/>
              </w:rPr>
            </w:pPr>
            <w:r w:rsidRPr="00A51E75">
              <w:rPr>
                <w:rFonts w:eastAsia="Calibri" w:cstheme="minorHAnsi"/>
                <w:b/>
                <w:spacing w:val="1"/>
                <w:sz w:val="18"/>
                <w:szCs w:val="18"/>
                <w:lang w:val="en-US"/>
              </w:rPr>
              <w:t>H</w:t>
            </w:r>
            <w:r w:rsidRPr="00A51E75">
              <w:rPr>
                <w:rFonts w:eastAsia="Calibri" w:cstheme="minorHAnsi"/>
                <w:b/>
                <w:spacing w:val="-2"/>
                <w:sz w:val="18"/>
                <w:szCs w:val="18"/>
                <w:lang w:val="en-US"/>
              </w:rPr>
              <w:t>u</w:t>
            </w:r>
            <w:r w:rsidRPr="00A51E75">
              <w:rPr>
                <w:rFonts w:eastAsia="Calibri" w:cstheme="minorHAnsi"/>
                <w:b/>
                <w:spacing w:val="-1"/>
                <w:sz w:val="18"/>
                <w:szCs w:val="18"/>
                <w:lang w:val="en-US"/>
              </w:rPr>
              <w:t>m</w:t>
            </w:r>
            <w:r w:rsidRPr="00A51E75">
              <w:rPr>
                <w:rFonts w:eastAsia="Calibri" w:cstheme="minorHAnsi"/>
                <w:b/>
                <w:spacing w:val="1"/>
                <w:sz w:val="18"/>
                <w:szCs w:val="18"/>
                <w:lang w:val="en-US"/>
              </w:rPr>
              <w:t>a</w:t>
            </w:r>
            <w:r w:rsidRPr="00A51E75">
              <w:rPr>
                <w:rFonts w:eastAsia="Calibri" w:cstheme="minorHAnsi"/>
                <w:b/>
                <w:sz w:val="18"/>
                <w:szCs w:val="18"/>
                <w:lang w:val="en-US"/>
              </w:rPr>
              <w:t>n</w:t>
            </w:r>
            <w:r w:rsidRPr="00A51E75">
              <w:rPr>
                <w:rFonts w:eastAsia="Calibri" w:cstheme="minorHAnsi"/>
                <w:b/>
                <w:spacing w:val="-2"/>
                <w:sz w:val="18"/>
                <w:szCs w:val="18"/>
                <w:lang w:val="en-US"/>
              </w:rPr>
              <w:t xml:space="preserve"> </w:t>
            </w:r>
            <w:r w:rsidRPr="00A51E75">
              <w:rPr>
                <w:rFonts w:eastAsia="Calibri" w:cstheme="minorHAnsi"/>
                <w:b/>
                <w:spacing w:val="-1"/>
                <w:sz w:val="18"/>
                <w:szCs w:val="18"/>
                <w:lang w:val="en-US"/>
              </w:rPr>
              <w:t>R</w:t>
            </w:r>
            <w:r w:rsidRPr="00A51E75">
              <w:rPr>
                <w:rFonts w:eastAsia="Calibri" w:cstheme="minorHAnsi"/>
                <w:b/>
                <w:spacing w:val="1"/>
                <w:sz w:val="18"/>
                <w:szCs w:val="18"/>
                <w:lang w:val="en-US"/>
              </w:rPr>
              <w:t>i</w:t>
            </w:r>
            <w:r w:rsidRPr="00A51E75">
              <w:rPr>
                <w:rFonts w:eastAsia="Calibri" w:cstheme="minorHAnsi"/>
                <w:b/>
                <w:sz w:val="18"/>
                <w:szCs w:val="18"/>
                <w:lang w:val="en-US"/>
              </w:rPr>
              <w:t>g</w:t>
            </w:r>
            <w:r w:rsidRPr="00A51E75">
              <w:rPr>
                <w:rFonts w:eastAsia="Calibri" w:cstheme="minorHAnsi"/>
                <w:b/>
                <w:spacing w:val="-2"/>
                <w:sz w:val="18"/>
                <w:szCs w:val="18"/>
                <w:lang w:val="en-US"/>
              </w:rPr>
              <w:t>h</w:t>
            </w:r>
            <w:r w:rsidRPr="00A51E75">
              <w:rPr>
                <w:rFonts w:eastAsia="Calibri" w:cstheme="minorHAnsi"/>
                <w:b/>
                <w:spacing w:val="2"/>
                <w:sz w:val="18"/>
                <w:szCs w:val="18"/>
                <w:lang w:val="en-US"/>
              </w:rPr>
              <w:t>t</w:t>
            </w:r>
            <w:r w:rsidRPr="00A51E75">
              <w:rPr>
                <w:rFonts w:eastAsia="Calibri" w:cstheme="minorHAnsi"/>
                <w:b/>
                <w:sz w:val="18"/>
                <w:szCs w:val="18"/>
                <w:lang w:val="en-US"/>
              </w:rPr>
              <w:t>s</w:t>
            </w:r>
          </w:p>
        </w:tc>
        <w:tc>
          <w:tcPr>
            <w:tcW w:w="441" w:type="pct"/>
            <w:tcBorders>
              <w:top w:val="single" w:sz="5" w:space="0" w:color="000000"/>
              <w:left w:val="single" w:sz="5" w:space="0" w:color="000000"/>
              <w:bottom w:val="single" w:sz="5" w:space="0" w:color="000000"/>
              <w:right w:val="single" w:sz="5" w:space="0" w:color="000000"/>
            </w:tcBorders>
            <w:shd w:val="clear" w:color="auto" w:fill="DBE3EF"/>
          </w:tcPr>
          <w:p w14:paraId="6C2DC0DB" w14:textId="77777777" w:rsidR="008C66C4" w:rsidRPr="00A51E75" w:rsidRDefault="008C66C4">
            <w:pPr>
              <w:rPr>
                <w:rFonts w:eastAsia="Calibri" w:cstheme="minorHAnsi"/>
                <w:sz w:val="16"/>
                <w:szCs w:val="16"/>
                <w:lang w:val="en-US"/>
              </w:rPr>
            </w:pPr>
            <w:r w:rsidRPr="00A51E75">
              <w:rPr>
                <w:rFonts w:eastAsia="Calibri" w:cstheme="minorHAnsi"/>
                <w:b/>
                <w:spacing w:val="-2"/>
                <w:sz w:val="16"/>
                <w:szCs w:val="16"/>
                <w:lang w:val="en-US"/>
              </w:rPr>
              <w:t xml:space="preserve"> Answer</w:t>
            </w:r>
          </w:p>
          <w:p w14:paraId="324C9043" w14:textId="77777777" w:rsidR="008C66C4" w:rsidRPr="00A51E75" w:rsidRDefault="008C66C4">
            <w:pPr>
              <w:ind w:left="120"/>
              <w:rPr>
                <w:rFonts w:eastAsia="Calibri" w:cstheme="minorHAnsi"/>
                <w:sz w:val="16"/>
                <w:szCs w:val="16"/>
                <w:lang w:val="en-US"/>
              </w:rPr>
            </w:pPr>
            <w:r w:rsidRPr="00A51E75">
              <w:rPr>
                <w:rFonts w:eastAsia="Calibri" w:cstheme="minorHAnsi"/>
                <w:b/>
                <w:sz w:val="16"/>
                <w:szCs w:val="16"/>
                <w:lang w:val="en-US"/>
              </w:rPr>
              <w:t>(</w:t>
            </w:r>
            <w:r w:rsidRPr="00A51E75">
              <w:rPr>
                <w:rFonts w:eastAsia="Calibri" w:cstheme="minorHAnsi"/>
                <w:b/>
                <w:spacing w:val="2"/>
                <w:sz w:val="16"/>
                <w:szCs w:val="16"/>
                <w:lang w:val="en-US"/>
              </w:rPr>
              <w:t>Yes</w:t>
            </w:r>
            <w:r w:rsidRPr="00A51E75">
              <w:rPr>
                <w:rFonts w:eastAsia="Calibri" w:cstheme="minorHAnsi"/>
                <w:b/>
                <w:spacing w:val="1"/>
                <w:sz w:val="16"/>
                <w:szCs w:val="16"/>
                <w:lang w:val="en-US"/>
              </w:rPr>
              <w:t>/</w:t>
            </w:r>
            <w:r w:rsidRPr="00A51E75">
              <w:rPr>
                <w:rFonts w:eastAsia="Calibri" w:cstheme="minorHAnsi"/>
                <w:b/>
                <w:sz w:val="16"/>
                <w:szCs w:val="16"/>
                <w:lang w:val="en-US"/>
              </w:rPr>
              <w:t>N</w:t>
            </w:r>
            <w:r w:rsidRPr="00A51E75">
              <w:rPr>
                <w:rFonts w:eastAsia="Calibri" w:cstheme="minorHAnsi"/>
                <w:b/>
                <w:spacing w:val="-1"/>
                <w:sz w:val="16"/>
                <w:szCs w:val="16"/>
                <w:lang w:val="en-US"/>
              </w:rPr>
              <w:t>o</w:t>
            </w:r>
            <w:r w:rsidRPr="00A51E75">
              <w:rPr>
                <w:rFonts w:eastAsia="Calibri" w:cstheme="minorHAnsi"/>
                <w:b/>
                <w:sz w:val="16"/>
                <w:szCs w:val="16"/>
                <w:lang w:val="en-US"/>
              </w:rPr>
              <w:t>)</w:t>
            </w:r>
          </w:p>
        </w:tc>
      </w:tr>
      <w:tr w:rsidR="008C66C4" w:rsidRPr="00A51E75" w14:paraId="601840B8" w14:textId="77777777" w:rsidTr="00471726">
        <w:trPr>
          <w:trHeight w:hRule="exact" w:val="722"/>
        </w:trPr>
        <w:tc>
          <w:tcPr>
            <w:tcW w:w="4559" w:type="pct"/>
            <w:tcBorders>
              <w:top w:val="single" w:sz="5" w:space="0" w:color="000000"/>
              <w:left w:val="single" w:sz="5" w:space="0" w:color="000000"/>
              <w:bottom w:val="single" w:sz="5" w:space="0" w:color="000000"/>
              <w:right w:val="single" w:sz="5" w:space="0" w:color="000000"/>
            </w:tcBorders>
          </w:tcPr>
          <w:p w14:paraId="4D8F9009" w14:textId="77777777" w:rsidR="008C66C4" w:rsidRPr="00A51E75" w:rsidRDefault="008C66C4">
            <w:pPr>
              <w:ind w:left="674" w:right="215"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.1       </w:t>
            </w:r>
            <w:r w:rsidRPr="00A51E75">
              <w:rPr>
                <w:rFonts w:eastAsia="Calibri" w:cstheme="minorHAnsi"/>
                <w:spacing w:val="14"/>
                <w:sz w:val="18"/>
                <w:szCs w:val="18"/>
                <w:lang w:val="en-US"/>
              </w:rPr>
              <w:t xml:space="preserve"> </w:t>
            </w:r>
            <w:r w:rsidRPr="00A51E75">
              <w:rPr>
                <w:rFonts w:eastAsia="Calibri" w:cstheme="minorHAnsi"/>
                <w:spacing w:val="-2"/>
                <w:sz w:val="18"/>
                <w:szCs w:val="18"/>
                <w:lang w:val="en-US"/>
              </w:rPr>
              <w:t>Have local communities or individuals raised human rights concerns regarding the project (e.g., during the stakeholder engagement process, complaints processes, or public statements)?</w:t>
            </w:r>
          </w:p>
        </w:tc>
        <w:tc>
          <w:tcPr>
            <w:tcW w:w="441" w:type="pct"/>
            <w:tcBorders>
              <w:top w:val="single" w:sz="5" w:space="0" w:color="000000"/>
              <w:left w:val="single" w:sz="5" w:space="0" w:color="000000"/>
              <w:bottom w:val="single" w:sz="5" w:space="0" w:color="000000"/>
              <w:right w:val="single" w:sz="5" w:space="0" w:color="000000"/>
            </w:tcBorders>
          </w:tcPr>
          <w:p w14:paraId="1795923F"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558E8D18" w14:textId="77777777" w:rsidTr="00471726">
        <w:trPr>
          <w:trHeight w:hRule="exact" w:val="565"/>
        </w:trPr>
        <w:tc>
          <w:tcPr>
            <w:tcW w:w="4559" w:type="pct"/>
            <w:tcBorders>
              <w:top w:val="single" w:sz="5" w:space="0" w:color="000000"/>
              <w:left w:val="single" w:sz="5" w:space="0" w:color="000000"/>
              <w:bottom w:val="single" w:sz="5" w:space="0" w:color="000000"/>
              <w:right w:val="single" w:sz="5" w:space="0" w:color="000000"/>
            </w:tcBorders>
          </w:tcPr>
          <w:p w14:paraId="1D77B7C6" w14:textId="77777777" w:rsidR="008C66C4" w:rsidRPr="00A51E75" w:rsidRDefault="008C66C4">
            <w:pPr>
              <w:ind w:left="674" w:right="748"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.2       </w:t>
            </w:r>
            <w:r w:rsidRPr="00A51E75">
              <w:rPr>
                <w:rFonts w:eastAsia="Calibri" w:cstheme="minorHAnsi"/>
                <w:spacing w:val="14"/>
                <w:sz w:val="18"/>
                <w:szCs w:val="18"/>
                <w:lang w:val="en-US"/>
              </w:rPr>
              <w:t xml:space="preserve"> </w:t>
            </w:r>
            <w:r w:rsidRPr="00A51E75">
              <w:rPr>
                <w:rFonts w:eastAsia="Calibri" w:cstheme="minorHAnsi"/>
                <w:sz w:val="18"/>
                <w:szCs w:val="18"/>
                <w:lang w:val="en-US"/>
              </w:rPr>
              <w:t>Is there a risk that those responsible (e.g., government agencies) will not have the capacity to fulfill their obligations under the project?</w:t>
            </w:r>
          </w:p>
        </w:tc>
        <w:tc>
          <w:tcPr>
            <w:tcW w:w="441" w:type="pct"/>
            <w:tcBorders>
              <w:top w:val="single" w:sz="5" w:space="0" w:color="000000"/>
              <w:left w:val="single" w:sz="5" w:space="0" w:color="000000"/>
              <w:bottom w:val="single" w:sz="5" w:space="0" w:color="000000"/>
              <w:right w:val="single" w:sz="5" w:space="0" w:color="000000"/>
            </w:tcBorders>
          </w:tcPr>
          <w:p w14:paraId="14D1F41C"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3108052C" w14:textId="77777777" w:rsidTr="00471726">
        <w:trPr>
          <w:trHeight w:hRule="exact" w:val="570"/>
        </w:trPr>
        <w:tc>
          <w:tcPr>
            <w:tcW w:w="4559" w:type="pct"/>
            <w:tcBorders>
              <w:top w:val="single" w:sz="5" w:space="0" w:color="000000"/>
              <w:left w:val="single" w:sz="5" w:space="0" w:color="000000"/>
              <w:bottom w:val="single" w:sz="5" w:space="0" w:color="000000"/>
              <w:right w:val="single" w:sz="5" w:space="0" w:color="000000"/>
            </w:tcBorders>
          </w:tcPr>
          <w:p w14:paraId="58C7B107" w14:textId="77777777" w:rsidR="008C66C4" w:rsidRPr="00A51E75" w:rsidRDefault="008C66C4">
            <w:pPr>
              <w:ind w:left="674" w:right="431"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.3       </w:t>
            </w:r>
            <w:r w:rsidRPr="00A51E75">
              <w:rPr>
                <w:rFonts w:eastAsia="Calibri" w:cstheme="minorHAnsi"/>
                <w:spacing w:val="14"/>
                <w:sz w:val="18"/>
                <w:szCs w:val="18"/>
                <w:lang w:val="en-US"/>
              </w:rPr>
              <w:t xml:space="preserve"> </w:t>
            </w:r>
            <w:r w:rsidRPr="00A51E75">
              <w:rPr>
                <w:rFonts w:eastAsia="Calibri" w:cstheme="minorHAnsi"/>
                <w:sz w:val="18"/>
                <w:szCs w:val="18"/>
                <w:lang w:val="en-US"/>
              </w:rPr>
              <w:t>Is there a risk that rights holders (e.g., people affected by the project) will not have the capacity to claim their rights?</w:t>
            </w:r>
          </w:p>
        </w:tc>
        <w:tc>
          <w:tcPr>
            <w:tcW w:w="441" w:type="pct"/>
            <w:tcBorders>
              <w:top w:val="single" w:sz="5" w:space="0" w:color="000000"/>
              <w:left w:val="single" w:sz="5" w:space="0" w:color="000000"/>
              <w:bottom w:val="single" w:sz="5" w:space="0" w:color="000000"/>
              <w:right w:val="single" w:sz="5" w:space="0" w:color="000000"/>
            </w:tcBorders>
          </w:tcPr>
          <w:p w14:paraId="7FDF352D"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63505D" w14:paraId="1C1AB458" w14:textId="77777777" w:rsidTr="00471726">
        <w:trPr>
          <w:trHeight w:hRule="exact" w:val="350"/>
        </w:trPr>
        <w:tc>
          <w:tcPr>
            <w:tcW w:w="4559" w:type="pct"/>
            <w:tcBorders>
              <w:top w:val="single" w:sz="5" w:space="0" w:color="000000"/>
              <w:left w:val="single" w:sz="5" w:space="0" w:color="000000"/>
              <w:bottom w:val="single" w:sz="5" w:space="0" w:color="000000"/>
              <w:right w:val="single" w:sz="5" w:space="0" w:color="000000"/>
            </w:tcBorders>
          </w:tcPr>
          <w:p w14:paraId="1BBB2C59"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441" w:type="pct"/>
            <w:tcBorders>
              <w:top w:val="single" w:sz="5" w:space="0" w:color="000000"/>
              <w:left w:val="single" w:sz="5" w:space="0" w:color="000000"/>
              <w:bottom w:val="single" w:sz="5" w:space="0" w:color="000000"/>
              <w:right w:val="single" w:sz="5" w:space="0" w:color="000000"/>
            </w:tcBorders>
          </w:tcPr>
          <w:p w14:paraId="76A1111E" w14:textId="77777777" w:rsidR="008C66C4" w:rsidRPr="00A51E75" w:rsidRDefault="008C66C4">
            <w:pPr>
              <w:rPr>
                <w:rFonts w:cstheme="minorHAnsi"/>
                <w:sz w:val="18"/>
                <w:szCs w:val="18"/>
                <w:lang w:val="en-US"/>
              </w:rPr>
            </w:pPr>
          </w:p>
        </w:tc>
      </w:tr>
      <w:tr w:rsidR="008C66C4" w:rsidRPr="00A51E75" w14:paraId="23A5C84E" w14:textId="77777777" w:rsidTr="00471726">
        <w:trPr>
          <w:trHeight w:hRule="exact" w:val="570"/>
        </w:trPr>
        <w:tc>
          <w:tcPr>
            <w:tcW w:w="4559" w:type="pct"/>
            <w:tcBorders>
              <w:top w:val="single" w:sz="5" w:space="0" w:color="000000"/>
              <w:left w:val="single" w:sz="5" w:space="0" w:color="000000"/>
              <w:bottom w:val="single" w:sz="5" w:space="0" w:color="000000"/>
              <w:right w:val="single" w:sz="5" w:space="0" w:color="000000"/>
            </w:tcBorders>
          </w:tcPr>
          <w:p w14:paraId="478564F7" w14:textId="77777777" w:rsidR="008C66C4" w:rsidRPr="00A51E75" w:rsidRDefault="008C66C4">
            <w:pPr>
              <w:ind w:left="674" w:right="534"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.4       </w:t>
            </w:r>
            <w:r w:rsidRPr="00A51E75">
              <w:rPr>
                <w:rFonts w:eastAsia="Calibri" w:cstheme="minorHAnsi"/>
                <w:spacing w:val="14"/>
                <w:sz w:val="18"/>
                <w:szCs w:val="18"/>
                <w:lang w:val="en-US"/>
              </w:rPr>
              <w:t xml:space="preserve"> </w:t>
            </w:r>
            <w:r w:rsidRPr="00A51E75">
              <w:rPr>
                <w:rFonts w:eastAsia="Calibri" w:cstheme="minorHAnsi"/>
                <w:spacing w:val="-1"/>
                <w:sz w:val="18"/>
                <w:szCs w:val="18"/>
                <w:lang w:val="en-US"/>
              </w:rPr>
              <w:t>Adverse impacts on the enjoyment of human rights (civil, political, economic, social or cultural) of the affected population and</w:t>
            </w:r>
            <w:proofErr w:type="gramStart"/>
            <w:r w:rsidRPr="00A51E75">
              <w:rPr>
                <w:rFonts w:eastAsia="Calibri" w:cstheme="minorHAnsi"/>
                <w:spacing w:val="-1"/>
                <w:sz w:val="18"/>
                <w:szCs w:val="18"/>
                <w:lang w:val="en-US"/>
              </w:rPr>
              <w:t>, in particular, of</w:t>
            </w:r>
            <w:proofErr w:type="gramEnd"/>
            <w:r w:rsidRPr="00A51E75">
              <w:rPr>
                <w:rFonts w:eastAsia="Calibri" w:cstheme="minorHAnsi"/>
                <w:spacing w:val="-1"/>
                <w:sz w:val="18"/>
                <w:szCs w:val="18"/>
                <w:lang w:val="en-US"/>
              </w:rPr>
              <w:t xml:space="preserve"> marginalized groups?</w:t>
            </w:r>
          </w:p>
        </w:tc>
        <w:tc>
          <w:tcPr>
            <w:tcW w:w="441" w:type="pct"/>
            <w:tcBorders>
              <w:top w:val="single" w:sz="5" w:space="0" w:color="000000"/>
              <w:left w:val="single" w:sz="5" w:space="0" w:color="000000"/>
              <w:bottom w:val="single" w:sz="5" w:space="0" w:color="000000"/>
              <w:right w:val="single" w:sz="5" w:space="0" w:color="000000"/>
            </w:tcBorders>
          </w:tcPr>
          <w:p w14:paraId="637F3F21"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6315CAAE" w14:textId="77777777" w:rsidTr="00471726">
        <w:trPr>
          <w:trHeight w:hRule="exact" w:val="587"/>
        </w:trPr>
        <w:tc>
          <w:tcPr>
            <w:tcW w:w="4559" w:type="pct"/>
            <w:tcBorders>
              <w:top w:val="single" w:sz="5" w:space="0" w:color="000000"/>
              <w:left w:val="single" w:sz="5" w:space="0" w:color="000000"/>
              <w:bottom w:val="single" w:sz="5" w:space="0" w:color="000000"/>
              <w:right w:val="single" w:sz="5" w:space="0" w:color="000000"/>
            </w:tcBorders>
          </w:tcPr>
          <w:p w14:paraId="2A0220B8" w14:textId="77777777" w:rsidR="008C66C4" w:rsidRPr="00A51E75" w:rsidRDefault="008C66C4">
            <w:pPr>
              <w:ind w:left="674" w:right="546"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.5       </w:t>
            </w:r>
            <w:r w:rsidRPr="00A51E75">
              <w:rPr>
                <w:rFonts w:eastAsia="Calibri" w:cstheme="minorHAnsi"/>
                <w:spacing w:val="14"/>
                <w:sz w:val="18"/>
                <w:szCs w:val="18"/>
                <w:lang w:val="en-US"/>
              </w:rPr>
              <w:t xml:space="preserve"> </w:t>
            </w:r>
            <w:r w:rsidRPr="00A51E75">
              <w:rPr>
                <w:rFonts w:eastAsia="Calibri" w:cstheme="minorHAnsi"/>
                <w:spacing w:val="-1"/>
                <w:sz w:val="18"/>
                <w:szCs w:val="18"/>
                <w:lang w:val="en-US"/>
              </w:rPr>
              <w:t>Inequitable or discriminatory impacts on affected populations, particularly people living in poverty or marginalized or excluded individuals or groups, including people with disabilities?</w:t>
            </w:r>
            <w:r w:rsidRPr="00A51E75">
              <w:rPr>
                <w:rStyle w:val="Refdenotaalpie"/>
                <w:rFonts w:asciiTheme="minorHAnsi" w:eastAsia="Calibri" w:hAnsiTheme="minorHAnsi" w:cstheme="minorHAnsi"/>
                <w:spacing w:val="7"/>
                <w:szCs w:val="18"/>
                <w:lang w:val="en-US"/>
              </w:rPr>
              <w:footnoteReference w:id="20"/>
            </w:r>
          </w:p>
        </w:tc>
        <w:tc>
          <w:tcPr>
            <w:tcW w:w="441" w:type="pct"/>
            <w:tcBorders>
              <w:top w:val="single" w:sz="5" w:space="0" w:color="000000"/>
              <w:left w:val="single" w:sz="5" w:space="0" w:color="000000"/>
              <w:bottom w:val="single" w:sz="5" w:space="0" w:color="000000"/>
              <w:right w:val="single" w:sz="5" w:space="0" w:color="000000"/>
            </w:tcBorders>
          </w:tcPr>
          <w:p w14:paraId="2EADF827"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0C08F78" w14:textId="77777777" w:rsidTr="00471726">
        <w:trPr>
          <w:trHeight w:hRule="exact" w:val="565"/>
        </w:trPr>
        <w:tc>
          <w:tcPr>
            <w:tcW w:w="4559" w:type="pct"/>
            <w:tcBorders>
              <w:top w:val="single" w:sz="5" w:space="0" w:color="000000"/>
              <w:left w:val="single" w:sz="5" w:space="0" w:color="000000"/>
              <w:bottom w:val="single" w:sz="5" w:space="0" w:color="000000"/>
              <w:right w:val="single" w:sz="5" w:space="0" w:color="000000"/>
            </w:tcBorders>
          </w:tcPr>
          <w:p w14:paraId="560D5F3C" w14:textId="77777777" w:rsidR="008C66C4" w:rsidRPr="00A51E75" w:rsidRDefault="008C66C4">
            <w:pPr>
              <w:ind w:left="674" w:right="930" w:hanging="570"/>
              <w:rPr>
                <w:rFonts w:eastAsia="Calibri" w:cstheme="minorHAnsi"/>
                <w:sz w:val="18"/>
                <w:szCs w:val="18"/>
                <w:lang w:val="en-US"/>
              </w:rPr>
            </w:pPr>
            <w:r w:rsidRPr="00A51E75">
              <w:rPr>
                <w:rFonts w:eastAsia="Calibri" w:cstheme="minorHAnsi"/>
                <w:spacing w:val="2"/>
                <w:sz w:val="18"/>
                <w:szCs w:val="18"/>
                <w:lang w:val="en-US"/>
              </w:rPr>
              <w:lastRenderedPageBreak/>
              <w:t>P</w:t>
            </w:r>
            <w:r w:rsidRPr="00A51E75">
              <w:rPr>
                <w:rFonts w:eastAsia="Calibri" w:cstheme="minorHAnsi"/>
                <w:sz w:val="18"/>
                <w:szCs w:val="18"/>
                <w:lang w:val="en-US"/>
              </w:rPr>
              <w:t xml:space="preserve">.6       </w:t>
            </w:r>
            <w:r w:rsidRPr="00A51E75">
              <w:rPr>
                <w:rFonts w:eastAsia="Calibri" w:cstheme="minorHAnsi"/>
                <w:spacing w:val="14"/>
                <w:sz w:val="18"/>
                <w:szCs w:val="18"/>
                <w:lang w:val="en-US"/>
              </w:rPr>
              <w:t xml:space="preserve"> </w:t>
            </w:r>
            <w:r w:rsidRPr="00A51E75">
              <w:rPr>
                <w:rFonts w:eastAsia="Calibri" w:cstheme="minorHAnsi"/>
                <w:spacing w:val="2"/>
                <w:sz w:val="18"/>
                <w:szCs w:val="18"/>
                <w:lang w:val="en-US"/>
              </w:rPr>
              <w:t xml:space="preserve">Restrictions on the availability, quality, and/or access to basic resources or services, particularly for marginalized individuals or groups, including </w:t>
            </w:r>
            <w:proofErr w:type="gramStart"/>
            <w:r w:rsidRPr="00A51E75">
              <w:rPr>
                <w:rFonts w:eastAsia="Calibri" w:cstheme="minorHAnsi"/>
                <w:spacing w:val="2"/>
                <w:sz w:val="18"/>
                <w:szCs w:val="18"/>
                <w:lang w:val="en-US"/>
              </w:rPr>
              <w:t>persons</w:t>
            </w:r>
            <w:proofErr w:type="gramEnd"/>
            <w:r w:rsidRPr="00A51E75">
              <w:rPr>
                <w:rFonts w:eastAsia="Calibri" w:cstheme="minorHAnsi"/>
                <w:spacing w:val="2"/>
                <w:sz w:val="18"/>
                <w:szCs w:val="18"/>
                <w:lang w:val="en-US"/>
              </w:rPr>
              <w:t xml:space="preserve"> with disabilities?</w:t>
            </w:r>
          </w:p>
        </w:tc>
        <w:tc>
          <w:tcPr>
            <w:tcW w:w="441" w:type="pct"/>
            <w:tcBorders>
              <w:top w:val="single" w:sz="5" w:space="0" w:color="000000"/>
              <w:left w:val="single" w:sz="5" w:space="0" w:color="000000"/>
              <w:bottom w:val="single" w:sz="5" w:space="0" w:color="000000"/>
              <w:right w:val="single" w:sz="5" w:space="0" w:color="000000"/>
            </w:tcBorders>
          </w:tcPr>
          <w:p w14:paraId="5A0B5B75"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6BDA2F71" w14:textId="77777777" w:rsidTr="00471726">
        <w:trPr>
          <w:trHeight w:hRule="exact" w:val="570"/>
        </w:trPr>
        <w:tc>
          <w:tcPr>
            <w:tcW w:w="4559" w:type="pct"/>
            <w:tcBorders>
              <w:top w:val="single" w:sz="5" w:space="0" w:color="000000"/>
              <w:left w:val="single" w:sz="5" w:space="0" w:color="000000"/>
              <w:bottom w:val="single" w:sz="5" w:space="0" w:color="000000"/>
              <w:right w:val="single" w:sz="5" w:space="0" w:color="000000"/>
            </w:tcBorders>
          </w:tcPr>
          <w:p w14:paraId="764C9AA6" w14:textId="77777777" w:rsidR="008C66C4" w:rsidRPr="00A51E75" w:rsidRDefault="008C66C4">
            <w:pPr>
              <w:ind w:left="674" w:right="889"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.7       </w:t>
            </w:r>
            <w:r w:rsidRPr="00A51E75">
              <w:rPr>
                <w:rFonts w:eastAsia="Calibri" w:cstheme="minorHAnsi"/>
                <w:spacing w:val="14"/>
                <w:sz w:val="18"/>
                <w:szCs w:val="18"/>
                <w:lang w:val="en-US"/>
              </w:rPr>
              <w:t xml:space="preserve"> </w:t>
            </w:r>
            <w:r w:rsidRPr="00A51E75">
              <w:rPr>
                <w:rFonts w:eastAsia="Calibri" w:cstheme="minorHAnsi"/>
                <w:sz w:val="18"/>
                <w:szCs w:val="18"/>
                <w:lang w:val="en-US"/>
              </w:rPr>
              <w:t>Exacerbation of conflicts between communities and individuals affected by the project and/or risk of violence against them?</w:t>
            </w:r>
          </w:p>
        </w:tc>
        <w:tc>
          <w:tcPr>
            <w:tcW w:w="441" w:type="pct"/>
            <w:tcBorders>
              <w:top w:val="single" w:sz="5" w:space="0" w:color="000000"/>
              <w:left w:val="single" w:sz="5" w:space="0" w:color="000000"/>
              <w:bottom w:val="single" w:sz="5" w:space="0" w:color="000000"/>
              <w:right w:val="single" w:sz="5" w:space="0" w:color="000000"/>
            </w:tcBorders>
          </w:tcPr>
          <w:p w14:paraId="73D5CB03"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63505D" w14:paraId="64464CFF" w14:textId="77777777" w:rsidTr="00471726">
        <w:trPr>
          <w:trHeight w:hRule="exact" w:val="470"/>
        </w:trPr>
        <w:tc>
          <w:tcPr>
            <w:tcW w:w="4559" w:type="pct"/>
            <w:tcBorders>
              <w:top w:val="single" w:sz="5" w:space="0" w:color="000000"/>
              <w:left w:val="single" w:sz="5" w:space="0" w:color="000000"/>
              <w:bottom w:val="single" w:sz="5" w:space="0" w:color="000000"/>
              <w:right w:val="single" w:sz="5" w:space="0" w:color="000000"/>
            </w:tcBorders>
            <w:shd w:val="clear" w:color="auto" w:fill="DBE3EF"/>
          </w:tcPr>
          <w:p w14:paraId="2C5AFDE9" w14:textId="77777777" w:rsidR="008C66C4" w:rsidRPr="00A51E75" w:rsidRDefault="008C66C4">
            <w:pPr>
              <w:rPr>
                <w:rFonts w:cstheme="minorHAnsi"/>
                <w:sz w:val="11"/>
                <w:szCs w:val="11"/>
                <w:lang w:val="en-US"/>
              </w:rPr>
            </w:pPr>
          </w:p>
          <w:p w14:paraId="39CB90DD" w14:textId="77777777" w:rsidR="008C66C4" w:rsidRPr="00A51E75" w:rsidRDefault="008C66C4">
            <w:pPr>
              <w:ind w:left="104"/>
              <w:rPr>
                <w:rFonts w:eastAsia="Calibri" w:cstheme="minorHAnsi"/>
                <w:sz w:val="20"/>
                <w:szCs w:val="20"/>
                <w:lang w:val="en-US"/>
              </w:rPr>
            </w:pPr>
            <w:r w:rsidRPr="00A51E75">
              <w:rPr>
                <w:rFonts w:eastAsia="Calibri" w:cstheme="minorHAnsi"/>
                <w:b/>
                <w:spacing w:val="2"/>
                <w:sz w:val="20"/>
                <w:szCs w:val="20"/>
                <w:lang w:val="en-US"/>
              </w:rPr>
              <w:t>Gender Equality and Women's Empowerment</w:t>
            </w:r>
          </w:p>
        </w:tc>
        <w:tc>
          <w:tcPr>
            <w:tcW w:w="441" w:type="pct"/>
            <w:tcBorders>
              <w:top w:val="single" w:sz="5" w:space="0" w:color="000000"/>
              <w:left w:val="single" w:sz="5" w:space="0" w:color="000000"/>
              <w:bottom w:val="single" w:sz="5" w:space="0" w:color="000000"/>
              <w:right w:val="single" w:sz="5" w:space="0" w:color="000000"/>
            </w:tcBorders>
            <w:shd w:val="clear" w:color="auto" w:fill="DBE3EF"/>
          </w:tcPr>
          <w:p w14:paraId="5181311F" w14:textId="77777777" w:rsidR="008C66C4" w:rsidRPr="00A51E75" w:rsidRDefault="008C66C4">
            <w:pPr>
              <w:rPr>
                <w:rFonts w:cstheme="minorHAnsi"/>
                <w:sz w:val="18"/>
                <w:szCs w:val="18"/>
                <w:lang w:val="en-US"/>
              </w:rPr>
            </w:pPr>
          </w:p>
        </w:tc>
      </w:tr>
      <w:tr w:rsidR="008C66C4" w:rsidRPr="00A51E75" w14:paraId="5002CA9E" w14:textId="77777777" w:rsidTr="00471726">
        <w:trPr>
          <w:trHeight w:hRule="exact" w:val="620"/>
        </w:trPr>
        <w:tc>
          <w:tcPr>
            <w:tcW w:w="4559" w:type="pct"/>
            <w:tcBorders>
              <w:top w:val="single" w:sz="5" w:space="0" w:color="000000"/>
              <w:left w:val="single" w:sz="5" w:space="0" w:color="000000"/>
              <w:bottom w:val="single" w:sz="5" w:space="0" w:color="000000"/>
              <w:right w:val="single" w:sz="5" w:space="0" w:color="000000"/>
            </w:tcBorders>
          </w:tcPr>
          <w:p w14:paraId="7804D190" w14:textId="77777777" w:rsidR="008C66C4" w:rsidRPr="00A51E75" w:rsidRDefault="008C66C4">
            <w:pPr>
              <w:ind w:left="104"/>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.8       </w:t>
            </w:r>
            <w:r w:rsidRPr="00A51E75">
              <w:rPr>
                <w:rFonts w:eastAsia="Calibri" w:cstheme="minorHAnsi"/>
                <w:spacing w:val="14"/>
                <w:sz w:val="18"/>
                <w:szCs w:val="18"/>
                <w:lang w:val="en-US"/>
              </w:rPr>
              <w:t xml:space="preserve"> </w:t>
            </w:r>
            <w:r w:rsidRPr="00A51E75">
              <w:rPr>
                <w:rFonts w:eastAsia="Calibri" w:cstheme="minorHAnsi"/>
                <w:sz w:val="18"/>
                <w:szCs w:val="18"/>
                <w:lang w:val="en-US"/>
              </w:rPr>
              <w:t>Have women groups or leaders raised gender equality concerns regarding the project (e.g., during the stakeholder engagement process, grievance processes, or public statements)?</w:t>
            </w:r>
          </w:p>
        </w:tc>
        <w:tc>
          <w:tcPr>
            <w:tcW w:w="441" w:type="pct"/>
            <w:tcBorders>
              <w:top w:val="single" w:sz="5" w:space="0" w:color="000000"/>
              <w:left w:val="single" w:sz="5" w:space="0" w:color="000000"/>
              <w:bottom w:val="single" w:sz="5" w:space="0" w:color="000000"/>
              <w:right w:val="single" w:sz="5" w:space="0" w:color="000000"/>
            </w:tcBorders>
          </w:tcPr>
          <w:p w14:paraId="6BE875F9"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63505D" w14:paraId="0C9352BC" w14:textId="77777777" w:rsidTr="00471726">
        <w:trPr>
          <w:trHeight w:hRule="exact" w:val="350"/>
        </w:trPr>
        <w:tc>
          <w:tcPr>
            <w:tcW w:w="4559" w:type="pct"/>
            <w:tcBorders>
              <w:top w:val="single" w:sz="5" w:space="0" w:color="000000"/>
              <w:left w:val="single" w:sz="5" w:space="0" w:color="000000"/>
              <w:bottom w:val="single" w:sz="5" w:space="0" w:color="000000"/>
              <w:right w:val="single" w:sz="5" w:space="0" w:color="000000"/>
            </w:tcBorders>
          </w:tcPr>
          <w:p w14:paraId="1623DE4D"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441" w:type="pct"/>
            <w:tcBorders>
              <w:top w:val="single" w:sz="5" w:space="0" w:color="000000"/>
              <w:left w:val="single" w:sz="5" w:space="0" w:color="000000"/>
              <w:bottom w:val="single" w:sz="5" w:space="0" w:color="000000"/>
              <w:right w:val="single" w:sz="5" w:space="0" w:color="000000"/>
            </w:tcBorders>
          </w:tcPr>
          <w:p w14:paraId="7913EDB6" w14:textId="77777777" w:rsidR="008C66C4" w:rsidRPr="00A51E75" w:rsidRDefault="008C66C4">
            <w:pPr>
              <w:rPr>
                <w:rFonts w:cstheme="minorHAnsi"/>
                <w:sz w:val="18"/>
                <w:szCs w:val="18"/>
                <w:lang w:val="en-US"/>
              </w:rPr>
            </w:pPr>
          </w:p>
        </w:tc>
      </w:tr>
      <w:tr w:rsidR="008C66C4" w:rsidRPr="00A51E75" w14:paraId="644DF007" w14:textId="77777777" w:rsidTr="00471726">
        <w:trPr>
          <w:trHeight w:hRule="exact" w:val="350"/>
        </w:trPr>
        <w:tc>
          <w:tcPr>
            <w:tcW w:w="4559" w:type="pct"/>
            <w:tcBorders>
              <w:top w:val="single" w:sz="5" w:space="0" w:color="000000"/>
              <w:left w:val="single" w:sz="5" w:space="0" w:color="000000"/>
              <w:bottom w:val="single" w:sz="5" w:space="0" w:color="000000"/>
              <w:right w:val="single" w:sz="5" w:space="0" w:color="000000"/>
            </w:tcBorders>
          </w:tcPr>
          <w:p w14:paraId="0AD9B444" w14:textId="77777777" w:rsidR="008C66C4" w:rsidRPr="00A51E75" w:rsidRDefault="008C66C4">
            <w:pPr>
              <w:ind w:left="104"/>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 xml:space="preserve">.9       </w:t>
            </w:r>
            <w:r w:rsidRPr="00A51E75">
              <w:rPr>
                <w:rFonts w:eastAsia="Calibri" w:cstheme="minorHAnsi"/>
                <w:spacing w:val="14"/>
                <w:sz w:val="18"/>
                <w:szCs w:val="18"/>
                <w:lang w:val="en-US"/>
              </w:rPr>
              <w:t xml:space="preserve"> </w:t>
            </w:r>
            <w:r w:rsidRPr="00A51E75">
              <w:rPr>
                <w:rFonts w:eastAsia="Calibri" w:cstheme="minorHAnsi"/>
                <w:spacing w:val="-1"/>
                <w:sz w:val="18"/>
                <w:szCs w:val="18"/>
                <w:lang w:val="en-US"/>
              </w:rPr>
              <w:t>Adverse impacts on gender equality and/or the situation of women and girls?</w:t>
            </w:r>
          </w:p>
        </w:tc>
        <w:tc>
          <w:tcPr>
            <w:tcW w:w="441" w:type="pct"/>
            <w:tcBorders>
              <w:top w:val="single" w:sz="5" w:space="0" w:color="000000"/>
              <w:left w:val="single" w:sz="5" w:space="0" w:color="000000"/>
              <w:bottom w:val="single" w:sz="5" w:space="0" w:color="000000"/>
              <w:right w:val="single" w:sz="5" w:space="0" w:color="000000"/>
            </w:tcBorders>
          </w:tcPr>
          <w:p w14:paraId="5CE5507F"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40C2037" w14:textId="77777777" w:rsidTr="00471726">
        <w:trPr>
          <w:trHeight w:hRule="exact" w:val="565"/>
        </w:trPr>
        <w:tc>
          <w:tcPr>
            <w:tcW w:w="4559" w:type="pct"/>
            <w:tcBorders>
              <w:top w:val="single" w:sz="5" w:space="0" w:color="000000"/>
              <w:left w:val="single" w:sz="5" w:space="0" w:color="000000"/>
              <w:bottom w:val="single" w:sz="5" w:space="0" w:color="000000"/>
              <w:right w:val="single" w:sz="5" w:space="0" w:color="000000"/>
            </w:tcBorders>
          </w:tcPr>
          <w:p w14:paraId="1CFE18DB" w14:textId="77777777" w:rsidR="008C66C4" w:rsidRPr="00A51E75" w:rsidRDefault="008C66C4">
            <w:pPr>
              <w:ind w:left="674" w:right="277"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0     </w:t>
            </w:r>
            <w:r w:rsidRPr="00A51E75">
              <w:rPr>
                <w:rFonts w:eastAsia="Calibri" w:cstheme="minorHAnsi"/>
                <w:spacing w:val="5"/>
                <w:sz w:val="18"/>
                <w:szCs w:val="18"/>
                <w:lang w:val="en-US"/>
              </w:rPr>
              <w:t xml:space="preserve"> </w:t>
            </w:r>
            <w:r w:rsidRPr="00A51E75">
              <w:rPr>
                <w:rFonts w:eastAsia="Calibri" w:cstheme="minorHAnsi"/>
                <w:spacing w:val="2"/>
                <w:sz w:val="18"/>
                <w:szCs w:val="18"/>
                <w:lang w:val="en-US"/>
              </w:rPr>
              <w:t xml:space="preserve">Reproduce gender-based discrimination against women, especially </w:t>
            </w:r>
            <w:proofErr w:type="gramStart"/>
            <w:r w:rsidRPr="00A51E75">
              <w:rPr>
                <w:rFonts w:eastAsia="Calibri" w:cstheme="minorHAnsi"/>
                <w:spacing w:val="2"/>
                <w:sz w:val="18"/>
                <w:szCs w:val="18"/>
                <w:lang w:val="en-US"/>
              </w:rPr>
              <w:t>with regard to</w:t>
            </w:r>
            <w:proofErr w:type="gramEnd"/>
            <w:r w:rsidRPr="00A51E75">
              <w:rPr>
                <w:rFonts w:eastAsia="Calibri" w:cstheme="minorHAnsi"/>
                <w:spacing w:val="2"/>
                <w:sz w:val="18"/>
                <w:szCs w:val="18"/>
                <w:lang w:val="en-US"/>
              </w:rPr>
              <w:t xml:space="preserve"> participation in design and implementation or access to opportunities and benefits?</w:t>
            </w:r>
          </w:p>
        </w:tc>
        <w:tc>
          <w:tcPr>
            <w:tcW w:w="441" w:type="pct"/>
            <w:tcBorders>
              <w:top w:val="single" w:sz="5" w:space="0" w:color="000000"/>
              <w:left w:val="single" w:sz="5" w:space="0" w:color="000000"/>
              <w:bottom w:val="single" w:sz="5" w:space="0" w:color="000000"/>
              <w:right w:val="single" w:sz="5" w:space="0" w:color="000000"/>
            </w:tcBorders>
          </w:tcPr>
          <w:p w14:paraId="5B0C5B01"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3AD145A5" w14:textId="77777777" w:rsidTr="00471726">
        <w:trPr>
          <w:trHeight w:hRule="exact" w:val="1071"/>
        </w:trPr>
        <w:tc>
          <w:tcPr>
            <w:tcW w:w="4559" w:type="pct"/>
            <w:tcBorders>
              <w:top w:val="single" w:sz="5" w:space="0" w:color="000000"/>
              <w:left w:val="single" w:sz="5" w:space="0" w:color="000000"/>
              <w:bottom w:val="single" w:sz="5" w:space="0" w:color="000000"/>
              <w:right w:val="single" w:sz="5" w:space="0" w:color="000000"/>
            </w:tcBorders>
          </w:tcPr>
          <w:p w14:paraId="603C9234" w14:textId="77777777" w:rsidR="008C66C4" w:rsidRPr="00A51E75" w:rsidRDefault="008C66C4">
            <w:pPr>
              <w:ind w:left="605" w:right="293" w:hanging="605"/>
              <w:rPr>
                <w:rFonts w:eastAsia="Calibri" w:cstheme="minorHAnsi"/>
                <w:sz w:val="18"/>
                <w:szCs w:val="18"/>
                <w:lang w:val="en-US"/>
              </w:rPr>
            </w:pPr>
            <w:r w:rsidRPr="00A51E75">
              <w:rPr>
                <w:rFonts w:eastAsia="Calibri" w:cstheme="minorHAnsi"/>
                <w:sz w:val="18"/>
                <w:szCs w:val="18"/>
                <w:lang w:val="en-US"/>
              </w:rPr>
              <w:t>P.</w:t>
            </w:r>
            <w:r w:rsidRPr="00A51E75">
              <w:rPr>
                <w:rFonts w:eastAsia="Calibri" w:cstheme="minorHAnsi"/>
                <w:spacing w:val="-2"/>
                <w:sz w:val="18"/>
                <w:szCs w:val="18"/>
                <w:lang w:val="en-US"/>
              </w:rPr>
              <w:t>1</w:t>
            </w:r>
            <w:r w:rsidRPr="00A51E75">
              <w:rPr>
                <w:rFonts w:eastAsia="Calibri" w:cstheme="minorHAnsi"/>
                <w:sz w:val="18"/>
                <w:szCs w:val="18"/>
                <w:lang w:val="en-US"/>
              </w:rPr>
              <w:t xml:space="preserve">1     </w:t>
            </w:r>
            <w:r w:rsidRPr="00A51E75">
              <w:rPr>
                <w:rFonts w:eastAsia="Calibri" w:cstheme="minorHAnsi"/>
                <w:spacing w:val="5"/>
                <w:sz w:val="18"/>
                <w:szCs w:val="18"/>
                <w:lang w:val="en-US"/>
              </w:rPr>
              <w:t xml:space="preserve"> </w:t>
            </w:r>
            <w:r w:rsidRPr="00A51E75">
              <w:rPr>
                <w:rFonts w:eastAsia="Calibri" w:cstheme="minorHAnsi"/>
                <w:spacing w:val="-1"/>
                <w:sz w:val="18"/>
                <w:szCs w:val="18"/>
                <w:lang w:val="en-US"/>
              </w:rPr>
              <w:t>What are the constraints on women's ability to use, develop, and protect natural resources, considering the different roles and positions of women and men in accessing environmental goods and services? For example, activities that could lead to the degradation or depletion of natural resources in communities that depend on these resources for their livelihoods and well-being.</w:t>
            </w:r>
          </w:p>
        </w:tc>
        <w:tc>
          <w:tcPr>
            <w:tcW w:w="441" w:type="pct"/>
            <w:tcBorders>
              <w:top w:val="single" w:sz="5" w:space="0" w:color="000000"/>
              <w:left w:val="single" w:sz="5" w:space="0" w:color="000000"/>
              <w:bottom w:val="single" w:sz="5" w:space="0" w:color="000000"/>
              <w:right w:val="single" w:sz="5" w:space="0" w:color="000000"/>
            </w:tcBorders>
          </w:tcPr>
          <w:p w14:paraId="0EC1C5E3"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56C52762" w14:textId="77777777" w:rsidTr="00471726">
        <w:trPr>
          <w:trHeight w:hRule="exact" w:val="850"/>
        </w:trPr>
        <w:tc>
          <w:tcPr>
            <w:tcW w:w="4559" w:type="pct"/>
            <w:tcBorders>
              <w:top w:val="single" w:sz="5" w:space="0" w:color="000000"/>
              <w:left w:val="single" w:sz="5" w:space="0" w:color="000000"/>
              <w:bottom w:val="single" w:sz="5" w:space="0" w:color="000000"/>
              <w:right w:val="single" w:sz="5" w:space="0" w:color="000000"/>
            </w:tcBorders>
          </w:tcPr>
          <w:p w14:paraId="09699CEB" w14:textId="77777777" w:rsidR="008C66C4" w:rsidRPr="00A51E75" w:rsidRDefault="008C66C4">
            <w:pPr>
              <w:ind w:left="605" w:right="297" w:hanging="605"/>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2     </w:t>
            </w:r>
            <w:r w:rsidRPr="00A51E75">
              <w:rPr>
                <w:rFonts w:eastAsia="Calibri" w:cstheme="minorHAnsi"/>
                <w:spacing w:val="5"/>
                <w:sz w:val="18"/>
                <w:szCs w:val="18"/>
                <w:lang w:val="en-US"/>
              </w:rPr>
              <w:t xml:space="preserve"> </w:t>
            </w:r>
            <w:r w:rsidRPr="00A51E75">
              <w:rPr>
                <w:rFonts w:eastAsia="Calibri" w:cstheme="minorHAnsi"/>
                <w:sz w:val="18"/>
                <w:szCs w:val="18"/>
                <w:lang w:val="en-US"/>
              </w:rPr>
              <w:t>Exacerbation of gender-based violence risks? For example, through the arrival of workers in a community, changes in power dynamics in the community and within households, increased exposure to unsafe public places and/or transportation, etc.</w:t>
            </w:r>
          </w:p>
        </w:tc>
        <w:tc>
          <w:tcPr>
            <w:tcW w:w="441" w:type="pct"/>
            <w:tcBorders>
              <w:top w:val="single" w:sz="5" w:space="0" w:color="000000"/>
              <w:left w:val="single" w:sz="5" w:space="0" w:color="000000"/>
              <w:bottom w:val="single" w:sz="5" w:space="0" w:color="000000"/>
              <w:right w:val="single" w:sz="5" w:space="0" w:color="000000"/>
            </w:tcBorders>
          </w:tcPr>
          <w:p w14:paraId="33B58BE9" w14:textId="77777777" w:rsidR="008C66C4" w:rsidRPr="00A51E75" w:rsidRDefault="008C66C4">
            <w:pPr>
              <w:rPr>
                <w:rFonts w:cstheme="minorHAnsi"/>
                <w:sz w:val="18"/>
                <w:szCs w:val="18"/>
                <w:lang w:val="en-US"/>
              </w:rPr>
            </w:pPr>
            <w:r w:rsidRPr="00A51E75">
              <w:rPr>
                <w:rFonts w:cstheme="minorHAnsi"/>
                <w:sz w:val="18"/>
                <w:szCs w:val="18"/>
                <w:lang w:val="en-US"/>
              </w:rPr>
              <w:t>Yes</w:t>
            </w:r>
          </w:p>
        </w:tc>
      </w:tr>
    </w:tbl>
    <w:p w14:paraId="6484CE37" w14:textId="77777777" w:rsidR="008C66C4" w:rsidRPr="00A51E75" w:rsidRDefault="008C66C4" w:rsidP="008C66C4">
      <w:pPr>
        <w:rPr>
          <w:rFonts w:cstheme="minorHAnsi"/>
          <w:sz w:val="15"/>
          <w:szCs w:val="15"/>
          <w:lang w:val="en-US"/>
        </w:rPr>
      </w:pPr>
    </w:p>
    <w:p w14:paraId="55E7F83C" w14:textId="77777777" w:rsidR="008C66C4" w:rsidRPr="00A51E75" w:rsidRDefault="008C66C4" w:rsidP="008C66C4">
      <w:pPr>
        <w:rPr>
          <w:rFonts w:cstheme="minorHAnsi"/>
          <w:sz w:val="15"/>
          <w:szCs w:val="15"/>
          <w:lang w:val="en-US"/>
        </w:rPr>
      </w:pPr>
    </w:p>
    <w:p w14:paraId="3F2AF0FC" w14:textId="77777777" w:rsidR="008C66C4" w:rsidRPr="00A51E75" w:rsidRDefault="008C66C4" w:rsidP="008C66C4">
      <w:pPr>
        <w:rPr>
          <w:rFonts w:cstheme="minorHAnsi"/>
          <w:sz w:val="15"/>
          <w:szCs w:val="15"/>
          <w:lang w:val="en-US"/>
        </w:rPr>
      </w:pPr>
    </w:p>
    <w:tbl>
      <w:tblPr>
        <w:tblW w:w="5000" w:type="pct"/>
        <w:tblCellMar>
          <w:left w:w="0" w:type="dxa"/>
          <w:right w:w="0" w:type="dxa"/>
        </w:tblCellMar>
        <w:tblLook w:val="01E0" w:firstRow="1" w:lastRow="1" w:firstColumn="1" w:lastColumn="1" w:noHBand="0" w:noVBand="0"/>
      </w:tblPr>
      <w:tblGrid>
        <w:gridCol w:w="12906"/>
        <w:gridCol w:w="1482"/>
      </w:tblGrid>
      <w:tr w:rsidR="008C66C4" w:rsidRPr="0063505D" w14:paraId="7FF1E581" w14:textId="77777777" w:rsidTr="00471726">
        <w:trPr>
          <w:trHeight w:hRule="exact" w:val="690"/>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6D6BCF8E" w14:textId="77777777" w:rsidR="008C66C4" w:rsidRPr="00A51E75" w:rsidRDefault="008C66C4">
            <w:pPr>
              <w:ind w:right="189"/>
              <w:rPr>
                <w:rFonts w:eastAsia="Calibri" w:cstheme="minorHAnsi"/>
                <w:sz w:val="18"/>
                <w:szCs w:val="18"/>
                <w:lang w:val="en-US"/>
              </w:rPr>
            </w:pPr>
            <w:r w:rsidRPr="00A51E75">
              <w:rPr>
                <w:rFonts w:eastAsia="Calibri" w:cstheme="minorHAnsi"/>
                <w:b/>
                <w:sz w:val="20"/>
                <w:szCs w:val="20"/>
                <w:lang w:val="en-US"/>
              </w:rPr>
              <w:t xml:space="preserve">Sustainability and Resilience: </w:t>
            </w:r>
            <w:r w:rsidRPr="00A51E75">
              <w:rPr>
                <w:rFonts w:eastAsia="Calibri" w:cstheme="minorHAnsi"/>
                <w:spacing w:val="2"/>
                <w:sz w:val="18"/>
                <w:szCs w:val="18"/>
                <w:lang w:val="en-US"/>
              </w:rPr>
              <w:t>Screening questions on risks associated with sustainability and resilience are covered in the Standard-specific questions below.</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5C067CE3" w14:textId="77777777" w:rsidR="008C66C4" w:rsidRPr="00A51E75" w:rsidRDefault="008C66C4">
            <w:pPr>
              <w:rPr>
                <w:rFonts w:cstheme="minorHAnsi"/>
                <w:lang w:val="en-US"/>
              </w:rPr>
            </w:pPr>
          </w:p>
        </w:tc>
      </w:tr>
      <w:tr w:rsidR="008C66C4" w:rsidRPr="00A51E75" w14:paraId="5F33D66A" w14:textId="77777777" w:rsidTr="00471726">
        <w:trPr>
          <w:trHeight w:hRule="exact" w:val="470"/>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7DFE8C48" w14:textId="77777777" w:rsidR="008C66C4" w:rsidRPr="00A51E75" w:rsidRDefault="008C66C4">
            <w:pPr>
              <w:rPr>
                <w:rFonts w:cstheme="minorHAnsi"/>
                <w:sz w:val="11"/>
                <w:szCs w:val="11"/>
                <w:lang w:val="en-US"/>
              </w:rPr>
            </w:pPr>
          </w:p>
          <w:p w14:paraId="2958A144" w14:textId="77777777" w:rsidR="008C66C4" w:rsidRPr="00A51E75" w:rsidRDefault="008C66C4">
            <w:pPr>
              <w:ind w:left="104"/>
              <w:rPr>
                <w:rFonts w:eastAsia="Calibri" w:cstheme="minorHAnsi"/>
                <w:sz w:val="20"/>
                <w:szCs w:val="20"/>
                <w:lang w:val="en-US"/>
              </w:rPr>
            </w:pPr>
            <w:r w:rsidRPr="00A51E75">
              <w:rPr>
                <w:rFonts w:eastAsia="Calibri" w:cstheme="minorHAnsi"/>
                <w:b/>
                <w:spacing w:val="1"/>
                <w:sz w:val="20"/>
                <w:szCs w:val="20"/>
                <w:lang w:val="en-US"/>
              </w:rPr>
              <w:t>Responsibility and Accountability</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482F71F6" w14:textId="77777777" w:rsidR="008C66C4" w:rsidRPr="00A51E75" w:rsidRDefault="008C66C4">
            <w:pPr>
              <w:rPr>
                <w:rFonts w:cstheme="minorHAnsi"/>
                <w:lang w:val="en-US"/>
              </w:rPr>
            </w:pPr>
          </w:p>
        </w:tc>
      </w:tr>
      <w:tr w:rsidR="008C66C4" w:rsidRPr="0063505D" w14:paraId="789899E8"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62B5777F"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66B63EEB" w14:textId="77777777" w:rsidR="008C66C4" w:rsidRPr="00A51E75" w:rsidRDefault="008C66C4">
            <w:pPr>
              <w:rPr>
                <w:rFonts w:cstheme="minorHAnsi"/>
                <w:lang w:val="en-US"/>
              </w:rPr>
            </w:pPr>
          </w:p>
        </w:tc>
      </w:tr>
      <w:tr w:rsidR="008C66C4" w:rsidRPr="00A51E75" w14:paraId="078D66B3" w14:textId="77777777" w:rsidTr="00471726">
        <w:trPr>
          <w:trHeight w:hRule="exact" w:val="694"/>
        </w:trPr>
        <w:tc>
          <w:tcPr>
            <w:tcW w:w="4485" w:type="pct"/>
            <w:tcBorders>
              <w:top w:val="single" w:sz="5" w:space="0" w:color="000000"/>
              <w:left w:val="single" w:sz="5" w:space="0" w:color="000000"/>
              <w:bottom w:val="single" w:sz="5" w:space="0" w:color="000000"/>
              <w:right w:val="single" w:sz="5" w:space="0" w:color="000000"/>
            </w:tcBorders>
          </w:tcPr>
          <w:p w14:paraId="11553FA3" w14:textId="77777777" w:rsidR="008C66C4" w:rsidRPr="00A51E75" w:rsidRDefault="008C66C4">
            <w:pPr>
              <w:ind w:left="674" w:right="243" w:hanging="570"/>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3     </w:t>
            </w:r>
            <w:r w:rsidRPr="00A51E75">
              <w:rPr>
                <w:rFonts w:eastAsia="Calibri" w:cstheme="minorHAnsi"/>
                <w:spacing w:val="5"/>
                <w:sz w:val="18"/>
                <w:szCs w:val="18"/>
                <w:lang w:val="en-US"/>
              </w:rPr>
              <w:t xml:space="preserve"> </w:t>
            </w:r>
            <w:r w:rsidRPr="00A51E75">
              <w:rPr>
                <w:rFonts w:eastAsia="Calibri" w:cstheme="minorHAnsi"/>
                <w:sz w:val="18"/>
                <w:szCs w:val="18"/>
                <w:lang w:val="en-US"/>
              </w:rPr>
              <w:t xml:space="preserve">Exclusion of all potentially affected stakeholders, particularly marginalized groups and excluded individuals (including </w:t>
            </w:r>
            <w:proofErr w:type="gramStart"/>
            <w:r w:rsidRPr="00A51E75">
              <w:rPr>
                <w:rFonts w:eastAsia="Calibri" w:cstheme="minorHAnsi"/>
                <w:sz w:val="18"/>
                <w:szCs w:val="18"/>
                <w:lang w:val="en-US"/>
              </w:rPr>
              <w:t>persons</w:t>
            </w:r>
            <w:proofErr w:type="gramEnd"/>
            <w:r w:rsidRPr="00A51E75">
              <w:rPr>
                <w:rFonts w:eastAsia="Calibri" w:cstheme="minorHAnsi"/>
                <w:sz w:val="18"/>
                <w:szCs w:val="18"/>
                <w:lang w:val="en-US"/>
              </w:rPr>
              <w:t xml:space="preserve"> with disabilities), from full participation in decisions that may affect them?</w:t>
            </w:r>
          </w:p>
        </w:tc>
        <w:tc>
          <w:tcPr>
            <w:tcW w:w="515" w:type="pct"/>
            <w:tcBorders>
              <w:top w:val="single" w:sz="5" w:space="0" w:color="000000"/>
              <w:left w:val="single" w:sz="5" w:space="0" w:color="000000"/>
              <w:bottom w:val="single" w:sz="5" w:space="0" w:color="000000"/>
              <w:right w:val="single" w:sz="5" w:space="0" w:color="000000"/>
            </w:tcBorders>
          </w:tcPr>
          <w:p w14:paraId="0E77087D"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60D060D1"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56A998D9" w14:textId="77777777" w:rsidR="008C66C4" w:rsidRPr="00A51E75" w:rsidRDefault="008C66C4">
            <w:pPr>
              <w:ind w:left="104"/>
              <w:rPr>
                <w:rFonts w:eastAsia="Calibri" w:cstheme="minorHAnsi"/>
                <w:sz w:val="18"/>
                <w:szCs w:val="18"/>
                <w:lang w:val="en-US"/>
              </w:rPr>
            </w:pPr>
            <w:r w:rsidRPr="00A51E75">
              <w:rPr>
                <w:rFonts w:eastAsia="Calibri" w:cstheme="minorHAnsi"/>
                <w:spacing w:val="2"/>
                <w:sz w:val="18"/>
                <w:szCs w:val="18"/>
                <w:lang w:val="en-US"/>
              </w:rPr>
              <w:t>P</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4     </w:t>
            </w:r>
            <w:r w:rsidRPr="00A51E75">
              <w:rPr>
                <w:rFonts w:eastAsia="Calibri" w:cstheme="minorHAnsi"/>
                <w:spacing w:val="5"/>
                <w:sz w:val="18"/>
                <w:szCs w:val="18"/>
                <w:lang w:val="en-US"/>
              </w:rPr>
              <w:t xml:space="preserve"> </w:t>
            </w:r>
            <w:r w:rsidRPr="00A51E75">
              <w:rPr>
                <w:rFonts w:eastAsia="Calibri" w:cstheme="minorHAnsi"/>
                <w:sz w:val="18"/>
                <w:szCs w:val="18"/>
                <w:lang w:val="en-US"/>
              </w:rPr>
              <w:t>Complaints or objections from potentially affected stakeholders?</w:t>
            </w:r>
          </w:p>
        </w:tc>
        <w:tc>
          <w:tcPr>
            <w:tcW w:w="515" w:type="pct"/>
            <w:tcBorders>
              <w:top w:val="single" w:sz="5" w:space="0" w:color="000000"/>
              <w:left w:val="single" w:sz="5" w:space="0" w:color="000000"/>
              <w:bottom w:val="single" w:sz="5" w:space="0" w:color="000000"/>
              <w:right w:val="single" w:sz="5" w:space="0" w:color="000000"/>
            </w:tcBorders>
          </w:tcPr>
          <w:p w14:paraId="4359A309"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39425501" w14:textId="77777777" w:rsidTr="00471726">
        <w:trPr>
          <w:trHeight w:hRule="exact" w:val="571"/>
        </w:trPr>
        <w:tc>
          <w:tcPr>
            <w:tcW w:w="4485" w:type="pct"/>
            <w:tcBorders>
              <w:top w:val="single" w:sz="5" w:space="0" w:color="000000"/>
              <w:left w:val="single" w:sz="5" w:space="0" w:color="000000"/>
              <w:bottom w:val="single" w:sz="5" w:space="0" w:color="000000"/>
              <w:right w:val="single" w:sz="5" w:space="0" w:color="000000"/>
            </w:tcBorders>
          </w:tcPr>
          <w:p w14:paraId="351F15E2" w14:textId="77777777" w:rsidR="008C66C4" w:rsidRPr="00A51E75" w:rsidRDefault="008C66C4">
            <w:pPr>
              <w:ind w:left="674" w:right="388" w:hanging="570"/>
              <w:rPr>
                <w:rFonts w:eastAsia="Calibri" w:cstheme="minorHAnsi"/>
                <w:sz w:val="18"/>
                <w:szCs w:val="18"/>
                <w:lang w:val="en-US"/>
              </w:rPr>
            </w:pPr>
            <w:r w:rsidRPr="00A51E75">
              <w:rPr>
                <w:rFonts w:eastAsia="Calibri" w:cstheme="minorHAnsi"/>
                <w:sz w:val="18"/>
                <w:szCs w:val="18"/>
                <w:lang w:val="en-US"/>
              </w:rPr>
              <w:t>P.</w:t>
            </w:r>
            <w:r w:rsidRPr="00A51E75">
              <w:rPr>
                <w:rFonts w:eastAsia="Calibri" w:cstheme="minorHAnsi"/>
                <w:spacing w:val="-2"/>
                <w:sz w:val="18"/>
                <w:szCs w:val="18"/>
                <w:lang w:val="en-US"/>
              </w:rPr>
              <w:t>1</w:t>
            </w:r>
            <w:r w:rsidRPr="00A51E75">
              <w:rPr>
                <w:rFonts w:eastAsia="Calibri" w:cstheme="minorHAnsi"/>
                <w:sz w:val="18"/>
                <w:szCs w:val="18"/>
                <w:lang w:val="en-US"/>
              </w:rPr>
              <w:t xml:space="preserve">5     </w:t>
            </w:r>
            <w:r w:rsidRPr="00A51E75">
              <w:rPr>
                <w:rFonts w:eastAsia="Calibri" w:cstheme="minorHAnsi"/>
                <w:spacing w:val="5"/>
                <w:sz w:val="18"/>
                <w:szCs w:val="18"/>
                <w:lang w:val="en-US"/>
              </w:rPr>
              <w:t xml:space="preserve"> </w:t>
            </w:r>
            <w:r w:rsidRPr="00A51E75">
              <w:rPr>
                <w:rFonts w:eastAsia="Calibri" w:cstheme="minorHAnsi"/>
                <w:spacing w:val="2"/>
                <w:sz w:val="18"/>
                <w:szCs w:val="18"/>
                <w:lang w:val="en-US"/>
              </w:rPr>
              <w:t xml:space="preserve">Are </w:t>
            </w:r>
            <w:proofErr w:type="gramStart"/>
            <w:r w:rsidRPr="00A51E75">
              <w:rPr>
                <w:rFonts w:eastAsia="Calibri" w:cstheme="minorHAnsi"/>
                <w:spacing w:val="2"/>
                <w:sz w:val="18"/>
                <w:szCs w:val="18"/>
                <w:lang w:val="en-US"/>
              </w:rPr>
              <w:t>there</w:t>
            </w:r>
            <w:proofErr w:type="gramEnd"/>
            <w:r w:rsidRPr="00A51E75">
              <w:rPr>
                <w:rFonts w:eastAsia="Calibri" w:cstheme="minorHAnsi"/>
                <w:spacing w:val="2"/>
                <w:sz w:val="18"/>
                <w:szCs w:val="18"/>
                <w:lang w:val="en-US"/>
              </w:rPr>
              <w:t xml:space="preserve"> risks of retaliation or reprisal against stakeholders who express concerns or complaints, or who attempt to participate in or obtain information about the project?</w:t>
            </w:r>
          </w:p>
        </w:tc>
        <w:tc>
          <w:tcPr>
            <w:tcW w:w="515" w:type="pct"/>
            <w:tcBorders>
              <w:top w:val="single" w:sz="5" w:space="0" w:color="000000"/>
              <w:left w:val="single" w:sz="5" w:space="0" w:color="000000"/>
              <w:bottom w:val="single" w:sz="5" w:space="0" w:color="000000"/>
              <w:right w:val="single" w:sz="5" w:space="0" w:color="000000"/>
            </w:tcBorders>
          </w:tcPr>
          <w:p w14:paraId="04973E6C"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4A2FC33D" w14:textId="77777777" w:rsidTr="00471726">
        <w:trPr>
          <w:trHeight w:hRule="exact" w:val="473"/>
        </w:trPr>
        <w:tc>
          <w:tcPr>
            <w:tcW w:w="4485" w:type="pct"/>
            <w:tcBorders>
              <w:top w:val="single" w:sz="5" w:space="0" w:color="000000"/>
              <w:left w:val="single" w:sz="5" w:space="0" w:color="000000"/>
              <w:bottom w:val="single" w:sz="7" w:space="0" w:color="000000"/>
              <w:right w:val="single" w:sz="5" w:space="0" w:color="000000"/>
            </w:tcBorders>
            <w:shd w:val="clear" w:color="auto" w:fill="DBE3EF"/>
          </w:tcPr>
          <w:p w14:paraId="40C3E1CD" w14:textId="77777777" w:rsidR="008C66C4" w:rsidRPr="00A51E75" w:rsidRDefault="008C66C4">
            <w:pPr>
              <w:rPr>
                <w:rFonts w:cstheme="minorHAnsi"/>
                <w:sz w:val="11"/>
                <w:szCs w:val="11"/>
                <w:lang w:val="en-US"/>
              </w:rPr>
            </w:pPr>
          </w:p>
          <w:p w14:paraId="35BA5887" w14:textId="77777777" w:rsidR="008C66C4" w:rsidRPr="00A51E75" w:rsidRDefault="008C66C4">
            <w:pPr>
              <w:ind w:left="104"/>
              <w:rPr>
                <w:rFonts w:eastAsia="Calibri" w:cstheme="minorHAnsi"/>
                <w:sz w:val="20"/>
                <w:szCs w:val="20"/>
                <w:lang w:val="en-US"/>
              </w:rPr>
            </w:pPr>
            <w:r w:rsidRPr="00A51E75">
              <w:rPr>
                <w:rFonts w:eastAsia="Calibri" w:cstheme="minorHAnsi"/>
                <w:b/>
                <w:spacing w:val="-1"/>
                <w:sz w:val="20"/>
                <w:szCs w:val="20"/>
                <w:lang w:val="en-US"/>
              </w:rPr>
              <w:t>Project-level standards</w:t>
            </w:r>
          </w:p>
        </w:tc>
        <w:tc>
          <w:tcPr>
            <w:tcW w:w="515" w:type="pct"/>
            <w:tcBorders>
              <w:top w:val="single" w:sz="5" w:space="0" w:color="000000"/>
              <w:left w:val="single" w:sz="5" w:space="0" w:color="000000"/>
              <w:bottom w:val="single" w:sz="7" w:space="0" w:color="000000"/>
              <w:right w:val="single" w:sz="5" w:space="0" w:color="000000"/>
            </w:tcBorders>
            <w:shd w:val="clear" w:color="auto" w:fill="DBE3EF"/>
          </w:tcPr>
          <w:p w14:paraId="48E311D4" w14:textId="77777777" w:rsidR="008C66C4" w:rsidRPr="00A51E75" w:rsidRDefault="008C66C4">
            <w:pPr>
              <w:rPr>
                <w:rFonts w:cstheme="minorHAnsi"/>
                <w:sz w:val="18"/>
                <w:szCs w:val="18"/>
                <w:lang w:val="en-US"/>
              </w:rPr>
            </w:pPr>
          </w:p>
        </w:tc>
      </w:tr>
      <w:tr w:rsidR="008C66C4" w:rsidRPr="0063505D" w14:paraId="62FE1A0E" w14:textId="77777777" w:rsidTr="00471726">
        <w:trPr>
          <w:trHeight w:hRule="exact" w:val="468"/>
        </w:trPr>
        <w:tc>
          <w:tcPr>
            <w:tcW w:w="4485" w:type="pct"/>
            <w:tcBorders>
              <w:top w:val="single" w:sz="7" w:space="0" w:color="000000"/>
              <w:left w:val="single" w:sz="5" w:space="0" w:color="000000"/>
              <w:bottom w:val="single" w:sz="5" w:space="0" w:color="000000"/>
              <w:right w:val="single" w:sz="5" w:space="0" w:color="000000"/>
            </w:tcBorders>
            <w:shd w:val="clear" w:color="auto" w:fill="DBE3EF"/>
          </w:tcPr>
          <w:p w14:paraId="2561D11B" w14:textId="77777777" w:rsidR="008C66C4" w:rsidRPr="00A51E75" w:rsidRDefault="008C66C4">
            <w:pPr>
              <w:rPr>
                <w:rFonts w:cstheme="minorHAnsi"/>
                <w:sz w:val="11"/>
                <w:szCs w:val="11"/>
                <w:lang w:val="en-US"/>
              </w:rPr>
            </w:pPr>
          </w:p>
          <w:p w14:paraId="349FB966" w14:textId="77777777" w:rsidR="008C66C4" w:rsidRPr="00A51E75" w:rsidRDefault="008C66C4">
            <w:pPr>
              <w:ind w:left="104"/>
              <w:rPr>
                <w:rFonts w:eastAsia="Calibri" w:cstheme="minorHAnsi"/>
                <w:sz w:val="18"/>
                <w:szCs w:val="18"/>
                <w:lang w:val="en-US"/>
              </w:rPr>
            </w:pPr>
            <w:r w:rsidRPr="00A51E75">
              <w:rPr>
                <w:rFonts w:eastAsia="Calibri" w:cstheme="minorHAnsi"/>
                <w:b/>
                <w:sz w:val="18"/>
                <w:szCs w:val="18"/>
                <w:lang w:val="en-US"/>
              </w:rPr>
              <w:t>Standard 1: Biodiversity conservation and sustainable management of natural resources</w:t>
            </w:r>
          </w:p>
        </w:tc>
        <w:tc>
          <w:tcPr>
            <w:tcW w:w="515" w:type="pct"/>
            <w:tcBorders>
              <w:top w:val="single" w:sz="7" w:space="0" w:color="000000"/>
              <w:left w:val="single" w:sz="5" w:space="0" w:color="000000"/>
              <w:bottom w:val="single" w:sz="5" w:space="0" w:color="000000"/>
              <w:right w:val="single" w:sz="5" w:space="0" w:color="000000"/>
            </w:tcBorders>
            <w:shd w:val="clear" w:color="auto" w:fill="DBE3EF"/>
          </w:tcPr>
          <w:p w14:paraId="6E98478F" w14:textId="77777777" w:rsidR="008C66C4" w:rsidRPr="00A51E75" w:rsidRDefault="008C66C4">
            <w:pPr>
              <w:rPr>
                <w:rFonts w:cstheme="minorHAnsi"/>
                <w:sz w:val="18"/>
                <w:szCs w:val="18"/>
                <w:lang w:val="en-US"/>
              </w:rPr>
            </w:pPr>
          </w:p>
        </w:tc>
      </w:tr>
      <w:tr w:rsidR="008C66C4" w:rsidRPr="0063505D" w14:paraId="7839CD36"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493A7483"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62948EDE" w14:textId="77777777" w:rsidR="008C66C4" w:rsidRPr="00A51E75" w:rsidRDefault="008C66C4">
            <w:pPr>
              <w:rPr>
                <w:rFonts w:cstheme="minorHAnsi"/>
                <w:sz w:val="18"/>
                <w:szCs w:val="18"/>
                <w:lang w:val="en-US"/>
              </w:rPr>
            </w:pPr>
          </w:p>
        </w:tc>
      </w:tr>
      <w:tr w:rsidR="008C66C4" w:rsidRPr="00A51E75" w14:paraId="10849385" w14:textId="77777777" w:rsidTr="00471726">
        <w:trPr>
          <w:trHeight w:hRule="exact" w:val="1061"/>
        </w:trPr>
        <w:tc>
          <w:tcPr>
            <w:tcW w:w="4485" w:type="pct"/>
            <w:tcBorders>
              <w:top w:val="single" w:sz="5" w:space="0" w:color="000000"/>
              <w:left w:val="single" w:sz="5" w:space="0" w:color="000000"/>
              <w:bottom w:val="single" w:sz="5" w:space="0" w:color="000000"/>
              <w:right w:val="single" w:sz="5" w:space="0" w:color="000000"/>
            </w:tcBorders>
          </w:tcPr>
          <w:p w14:paraId="5C828667" w14:textId="77777777" w:rsidR="008C66C4" w:rsidRPr="00A51E75" w:rsidRDefault="008C66C4">
            <w:pPr>
              <w:ind w:left="674" w:right="100" w:hanging="570"/>
              <w:rPr>
                <w:rFonts w:eastAsia="Calibri" w:cstheme="minorHAnsi"/>
                <w:spacing w:val="-1"/>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Adverse impacts on habitats (e.g., modified, natural, and critical habitats) and/or ecosystems and ecosystem services?</w:t>
            </w:r>
          </w:p>
          <w:p w14:paraId="166B0BF1" w14:textId="77777777" w:rsidR="008C66C4" w:rsidRPr="00A51E75" w:rsidRDefault="008C66C4">
            <w:pPr>
              <w:ind w:left="674"/>
              <w:rPr>
                <w:rFonts w:eastAsia="Calibri" w:cstheme="minorHAnsi"/>
                <w:sz w:val="18"/>
                <w:szCs w:val="18"/>
                <w:lang w:val="en-US"/>
              </w:rPr>
            </w:pPr>
            <w:r w:rsidRPr="00A51E75">
              <w:rPr>
                <w:rFonts w:eastAsia="Calibri" w:cstheme="minorHAnsi"/>
                <w:spacing w:val="-1"/>
                <w:sz w:val="18"/>
                <w:szCs w:val="18"/>
                <w:lang w:val="en-US"/>
              </w:rPr>
              <w:t>For example, through habitat loss, conversion, or degradation, fragmentation, or hydrological changes.</w:t>
            </w:r>
          </w:p>
        </w:tc>
        <w:tc>
          <w:tcPr>
            <w:tcW w:w="515" w:type="pct"/>
            <w:tcBorders>
              <w:top w:val="single" w:sz="5" w:space="0" w:color="000000"/>
              <w:left w:val="single" w:sz="5" w:space="0" w:color="000000"/>
              <w:bottom w:val="single" w:sz="5" w:space="0" w:color="000000"/>
              <w:right w:val="single" w:sz="5" w:space="0" w:color="000000"/>
            </w:tcBorders>
          </w:tcPr>
          <w:p w14:paraId="23B5CCF5"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B13774A" w14:textId="77777777" w:rsidTr="00471726">
        <w:trPr>
          <w:trHeight w:hRule="exact" w:val="978"/>
        </w:trPr>
        <w:tc>
          <w:tcPr>
            <w:tcW w:w="4485" w:type="pct"/>
            <w:tcBorders>
              <w:top w:val="single" w:sz="5" w:space="0" w:color="000000"/>
              <w:left w:val="single" w:sz="5" w:space="0" w:color="000000"/>
              <w:bottom w:val="single" w:sz="5" w:space="0" w:color="000000"/>
              <w:right w:val="single" w:sz="5" w:space="0" w:color="000000"/>
            </w:tcBorders>
          </w:tcPr>
          <w:p w14:paraId="491C17DA" w14:textId="77777777" w:rsidR="008C66C4" w:rsidRPr="00A51E75" w:rsidRDefault="008C66C4">
            <w:pPr>
              <w:ind w:left="674" w:right="267" w:hanging="570"/>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Activities within or adjacent to critical habitats and/or environmentally sensitive areas, including (but not limited to) legally protected areas (e.g., nature reserves, national parks), areas proposed for protection or recognized as such by authoritative sources and/or indigenous peoples or local communities?</w:t>
            </w:r>
          </w:p>
        </w:tc>
        <w:tc>
          <w:tcPr>
            <w:tcW w:w="515" w:type="pct"/>
            <w:tcBorders>
              <w:top w:val="single" w:sz="5" w:space="0" w:color="000000"/>
              <w:left w:val="single" w:sz="5" w:space="0" w:color="000000"/>
              <w:bottom w:val="single" w:sz="5" w:space="0" w:color="000000"/>
              <w:right w:val="single" w:sz="5" w:space="0" w:color="000000"/>
            </w:tcBorders>
          </w:tcPr>
          <w:p w14:paraId="55CBEB6C"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009B523" w14:textId="77777777" w:rsidTr="00471726">
        <w:trPr>
          <w:trHeight w:hRule="exact" w:val="708"/>
        </w:trPr>
        <w:tc>
          <w:tcPr>
            <w:tcW w:w="4485" w:type="pct"/>
            <w:tcBorders>
              <w:top w:val="single" w:sz="5" w:space="0" w:color="000000"/>
              <w:left w:val="single" w:sz="5" w:space="0" w:color="000000"/>
              <w:bottom w:val="single" w:sz="5" w:space="0" w:color="000000"/>
              <w:right w:val="single" w:sz="5" w:space="0" w:color="000000"/>
            </w:tcBorders>
          </w:tcPr>
          <w:p w14:paraId="04D3F853" w14:textId="77777777" w:rsidR="008C66C4" w:rsidRPr="00A51E75" w:rsidRDefault="008C66C4">
            <w:pPr>
              <w:ind w:left="674" w:right="194" w:hanging="570"/>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Changes in land and resource use that may have adverse impacts on habitats, ecosystems, and/or livelihoods? (Note: If restrictions and/or limitations on access to land would apply, see Standard 5.)</w:t>
            </w:r>
          </w:p>
        </w:tc>
        <w:tc>
          <w:tcPr>
            <w:tcW w:w="515" w:type="pct"/>
            <w:tcBorders>
              <w:top w:val="single" w:sz="5" w:space="0" w:color="000000"/>
              <w:left w:val="single" w:sz="5" w:space="0" w:color="000000"/>
              <w:bottom w:val="single" w:sz="5" w:space="0" w:color="000000"/>
              <w:right w:val="single" w:sz="5" w:space="0" w:color="000000"/>
            </w:tcBorders>
          </w:tcPr>
          <w:p w14:paraId="52EA4298"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549B0F1C" w14:textId="77777777" w:rsidTr="00471726">
        <w:trPr>
          <w:trHeight w:hRule="exact" w:val="380"/>
        </w:trPr>
        <w:tc>
          <w:tcPr>
            <w:tcW w:w="4485" w:type="pct"/>
            <w:tcBorders>
              <w:top w:val="single" w:sz="5" w:space="0" w:color="000000"/>
              <w:left w:val="single" w:sz="5" w:space="0" w:color="000000"/>
              <w:bottom w:val="single" w:sz="5" w:space="0" w:color="000000"/>
              <w:right w:val="single" w:sz="5" w:space="0" w:color="000000"/>
            </w:tcBorders>
          </w:tcPr>
          <w:p w14:paraId="0F76B31E"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pacing w:val="2"/>
                <w:sz w:val="18"/>
                <w:szCs w:val="18"/>
                <w:lang w:val="en-US"/>
              </w:rPr>
              <w:t>Risks to endangered species (e.g., reduction, habitat encroachment)?</w:t>
            </w:r>
          </w:p>
        </w:tc>
        <w:tc>
          <w:tcPr>
            <w:tcW w:w="515" w:type="pct"/>
            <w:tcBorders>
              <w:top w:val="single" w:sz="5" w:space="0" w:color="000000"/>
              <w:left w:val="single" w:sz="5" w:space="0" w:color="000000"/>
              <w:bottom w:val="single" w:sz="5" w:space="0" w:color="000000"/>
              <w:right w:val="single" w:sz="5" w:space="0" w:color="000000"/>
            </w:tcBorders>
          </w:tcPr>
          <w:p w14:paraId="57C2509A"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2B4210F2" w14:textId="77777777" w:rsidTr="00471726">
        <w:trPr>
          <w:trHeight w:hRule="exact" w:val="346"/>
        </w:trPr>
        <w:tc>
          <w:tcPr>
            <w:tcW w:w="4485" w:type="pct"/>
            <w:tcBorders>
              <w:top w:val="single" w:sz="5" w:space="0" w:color="000000"/>
              <w:left w:val="single" w:sz="5" w:space="0" w:color="000000"/>
              <w:bottom w:val="single" w:sz="5" w:space="0" w:color="000000"/>
              <w:right w:val="single" w:sz="5" w:space="0" w:color="000000"/>
            </w:tcBorders>
          </w:tcPr>
          <w:p w14:paraId="5B9F93C4"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.5       </w:t>
            </w:r>
            <w:r w:rsidRPr="00A51E75">
              <w:rPr>
                <w:rFonts w:eastAsia="Calibri" w:cstheme="minorHAnsi"/>
                <w:spacing w:val="18"/>
                <w:sz w:val="18"/>
                <w:szCs w:val="18"/>
                <w:lang w:val="en-US"/>
              </w:rPr>
              <w:t xml:space="preserve"> </w:t>
            </w:r>
            <w:r w:rsidRPr="00A51E75">
              <w:rPr>
                <w:rFonts w:eastAsia="Calibri" w:cstheme="minorHAnsi"/>
                <w:sz w:val="18"/>
                <w:szCs w:val="18"/>
                <w:lang w:val="en-US"/>
              </w:rPr>
              <w:t>Exacerbation of illegal wildlife trade?</w:t>
            </w:r>
          </w:p>
        </w:tc>
        <w:tc>
          <w:tcPr>
            <w:tcW w:w="515" w:type="pct"/>
            <w:tcBorders>
              <w:top w:val="single" w:sz="5" w:space="0" w:color="000000"/>
              <w:left w:val="single" w:sz="5" w:space="0" w:color="000000"/>
              <w:bottom w:val="single" w:sz="5" w:space="0" w:color="000000"/>
              <w:right w:val="single" w:sz="5" w:space="0" w:color="000000"/>
            </w:tcBorders>
          </w:tcPr>
          <w:p w14:paraId="13F4A3F1"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3EFB23DE"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2090D6D4"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.6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Introduction of invasive alien species?</w:t>
            </w:r>
          </w:p>
        </w:tc>
        <w:tc>
          <w:tcPr>
            <w:tcW w:w="515" w:type="pct"/>
            <w:tcBorders>
              <w:top w:val="single" w:sz="5" w:space="0" w:color="000000"/>
              <w:left w:val="single" w:sz="5" w:space="0" w:color="000000"/>
              <w:bottom w:val="single" w:sz="5" w:space="0" w:color="000000"/>
              <w:right w:val="single" w:sz="5" w:space="0" w:color="000000"/>
            </w:tcBorders>
          </w:tcPr>
          <w:p w14:paraId="6F8E3E5B"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705A3D33"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439BCA66"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.7       </w:t>
            </w:r>
            <w:r w:rsidRPr="00A51E75">
              <w:rPr>
                <w:rFonts w:eastAsia="Calibri" w:cstheme="minorHAnsi"/>
                <w:spacing w:val="18"/>
                <w:sz w:val="18"/>
                <w:szCs w:val="18"/>
                <w:lang w:val="en-US"/>
              </w:rPr>
              <w:t>Adverse impacts on soils?</w:t>
            </w:r>
          </w:p>
        </w:tc>
        <w:tc>
          <w:tcPr>
            <w:tcW w:w="515" w:type="pct"/>
            <w:tcBorders>
              <w:top w:val="single" w:sz="5" w:space="0" w:color="000000"/>
              <w:left w:val="single" w:sz="5" w:space="0" w:color="000000"/>
              <w:bottom w:val="single" w:sz="5" w:space="0" w:color="000000"/>
              <w:right w:val="single" w:sz="5" w:space="0" w:color="000000"/>
            </w:tcBorders>
          </w:tcPr>
          <w:p w14:paraId="4AB08139"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623FB793" w14:textId="77777777" w:rsidTr="00471726">
        <w:trPr>
          <w:trHeight w:hRule="exact" w:val="345"/>
        </w:trPr>
        <w:tc>
          <w:tcPr>
            <w:tcW w:w="4485" w:type="pct"/>
            <w:tcBorders>
              <w:top w:val="single" w:sz="5" w:space="0" w:color="000000"/>
              <w:left w:val="single" w:sz="5" w:space="0" w:color="000000"/>
              <w:bottom w:val="single" w:sz="5" w:space="0" w:color="000000"/>
              <w:right w:val="single" w:sz="5" w:space="0" w:color="000000"/>
            </w:tcBorders>
          </w:tcPr>
          <w:p w14:paraId="50EAB108"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.8       </w:t>
            </w:r>
            <w:r w:rsidRPr="00A51E75">
              <w:rPr>
                <w:rFonts w:eastAsia="Calibri" w:cstheme="minorHAnsi"/>
                <w:spacing w:val="18"/>
                <w:sz w:val="18"/>
                <w:szCs w:val="18"/>
                <w:lang w:val="en-US"/>
              </w:rPr>
              <w:t xml:space="preserve"> </w:t>
            </w:r>
            <w:r w:rsidRPr="00A51E75">
              <w:rPr>
                <w:rFonts w:eastAsia="Calibri" w:cstheme="minorHAnsi"/>
                <w:sz w:val="18"/>
                <w:szCs w:val="18"/>
                <w:lang w:val="en-US"/>
              </w:rPr>
              <w:t>Exploitation of natural forests, development of plantations or reforestation?</w:t>
            </w:r>
          </w:p>
        </w:tc>
        <w:tc>
          <w:tcPr>
            <w:tcW w:w="515" w:type="pct"/>
            <w:tcBorders>
              <w:top w:val="single" w:sz="5" w:space="0" w:color="000000"/>
              <w:left w:val="single" w:sz="5" w:space="0" w:color="000000"/>
              <w:bottom w:val="single" w:sz="5" w:space="0" w:color="000000"/>
              <w:right w:val="single" w:sz="5" w:space="0" w:color="000000"/>
            </w:tcBorders>
          </w:tcPr>
          <w:p w14:paraId="56966223"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34EDA5F6"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41725A98"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 xml:space="preserve">.9       </w:t>
            </w:r>
            <w:r w:rsidRPr="00A51E75">
              <w:rPr>
                <w:rFonts w:eastAsia="Calibri" w:cstheme="minorHAnsi"/>
                <w:spacing w:val="18"/>
                <w:sz w:val="18"/>
                <w:szCs w:val="18"/>
                <w:lang w:val="en-US"/>
              </w:rPr>
              <w:t xml:space="preserve"> </w:t>
            </w:r>
            <w:r w:rsidRPr="00A51E75">
              <w:rPr>
                <w:rFonts w:eastAsia="Calibri" w:cstheme="minorHAnsi"/>
                <w:sz w:val="18"/>
                <w:szCs w:val="18"/>
                <w:lang w:val="en-US"/>
              </w:rPr>
              <w:t>Significant agricultural production?</w:t>
            </w:r>
          </w:p>
        </w:tc>
        <w:tc>
          <w:tcPr>
            <w:tcW w:w="515" w:type="pct"/>
            <w:tcBorders>
              <w:top w:val="single" w:sz="5" w:space="0" w:color="000000"/>
              <w:left w:val="single" w:sz="5" w:space="0" w:color="000000"/>
              <w:bottom w:val="single" w:sz="5" w:space="0" w:color="000000"/>
              <w:right w:val="single" w:sz="5" w:space="0" w:color="000000"/>
            </w:tcBorders>
          </w:tcPr>
          <w:p w14:paraId="5B0A4B0A"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27532277"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1C04945A"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0     </w:t>
            </w:r>
            <w:r w:rsidRPr="00A51E75">
              <w:rPr>
                <w:rFonts w:eastAsia="Calibri" w:cstheme="minorHAnsi"/>
                <w:spacing w:val="10"/>
                <w:sz w:val="18"/>
                <w:szCs w:val="18"/>
                <w:lang w:val="en-US"/>
              </w:rPr>
              <w:t xml:space="preserve"> </w:t>
            </w:r>
            <w:r w:rsidRPr="00A51E75">
              <w:rPr>
                <w:rFonts w:eastAsia="Calibri" w:cstheme="minorHAnsi"/>
                <w:spacing w:val="-1"/>
                <w:sz w:val="18"/>
                <w:szCs w:val="18"/>
                <w:lang w:val="en-US"/>
              </w:rPr>
              <w:t>Animal breeding or harvesting of fish stocks or other aquatic species?</w:t>
            </w:r>
          </w:p>
        </w:tc>
        <w:tc>
          <w:tcPr>
            <w:tcW w:w="515" w:type="pct"/>
            <w:tcBorders>
              <w:top w:val="single" w:sz="5" w:space="0" w:color="000000"/>
              <w:left w:val="single" w:sz="5" w:space="0" w:color="000000"/>
              <w:bottom w:val="single" w:sz="5" w:space="0" w:color="000000"/>
              <w:right w:val="single" w:sz="5" w:space="0" w:color="000000"/>
            </w:tcBorders>
          </w:tcPr>
          <w:p w14:paraId="76BC0D32"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105D57DE" w14:textId="77777777" w:rsidTr="00471726">
        <w:trPr>
          <w:trHeight w:hRule="exact" w:val="630"/>
        </w:trPr>
        <w:tc>
          <w:tcPr>
            <w:tcW w:w="4485" w:type="pct"/>
            <w:tcBorders>
              <w:top w:val="single" w:sz="5" w:space="0" w:color="000000"/>
              <w:left w:val="single" w:sz="5" w:space="0" w:color="000000"/>
              <w:bottom w:val="single" w:sz="5" w:space="0" w:color="000000"/>
              <w:right w:val="single" w:sz="5" w:space="0" w:color="000000"/>
            </w:tcBorders>
          </w:tcPr>
          <w:p w14:paraId="3B5DE6E7" w14:textId="77777777" w:rsidR="008C66C4" w:rsidRPr="00A51E75" w:rsidRDefault="008C66C4">
            <w:pPr>
              <w:ind w:left="142"/>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1     </w:t>
            </w:r>
            <w:r w:rsidRPr="00A51E75">
              <w:rPr>
                <w:rFonts w:eastAsia="Calibri" w:cstheme="minorHAnsi"/>
                <w:spacing w:val="10"/>
                <w:sz w:val="18"/>
                <w:szCs w:val="18"/>
                <w:lang w:val="en-US"/>
              </w:rPr>
              <w:t xml:space="preserve"> </w:t>
            </w:r>
            <w:r w:rsidRPr="00A51E75">
              <w:rPr>
                <w:rFonts w:eastAsia="Calibri" w:cstheme="minorHAnsi"/>
                <w:sz w:val="18"/>
                <w:szCs w:val="18"/>
                <w:lang w:val="en-US"/>
              </w:rPr>
              <w:t>Significant withdrawal, diversion, or detention of surface or groundwater? For example, construction of dams, reservoirs, river basin developments, groundwater extraction</w:t>
            </w:r>
          </w:p>
        </w:tc>
        <w:tc>
          <w:tcPr>
            <w:tcW w:w="515" w:type="pct"/>
            <w:tcBorders>
              <w:top w:val="single" w:sz="5" w:space="0" w:color="000000"/>
              <w:left w:val="single" w:sz="5" w:space="0" w:color="000000"/>
              <w:bottom w:val="single" w:sz="5" w:space="0" w:color="000000"/>
              <w:right w:val="single" w:sz="5" w:space="0" w:color="000000"/>
            </w:tcBorders>
          </w:tcPr>
          <w:p w14:paraId="1C700430"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28286555"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68009C7D" w14:textId="77777777" w:rsidR="008C66C4" w:rsidRPr="00A51E75" w:rsidRDefault="008C66C4">
            <w:pPr>
              <w:ind w:left="104"/>
              <w:rPr>
                <w:rFonts w:eastAsia="Calibri" w:cstheme="minorHAnsi"/>
                <w:sz w:val="12"/>
                <w:szCs w:val="12"/>
                <w:lang w:val="en-US"/>
              </w:rPr>
            </w:pPr>
            <w:r w:rsidRPr="00A51E75">
              <w:rPr>
                <w:rFonts w:eastAsia="Calibri" w:cstheme="minorHAnsi"/>
                <w:spacing w:val="-1"/>
                <w:sz w:val="18"/>
                <w:szCs w:val="18"/>
                <w:lang w:val="en-US"/>
              </w:rPr>
              <w:t>1</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2     </w:t>
            </w:r>
            <w:r w:rsidRPr="00A51E75">
              <w:rPr>
                <w:rFonts w:eastAsia="Calibri" w:cstheme="minorHAnsi"/>
                <w:spacing w:val="10"/>
                <w:sz w:val="18"/>
                <w:szCs w:val="18"/>
                <w:lang w:val="en-US"/>
              </w:rPr>
              <w:t xml:space="preserve"> </w:t>
            </w:r>
            <w:r w:rsidRPr="00A51E75">
              <w:rPr>
                <w:rFonts w:eastAsia="Calibri" w:cstheme="minorHAnsi"/>
                <w:sz w:val="18"/>
                <w:szCs w:val="18"/>
                <w:lang w:val="en-US"/>
              </w:rPr>
              <w:t>Manipulation or use of genetically modified organisms/living modified organisms?</w:t>
            </w:r>
            <w:r w:rsidRPr="00A51E75">
              <w:rPr>
                <w:rStyle w:val="Refdenotaalpie"/>
                <w:rFonts w:asciiTheme="minorHAnsi" w:eastAsia="Calibri" w:hAnsiTheme="minorHAnsi" w:cstheme="minorHAnsi"/>
                <w:spacing w:val="2"/>
                <w:szCs w:val="18"/>
                <w:lang w:val="en-US"/>
              </w:rPr>
              <w:footnoteReference w:id="21"/>
            </w:r>
          </w:p>
        </w:tc>
        <w:tc>
          <w:tcPr>
            <w:tcW w:w="515" w:type="pct"/>
            <w:tcBorders>
              <w:top w:val="single" w:sz="5" w:space="0" w:color="000000"/>
              <w:left w:val="single" w:sz="5" w:space="0" w:color="000000"/>
              <w:bottom w:val="single" w:sz="5" w:space="0" w:color="000000"/>
              <w:right w:val="single" w:sz="5" w:space="0" w:color="000000"/>
            </w:tcBorders>
          </w:tcPr>
          <w:p w14:paraId="7A805421"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682B28B7"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30C444B9" w14:textId="77777777" w:rsidR="008C66C4" w:rsidRPr="00A51E75" w:rsidRDefault="008C66C4">
            <w:pPr>
              <w:ind w:left="104"/>
              <w:rPr>
                <w:rFonts w:eastAsia="Calibri" w:cstheme="minorHAnsi"/>
                <w:sz w:val="12"/>
                <w:szCs w:val="12"/>
                <w:lang w:val="en-US"/>
              </w:rPr>
            </w:pPr>
            <w:r w:rsidRPr="00A51E75">
              <w:rPr>
                <w:rFonts w:eastAsia="Calibri" w:cstheme="minorHAnsi"/>
                <w:spacing w:val="-1"/>
                <w:sz w:val="18"/>
                <w:szCs w:val="18"/>
                <w:lang w:val="en-US"/>
              </w:rPr>
              <w:t>1</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3     </w:t>
            </w:r>
            <w:r w:rsidRPr="00A51E75">
              <w:rPr>
                <w:rFonts w:eastAsia="Calibri" w:cstheme="minorHAnsi"/>
                <w:spacing w:val="10"/>
                <w:sz w:val="18"/>
                <w:szCs w:val="18"/>
                <w:lang w:val="en-US"/>
              </w:rPr>
              <w:t xml:space="preserve"> </w:t>
            </w:r>
            <w:r w:rsidRPr="00A51E75">
              <w:rPr>
                <w:rFonts w:eastAsia="Calibri" w:cstheme="minorHAnsi"/>
                <w:sz w:val="18"/>
                <w:szCs w:val="18"/>
                <w:lang w:val="en-US"/>
              </w:rPr>
              <w:t>Use of genetic resources? (e.g., collection and/or harvesting, commercial development)</w:t>
            </w:r>
            <w:r w:rsidRPr="00A51E75">
              <w:rPr>
                <w:rStyle w:val="Refdenotaalpie"/>
                <w:rFonts w:asciiTheme="minorHAnsi" w:eastAsia="Calibri" w:hAnsiTheme="minorHAnsi" w:cstheme="minorHAnsi"/>
                <w:spacing w:val="1"/>
                <w:szCs w:val="18"/>
                <w:lang w:val="en-US"/>
              </w:rPr>
              <w:footnoteReference w:id="22"/>
            </w:r>
          </w:p>
        </w:tc>
        <w:tc>
          <w:tcPr>
            <w:tcW w:w="515" w:type="pct"/>
            <w:tcBorders>
              <w:top w:val="single" w:sz="5" w:space="0" w:color="000000"/>
              <w:left w:val="single" w:sz="5" w:space="0" w:color="000000"/>
              <w:bottom w:val="single" w:sz="5" w:space="0" w:color="000000"/>
              <w:right w:val="single" w:sz="5" w:space="0" w:color="000000"/>
            </w:tcBorders>
          </w:tcPr>
          <w:p w14:paraId="748D34B0"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3D196FFB" w14:textId="77777777" w:rsidTr="00471726">
        <w:trPr>
          <w:trHeight w:hRule="exact" w:val="351"/>
        </w:trPr>
        <w:tc>
          <w:tcPr>
            <w:tcW w:w="4485" w:type="pct"/>
            <w:tcBorders>
              <w:top w:val="single" w:sz="5" w:space="0" w:color="000000"/>
              <w:left w:val="single" w:sz="5" w:space="0" w:color="000000"/>
              <w:bottom w:val="single" w:sz="5" w:space="0" w:color="000000"/>
              <w:right w:val="single" w:sz="5" w:space="0" w:color="000000"/>
            </w:tcBorders>
          </w:tcPr>
          <w:p w14:paraId="5AC5DA28"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1</w:t>
            </w:r>
            <w:r w:rsidRPr="00A51E75">
              <w:rPr>
                <w:rFonts w:eastAsia="Calibri" w:cstheme="minorHAnsi"/>
                <w:sz w:val="18"/>
                <w:szCs w:val="18"/>
                <w:lang w:val="en-US"/>
              </w:rPr>
              <w:t>.</w:t>
            </w:r>
            <w:r w:rsidRPr="00A51E75">
              <w:rPr>
                <w:rFonts w:eastAsia="Calibri" w:cstheme="minorHAnsi"/>
                <w:spacing w:val="-2"/>
                <w:sz w:val="18"/>
                <w:szCs w:val="18"/>
                <w:lang w:val="en-US"/>
              </w:rPr>
              <w:t>1</w:t>
            </w:r>
            <w:r w:rsidRPr="00A51E75">
              <w:rPr>
                <w:rFonts w:eastAsia="Calibri" w:cstheme="minorHAnsi"/>
                <w:sz w:val="18"/>
                <w:szCs w:val="18"/>
                <w:lang w:val="en-US"/>
              </w:rPr>
              <w:t xml:space="preserve">4     </w:t>
            </w:r>
            <w:r w:rsidRPr="00A51E75">
              <w:rPr>
                <w:rFonts w:eastAsia="Calibri" w:cstheme="minorHAnsi"/>
                <w:spacing w:val="10"/>
                <w:sz w:val="18"/>
                <w:szCs w:val="18"/>
                <w:lang w:val="en-US"/>
              </w:rPr>
              <w:t xml:space="preserve"> </w:t>
            </w:r>
            <w:r w:rsidRPr="00A51E75">
              <w:rPr>
                <w:rFonts w:eastAsia="Calibri" w:cstheme="minorHAnsi"/>
                <w:spacing w:val="-1"/>
                <w:sz w:val="18"/>
                <w:szCs w:val="18"/>
                <w:lang w:val="en-US"/>
              </w:rPr>
              <w:t>Adverse transboundary or global environmental concerns?</w:t>
            </w:r>
          </w:p>
        </w:tc>
        <w:tc>
          <w:tcPr>
            <w:tcW w:w="515" w:type="pct"/>
            <w:tcBorders>
              <w:top w:val="single" w:sz="5" w:space="0" w:color="000000"/>
              <w:left w:val="single" w:sz="5" w:space="0" w:color="000000"/>
              <w:bottom w:val="single" w:sz="5" w:space="0" w:color="000000"/>
              <w:right w:val="single" w:sz="5" w:space="0" w:color="000000"/>
            </w:tcBorders>
          </w:tcPr>
          <w:p w14:paraId="734F1D06"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63505D" w14:paraId="437BB6DC" w14:textId="77777777" w:rsidTr="00471726">
        <w:trPr>
          <w:trHeight w:hRule="exact" w:val="540"/>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13E9D351" w14:textId="77777777" w:rsidR="008C66C4" w:rsidRPr="00A51E75" w:rsidRDefault="008C66C4">
            <w:pPr>
              <w:rPr>
                <w:rFonts w:cstheme="minorHAnsi"/>
                <w:sz w:val="15"/>
                <w:szCs w:val="15"/>
                <w:lang w:val="en-US"/>
              </w:rPr>
            </w:pPr>
          </w:p>
          <w:p w14:paraId="0C5C89D2" w14:textId="77777777" w:rsidR="008C66C4" w:rsidRPr="00A51E75" w:rsidRDefault="008C66C4">
            <w:pPr>
              <w:ind w:left="104"/>
              <w:rPr>
                <w:rFonts w:eastAsia="Calibri" w:cstheme="minorHAnsi"/>
                <w:sz w:val="18"/>
                <w:szCs w:val="18"/>
                <w:lang w:val="en-US"/>
              </w:rPr>
            </w:pPr>
            <w:r w:rsidRPr="00A51E75">
              <w:rPr>
                <w:rFonts w:eastAsia="Calibri" w:cstheme="minorHAnsi"/>
                <w:b/>
                <w:sz w:val="18"/>
                <w:szCs w:val="18"/>
                <w:lang w:val="en-US"/>
              </w:rPr>
              <w:t>Standard 2: Climate change and disaster risk</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551FE407" w14:textId="77777777" w:rsidR="008C66C4" w:rsidRPr="00A51E75" w:rsidRDefault="008C66C4">
            <w:pPr>
              <w:rPr>
                <w:rFonts w:cstheme="minorHAnsi"/>
                <w:sz w:val="18"/>
                <w:szCs w:val="18"/>
                <w:lang w:val="en-US"/>
              </w:rPr>
            </w:pPr>
          </w:p>
        </w:tc>
      </w:tr>
      <w:tr w:rsidR="008C66C4" w:rsidRPr="0063505D" w14:paraId="6CF7B622"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7C22F959"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64C4CCF5" w14:textId="77777777" w:rsidR="008C66C4" w:rsidRPr="00A51E75" w:rsidRDefault="008C66C4">
            <w:pPr>
              <w:rPr>
                <w:rFonts w:cstheme="minorHAnsi"/>
                <w:lang w:val="en-US"/>
              </w:rPr>
            </w:pPr>
          </w:p>
        </w:tc>
      </w:tr>
      <w:tr w:rsidR="008C66C4" w:rsidRPr="00A51E75" w14:paraId="168B5874" w14:textId="77777777" w:rsidTr="00471726">
        <w:trPr>
          <w:trHeight w:hRule="exact" w:val="570"/>
        </w:trPr>
        <w:tc>
          <w:tcPr>
            <w:tcW w:w="4485" w:type="pct"/>
            <w:tcBorders>
              <w:top w:val="single" w:sz="5" w:space="0" w:color="000000"/>
              <w:left w:val="single" w:sz="5" w:space="0" w:color="000000"/>
              <w:bottom w:val="single" w:sz="5" w:space="0" w:color="000000"/>
              <w:right w:val="single" w:sz="5" w:space="0" w:color="000000"/>
            </w:tcBorders>
          </w:tcPr>
          <w:p w14:paraId="76131C1A" w14:textId="77777777" w:rsidR="008C66C4" w:rsidRPr="00A51E75" w:rsidRDefault="008C66C4">
            <w:pPr>
              <w:ind w:left="674" w:right="366" w:hanging="570"/>
              <w:rPr>
                <w:rFonts w:eastAsia="Calibri" w:cstheme="minorHAnsi"/>
                <w:spacing w:val="-1"/>
                <w:sz w:val="18"/>
                <w:szCs w:val="18"/>
                <w:lang w:val="en-US"/>
              </w:rPr>
            </w:pPr>
            <w:r w:rsidRPr="00A51E75">
              <w:rPr>
                <w:rFonts w:eastAsia="Calibri" w:cstheme="minorHAnsi"/>
                <w:spacing w:val="-1"/>
                <w:sz w:val="18"/>
                <w:szCs w:val="18"/>
                <w:lang w:val="en-US"/>
              </w:rPr>
              <w:lastRenderedPageBreak/>
              <w:t>2</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Areas subject to hazards such as earthquakes, floods, landslides, strong winds, storm surges, tsunamis, or volcanic eruptions?</w:t>
            </w:r>
          </w:p>
          <w:p w14:paraId="562A050F" w14:textId="77777777" w:rsidR="008C66C4" w:rsidRPr="00A51E75" w:rsidRDefault="008C66C4">
            <w:pPr>
              <w:ind w:left="674" w:right="366"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2510F4C8"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2F9D22C6" w14:textId="77777777" w:rsidTr="00471726">
        <w:trPr>
          <w:trHeight w:hRule="exact" w:val="695"/>
        </w:trPr>
        <w:tc>
          <w:tcPr>
            <w:tcW w:w="4485" w:type="pct"/>
            <w:tcBorders>
              <w:top w:val="single" w:sz="5" w:space="0" w:color="000000"/>
              <w:left w:val="single" w:sz="5" w:space="0" w:color="000000"/>
              <w:bottom w:val="single" w:sz="5" w:space="0" w:color="000000"/>
              <w:right w:val="single" w:sz="5" w:space="0" w:color="000000"/>
            </w:tcBorders>
          </w:tcPr>
          <w:p w14:paraId="7ACD0BAA" w14:textId="77777777" w:rsidR="008C66C4" w:rsidRPr="00A51E75" w:rsidRDefault="008C66C4">
            <w:pPr>
              <w:ind w:left="709" w:hanging="567"/>
              <w:rPr>
                <w:lang w:val="en-US"/>
              </w:rPr>
            </w:pPr>
            <w:r w:rsidRPr="00A51E75">
              <w:rPr>
                <w:rFonts w:eastAsia="Calibri" w:cstheme="minorHAnsi"/>
                <w:spacing w:val="-1"/>
                <w:sz w:val="18"/>
                <w:szCs w:val="18"/>
                <w:lang w:val="en-US"/>
              </w:rPr>
              <w:t>2</w:t>
            </w:r>
            <w:r w:rsidRPr="00A51E75">
              <w:rPr>
                <w:rFonts w:eastAsia="Calibri" w:cstheme="minorHAnsi"/>
                <w:sz w:val="18"/>
                <w:szCs w:val="18"/>
                <w:lang w:val="en-US"/>
              </w:rPr>
              <w:t xml:space="preserve">.2         </w:t>
            </w:r>
            <w:r w:rsidRPr="00A51E75">
              <w:rPr>
                <w:rFonts w:eastAsia="Calibri" w:cstheme="minorHAnsi"/>
                <w:spacing w:val="-1"/>
                <w:sz w:val="18"/>
                <w:szCs w:val="18"/>
                <w:lang w:val="en-US"/>
              </w:rPr>
              <w:t>Which products and outcomes are sensitive or vulnerable to the potential impacts of climate change or disasters? For example, through increased precipitation, droughts, temperature, salinity, extreme events, and earthquakes.</w:t>
            </w:r>
          </w:p>
        </w:tc>
        <w:tc>
          <w:tcPr>
            <w:tcW w:w="515" w:type="pct"/>
            <w:tcBorders>
              <w:top w:val="single" w:sz="5" w:space="0" w:color="000000"/>
              <w:left w:val="single" w:sz="5" w:space="0" w:color="000000"/>
              <w:bottom w:val="single" w:sz="5" w:space="0" w:color="000000"/>
              <w:right w:val="single" w:sz="5" w:space="0" w:color="000000"/>
            </w:tcBorders>
          </w:tcPr>
          <w:p w14:paraId="27457B6F"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2832CCB6" w14:textId="77777777" w:rsidTr="00471726">
        <w:trPr>
          <w:trHeight w:hRule="exact" w:val="1130"/>
        </w:trPr>
        <w:tc>
          <w:tcPr>
            <w:tcW w:w="4485" w:type="pct"/>
            <w:tcBorders>
              <w:top w:val="single" w:sz="5" w:space="0" w:color="000000"/>
              <w:left w:val="single" w:sz="5" w:space="0" w:color="000000"/>
              <w:bottom w:val="single" w:sz="5" w:space="0" w:color="000000"/>
              <w:right w:val="single" w:sz="5" w:space="0" w:color="000000"/>
            </w:tcBorders>
          </w:tcPr>
          <w:p w14:paraId="3A4BCA6A" w14:textId="77777777" w:rsidR="008C66C4" w:rsidRPr="00A51E75" w:rsidRDefault="008C66C4">
            <w:pPr>
              <w:ind w:left="674" w:right="366" w:hanging="570"/>
              <w:rPr>
                <w:rFonts w:eastAsia="Calibri" w:cstheme="minorHAnsi"/>
                <w:spacing w:val="-1"/>
                <w:sz w:val="18"/>
                <w:szCs w:val="18"/>
                <w:lang w:val="en-US"/>
              </w:rPr>
            </w:pPr>
            <w:r w:rsidRPr="00A51E75">
              <w:rPr>
                <w:rFonts w:eastAsia="Calibri" w:cstheme="minorHAnsi"/>
                <w:spacing w:val="-1"/>
                <w:sz w:val="18"/>
                <w:szCs w:val="18"/>
                <w:lang w:val="en-US"/>
              </w:rPr>
              <w:t>2</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w:t>
            </w:r>
            <w:r w:rsidRPr="00A51E75">
              <w:rPr>
                <w:rStyle w:val="rynqvb"/>
                <w:rFonts w:cstheme="minorHAnsi"/>
                <w:sz w:val="18"/>
                <w:szCs w:val="18"/>
                <w:lang w:val="en-US"/>
              </w:rPr>
              <w:t>Increased vulnerability to climate change impacts or disaster risks now or in the future (also known as maladaptive or negative coping practices)? For example, changes in land-use planning can encourage greater development of floodplains, which could increase the population's vulnerability to climate change, particularly flooding.</w:t>
            </w:r>
          </w:p>
        </w:tc>
        <w:tc>
          <w:tcPr>
            <w:tcW w:w="515" w:type="pct"/>
            <w:tcBorders>
              <w:top w:val="single" w:sz="5" w:space="0" w:color="000000"/>
              <w:left w:val="single" w:sz="5" w:space="0" w:color="000000"/>
              <w:bottom w:val="single" w:sz="5" w:space="0" w:color="000000"/>
              <w:right w:val="single" w:sz="5" w:space="0" w:color="000000"/>
            </w:tcBorders>
          </w:tcPr>
          <w:p w14:paraId="08A11F1A"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10FC4E0D" w14:textId="77777777" w:rsidTr="00471726">
        <w:trPr>
          <w:trHeight w:hRule="exact" w:val="437"/>
        </w:trPr>
        <w:tc>
          <w:tcPr>
            <w:tcW w:w="4485" w:type="pct"/>
            <w:tcBorders>
              <w:top w:val="single" w:sz="5" w:space="0" w:color="000000"/>
              <w:left w:val="single" w:sz="5" w:space="0" w:color="000000"/>
              <w:bottom w:val="single" w:sz="5" w:space="0" w:color="000000"/>
              <w:right w:val="single" w:sz="5" w:space="0" w:color="000000"/>
            </w:tcBorders>
          </w:tcPr>
          <w:p w14:paraId="3FE438A9" w14:textId="77777777" w:rsidR="008C66C4" w:rsidRPr="00A51E75" w:rsidRDefault="008C66C4">
            <w:pPr>
              <w:ind w:left="709" w:hanging="605"/>
              <w:rPr>
                <w:rFonts w:eastAsia="Calibri" w:cstheme="minorHAnsi"/>
                <w:sz w:val="18"/>
                <w:szCs w:val="18"/>
                <w:lang w:val="en-US"/>
              </w:rPr>
            </w:pPr>
            <w:r w:rsidRPr="00A51E75">
              <w:rPr>
                <w:rFonts w:eastAsia="Calibri" w:cstheme="minorHAnsi"/>
                <w:spacing w:val="-1"/>
                <w:sz w:val="18"/>
                <w:szCs w:val="18"/>
                <w:lang w:val="en-US"/>
              </w:rPr>
              <w:t>2</w:t>
            </w:r>
            <w:r w:rsidRPr="00A51E75">
              <w:rPr>
                <w:rFonts w:eastAsia="Calibri" w:cstheme="minorHAnsi"/>
                <w:sz w:val="18"/>
                <w:szCs w:val="18"/>
                <w:lang w:val="en-US"/>
              </w:rPr>
              <w:t xml:space="preserve">.4       </w:t>
            </w:r>
            <w:r w:rsidRPr="00A51E75">
              <w:rPr>
                <w:rFonts w:eastAsia="Calibri" w:cstheme="minorHAnsi"/>
                <w:spacing w:val="-1"/>
                <w:sz w:val="18"/>
                <w:szCs w:val="18"/>
                <w:lang w:val="en-US"/>
              </w:rPr>
              <w:t>Increased greenhouse gas emissions, black carbon emissions, or other drivers of climate change?</w:t>
            </w:r>
          </w:p>
        </w:tc>
        <w:tc>
          <w:tcPr>
            <w:tcW w:w="515" w:type="pct"/>
            <w:tcBorders>
              <w:top w:val="single" w:sz="5" w:space="0" w:color="000000"/>
              <w:left w:val="single" w:sz="5" w:space="0" w:color="000000"/>
              <w:bottom w:val="single" w:sz="5" w:space="0" w:color="000000"/>
              <w:right w:val="single" w:sz="5" w:space="0" w:color="000000"/>
            </w:tcBorders>
          </w:tcPr>
          <w:p w14:paraId="315E7D5E"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63505D" w14:paraId="148BEC87" w14:textId="77777777" w:rsidTr="00471726">
        <w:trPr>
          <w:trHeight w:hRule="exact" w:val="550"/>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3A4B0677" w14:textId="77777777" w:rsidR="008C66C4" w:rsidRPr="00A51E75" w:rsidRDefault="008C66C4">
            <w:pPr>
              <w:rPr>
                <w:rFonts w:cstheme="minorHAnsi"/>
                <w:sz w:val="15"/>
                <w:szCs w:val="15"/>
                <w:lang w:val="en-US"/>
              </w:rPr>
            </w:pPr>
          </w:p>
          <w:p w14:paraId="6B43D07B" w14:textId="77777777" w:rsidR="008C66C4" w:rsidRPr="00A51E75" w:rsidRDefault="008C66C4">
            <w:pPr>
              <w:ind w:left="104"/>
              <w:rPr>
                <w:rFonts w:eastAsia="Calibri" w:cstheme="minorHAnsi"/>
                <w:sz w:val="18"/>
                <w:szCs w:val="18"/>
                <w:lang w:val="en-US"/>
              </w:rPr>
            </w:pPr>
            <w:r w:rsidRPr="00A51E75">
              <w:rPr>
                <w:rFonts w:eastAsia="Calibri" w:cstheme="minorHAnsi"/>
                <w:b/>
                <w:sz w:val="18"/>
                <w:szCs w:val="18"/>
                <w:lang w:val="en-US"/>
              </w:rPr>
              <w:t>Standard 3: Health, Safety, and Community Security</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23A1E2F1" w14:textId="77777777" w:rsidR="008C66C4" w:rsidRPr="00A51E75" w:rsidRDefault="008C66C4">
            <w:pPr>
              <w:rPr>
                <w:rFonts w:cstheme="minorHAnsi"/>
                <w:sz w:val="18"/>
                <w:szCs w:val="18"/>
                <w:lang w:val="en-US"/>
              </w:rPr>
            </w:pPr>
          </w:p>
        </w:tc>
      </w:tr>
      <w:tr w:rsidR="008C66C4" w:rsidRPr="0063505D" w14:paraId="59418ECA"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56FDBAA1"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5EED862E" w14:textId="77777777" w:rsidR="008C66C4" w:rsidRPr="00A51E75" w:rsidRDefault="008C66C4">
            <w:pPr>
              <w:rPr>
                <w:rFonts w:cstheme="minorHAnsi"/>
                <w:sz w:val="18"/>
                <w:szCs w:val="18"/>
                <w:lang w:val="en-US"/>
              </w:rPr>
            </w:pPr>
          </w:p>
        </w:tc>
      </w:tr>
      <w:tr w:rsidR="008C66C4" w:rsidRPr="00A51E75" w14:paraId="28B4AF05" w14:textId="77777777" w:rsidTr="00471726">
        <w:trPr>
          <w:trHeight w:hRule="exact" w:val="640"/>
        </w:trPr>
        <w:tc>
          <w:tcPr>
            <w:tcW w:w="4485" w:type="pct"/>
            <w:tcBorders>
              <w:top w:val="single" w:sz="5" w:space="0" w:color="000000"/>
              <w:left w:val="single" w:sz="5" w:space="0" w:color="000000"/>
              <w:bottom w:val="single" w:sz="5" w:space="0" w:color="000000"/>
              <w:right w:val="single" w:sz="5" w:space="0" w:color="000000"/>
            </w:tcBorders>
          </w:tcPr>
          <w:p w14:paraId="430FD3CB" w14:textId="77777777" w:rsidR="008C66C4" w:rsidRPr="00A51E75" w:rsidRDefault="008C66C4">
            <w:pPr>
              <w:ind w:left="674" w:right="419" w:hanging="570"/>
              <w:rPr>
                <w:rFonts w:eastAsia="Calibri" w:cstheme="minorHAnsi"/>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Construction and/or development of infrastructure (e.g., roads, buildings, dams)? (Note: The GEF does not fund projects involving the construction or rehabilitation of large or complex dams.)</w:t>
            </w:r>
          </w:p>
        </w:tc>
        <w:tc>
          <w:tcPr>
            <w:tcW w:w="515" w:type="pct"/>
            <w:tcBorders>
              <w:top w:val="single" w:sz="5" w:space="0" w:color="000000"/>
              <w:left w:val="single" w:sz="5" w:space="0" w:color="000000"/>
              <w:bottom w:val="single" w:sz="5" w:space="0" w:color="000000"/>
              <w:right w:val="single" w:sz="5" w:space="0" w:color="000000"/>
            </w:tcBorders>
          </w:tcPr>
          <w:p w14:paraId="513CE89D"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04B5389B" w14:textId="77777777" w:rsidTr="00471726">
        <w:trPr>
          <w:trHeight w:hRule="exact" w:val="570"/>
        </w:trPr>
        <w:tc>
          <w:tcPr>
            <w:tcW w:w="4485" w:type="pct"/>
            <w:tcBorders>
              <w:top w:val="single" w:sz="5" w:space="0" w:color="000000"/>
              <w:left w:val="single" w:sz="5" w:space="0" w:color="000000"/>
              <w:bottom w:val="single" w:sz="5" w:space="0" w:color="000000"/>
              <w:right w:val="single" w:sz="5" w:space="0" w:color="000000"/>
            </w:tcBorders>
          </w:tcPr>
          <w:p w14:paraId="36AB2071" w14:textId="77777777" w:rsidR="008C66C4" w:rsidRPr="00A51E75" w:rsidRDefault="008C66C4">
            <w:pPr>
              <w:ind w:left="674" w:right="319" w:hanging="570"/>
              <w:rPr>
                <w:rFonts w:eastAsia="Calibri" w:cstheme="minorHAnsi"/>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Air pollution, noise, vibrations, traffic, injuries, physical hazards, poor surface water quality due to runoff, erosion, sanitation?</w:t>
            </w:r>
          </w:p>
        </w:tc>
        <w:tc>
          <w:tcPr>
            <w:tcW w:w="515" w:type="pct"/>
            <w:tcBorders>
              <w:top w:val="single" w:sz="5" w:space="0" w:color="000000"/>
              <w:left w:val="single" w:sz="5" w:space="0" w:color="000000"/>
              <w:bottom w:val="single" w:sz="5" w:space="0" w:color="000000"/>
              <w:right w:val="single" w:sz="5" w:space="0" w:color="000000"/>
            </w:tcBorders>
          </w:tcPr>
          <w:p w14:paraId="5E086FC8"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4BE48B7A" w14:textId="77777777" w:rsidTr="00471726">
        <w:trPr>
          <w:trHeight w:hRule="exact" w:val="500"/>
        </w:trPr>
        <w:tc>
          <w:tcPr>
            <w:tcW w:w="4485" w:type="pct"/>
            <w:tcBorders>
              <w:top w:val="single" w:sz="5" w:space="0" w:color="000000"/>
              <w:left w:val="single" w:sz="5" w:space="0" w:color="000000"/>
              <w:bottom w:val="single" w:sz="5" w:space="0" w:color="000000"/>
              <w:right w:val="single" w:sz="5" w:space="0" w:color="000000"/>
            </w:tcBorders>
          </w:tcPr>
          <w:p w14:paraId="374949D5" w14:textId="57612B72" w:rsidR="008C66C4" w:rsidRPr="00A51E75" w:rsidRDefault="008C66C4">
            <w:pPr>
              <w:ind w:left="674" w:right="1084" w:hanging="570"/>
              <w:rPr>
                <w:rFonts w:eastAsia="Calibri" w:cstheme="minorHAnsi"/>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w:t>
            </w:r>
            <w:proofErr w:type="spellStart"/>
            <w:r w:rsidRPr="00A51E75">
              <w:rPr>
                <w:rFonts w:eastAsia="Calibri" w:cstheme="minorHAnsi"/>
                <w:sz w:val="18"/>
                <w:szCs w:val="18"/>
                <w:lang w:val="en-US"/>
              </w:rPr>
              <w:t>Da</w:t>
            </w:r>
            <w:r w:rsidR="009E221F">
              <w:rPr>
                <w:rFonts w:eastAsia="Calibri" w:cstheme="minorHAnsi"/>
                <w:sz w:val="18"/>
                <w:szCs w:val="18"/>
                <w:lang w:val="en-US"/>
              </w:rPr>
              <w:t>MAGP</w:t>
            </w:r>
            <w:r w:rsidRPr="00A51E75">
              <w:rPr>
                <w:rFonts w:eastAsia="Calibri" w:cstheme="minorHAnsi"/>
                <w:sz w:val="18"/>
                <w:szCs w:val="18"/>
                <w:lang w:val="en-US"/>
              </w:rPr>
              <w:t>e</w:t>
            </w:r>
            <w:proofErr w:type="spellEnd"/>
            <w:r w:rsidRPr="00A51E75">
              <w:rPr>
                <w:rFonts w:eastAsia="Calibri" w:cstheme="minorHAnsi"/>
                <w:sz w:val="18"/>
                <w:szCs w:val="18"/>
                <w:lang w:val="en-US"/>
              </w:rPr>
              <w:t xml:space="preserve"> or loss due to failure of structural elements of the project (e.g., collapse of buildings or infrastructure)?</w:t>
            </w:r>
          </w:p>
          <w:p w14:paraId="11A23AB6" w14:textId="77777777" w:rsidR="008C66C4" w:rsidRPr="00A51E75" w:rsidRDefault="008C66C4">
            <w:pPr>
              <w:ind w:left="674" w:right="1084"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17B312CA"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6A4A67BD" w14:textId="77777777" w:rsidTr="00471726">
        <w:trPr>
          <w:trHeight w:hRule="exact" w:val="650"/>
        </w:trPr>
        <w:tc>
          <w:tcPr>
            <w:tcW w:w="4485" w:type="pct"/>
            <w:tcBorders>
              <w:top w:val="single" w:sz="5" w:space="0" w:color="000000"/>
              <w:left w:val="single" w:sz="5" w:space="0" w:color="000000"/>
              <w:bottom w:val="single" w:sz="5" w:space="0" w:color="000000"/>
              <w:right w:val="single" w:sz="5" w:space="0" w:color="000000"/>
            </w:tcBorders>
          </w:tcPr>
          <w:p w14:paraId="19C794B9" w14:textId="77777777" w:rsidR="008C66C4" w:rsidRPr="00A51E75" w:rsidRDefault="008C66C4">
            <w:pPr>
              <w:ind w:left="674" w:right="147" w:hanging="570"/>
              <w:rPr>
                <w:rFonts w:eastAsia="Calibri" w:cstheme="minorHAnsi"/>
                <w:spacing w:val="2"/>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pacing w:val="2"/>
                <w:sz w:val="18"/>
                <w:szCs w:val="18"/>
                <w:lang w:val="en-US"/>
              </w:rPr>
              <w:t>Risks of waterborne or other vector-borne diseases (e.g., temporary breeding habitats), communicable and non-communicable diseases, nutritional disorders, mental health?</w:t>
            </w:r>
          </w:p>
          <w:p w14:paraId="18A1490A" w14:textId="77777777" w:rsidR="008C66C4" w:rsidRPr="00A51E75" w:rsidRDefault="008C66C4">
            <w:pPr>
              <w:ind w:left="674" w:right="147"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E7BB136"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11FA8BF1" w14:textId="77777777" w:rsidTr="00471726">
        <w:trPr>
          <w:trHeight w:hRule="exact" w:val="570"/>
        </w:trPr>
        <w:tc>
          <w:tcPr>
            <w:tcW w:w="4485" w:type="pct"/>
            <w:tcBorders>
              <w:top w:val="single" w:sz="5" w:space="0" w:color="000000"/>
              <w:left w:val="single" w:sz="5" w:space="0" w:color="000000"/>
              <w:bottom w:val="single" w:sz="5" w:space="0" w:color="000000"/>
              <w:right w:val="single" w:sz="5" w:space="0" w:color="000000"/>
            </w:tcBorders>
          </w:tcPr>
          <w:p w14:paraId="437AB911" w14:textId="77777777" w:rsidR="008C66C4" w:rsidRPr="00A51E75" w:rsidRDefault="008C66C4">
            <w:pPr>
              <w:ind w:left="674" w:right="247" w:hanging="570"/>
              <w:rPr>
                <w:rFonts w:eastAsia="Calibri" w:cstheme="minorHAnsi"/>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.5       </w:t>
            </w:r>
            <w:r w:rsidRPr="00A51E75">
              <w:rPr>
                <w:rFonts w:eastAsia="Calibri" w:cstheme="minorHAnsi"/>
                <w:spacing w:val="18"/>
                <w:sz w:val="18"/>
                <w:szCs w:val="18"/>
                <w:lang w:val="en-US"/>
              </w:rPr>
              <w:t xml:space="preserve"> </w:t>
            </w:r>
            <w:r w:rsidRPr="00A51E75">
              <w:rPr>
                <w:rFonts w:eastAsia="Calibri" w:cstheme="minorHAnsi"/>
                <w:sz w:val="18"/>
                <w:szCs w:val="18"/>
                <w:lang w:val="en-US"/>
              </w:rPr>
              <w:t>Transportation, storage, use and/or disposal of hazardous or harmful materials (e.g., explosives, fuel, and other chemicals during construction and operation)?</w:t>
            </w:r>
          </w:p>
          <w:p w14:paraId="561AA13C" w14:textId="77777777" w:rsidR="008C66C4" w:rsidRPr="00A51E75" w:rsidRDefault="008C66C4">
            <w:pPr>
              <w:ind w:left="674" w:right="247"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56A84F64"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532DB875" w14:textId="77777777" w:rsidTr="00471726">
        <w:trPr>
          <w:trHeight w:hRule="exact" w:val="710"/>
        </w:trPr>
        <w:tc>
          <w:tcPr>
            <w:tcW w:w="4485" w:type="pct"/>
            <w:tcBorders>
              <w:top w:val="single" w:sz="5" w:space="0" w:color="000000"/>
              <w:left w:val="single" w:sz="5" w:space="0" w:color="000000"/>
              <w:bottom w:val="single" w:sz="5" w:space="0" w:color="000000"/>
              <w:right w:val="single" w:sz="5" w:space="0" w:color="000000"/>
            </w:tcBorders>
          </w:tcPr>
          <w:p w14:paraId="53D76382" w14:textId="77777777" w:rsidR="008C66C4" w:rsidRPr="00A51E75" w:rsidRDefault="008C66C4">
            <w:pPr>
              <w:ind w:left="674" w:right="137" w:hanging="570"/>
              <w:rPr>
                <w:rFonts w:eastAsia="Calibri" w:cstheme="minorHAnsi"/>
                <w:spacing w:val="-1"/>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.6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Adverse impacts on ecosystems and ecosystem services relevant to community health (e.g., food, surface water purification, natural flood buffers)?</w:t>
            </w:r>
          </w:p>
          <w:p w14:paraId="09114C98" w14:textId="77777777" w:rsidR="008C66C4" w:rsidRPr="00A51E75" w:rsidRDefault="008C66C4">
            <w:pPr>
              <w:ind w:left="674" w:right="137"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7B418F0"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AB786FE" w14:textId="77777777" w:rsidTr="00471726">
        <w:trPr>
          <w:trHeight w:hRule="exact" w:val="346"/>
        </w:trPr>
        <w:tc>
          <w:tcPr>
            <w:tcW w:w="4485" w:type="pct"/>
            <w:tcBorders>
              <w:top w:val="single" w:sz="5" w:space="0" w:color="000000"/>
              <w:left w:val="single" w:sz="5" w:space="0" w:color="000000"/>
              <w:bottom w:val="single" w:sz="5" w:space="0" w:color="000000"/>
              <w:right w:val="single" w:sz="5" w:space="0" w:color="000000"/>
            </w:tcBorders>
          </w:tcPr>
          <w:p w14:paraId="1C0A315B" w14:textId="77777777" w:rsidR="008C66C4" w:rsidRPr="00A51E75" w:rsidRDefault="008C66C4">
            <w:pPr>
              <w:ind w:left="104"/>
              <w:rPr>
                <w:rFonts w:eastAsia="Calibri" w:cstheme="minorHAnsi"/>
                <w:spacing w:val="-1"/>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.7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Influx of project workers to project areas?</w:t>
            </w:r>
          </w:p>
          <w:p w14:paraId="4E142329"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595B116"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636F0FDA" w14:textId="77777777" w:rsidTr="00471726">
        <w:trPr>
          <w:trHeight w:hRule="exact" w:val="499"/>
        </w:trPr>
        <w:tc>
          <w:tcPr>
            <w:tcW w:w="4485" w:type="pct"/>
            <w:tcBorders>
              <w:top w:val="single" w:sz="5" w:space="0" w:color="000000"/>
              <w:left w:val="single" w:sz="5" w:space="0" w:color="000000"/>
              <w:bottom w:val="single" w:sz="5" w:space="0" w:color="000000"/>
              <w:right w:val="single" w:sz="5" w:space="0" w:color="000000"/>
            </w:tcBorders>
          </w:tcPr>
          <w:p w14:paraId="3DC26443"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3</w:t>
            </w:r>
            <w:r w:rsidRPr="00A51E75">
              <w:rPr>
                <w:rFonts w:eastAsia="Calibri" w:cstheme="minorHAnsi"/>
                <w:sz w:val="18"/>
                <w:szCs w:val="18"/>
                <w:lang w:val="en-US"/>
              </w:rPr>
              <w:t xml:space="preserve">.8       </w:t>
            </w:r>
            <w:r w:rsidRPr="00A51E75">
              <w:rPr>
                <w:rFonts w:eastAsia="Calibri" w:cstheme="minorHAnsi"/>
                <w:spacing w:val="18"/>
                <w:sz w:val="18"/>
                <w:szCs w:val="18"/>
                <w:lang w:val="en-US"/>
              </w:rPr>
              <w:t xml:space="preserve"> </w:t>
            </w:r>
            <w:r w:rsidRPr="00A51E75">
              <w:rPr>
                <w:rFonts w:eastAsia="Calibri" w:cstheme="minorHAnsi"/>
                <w:sz w:val="18"/>
                <w:szCs w:val="18"/>
                <w:lang w:val="en-US"/>
              </w:rPr>
              <w:t>Hiring security personnel to protect facilities and property or to support project activities?</w:t>
            </w:r>
          </w:p>
          <w:p w14:paraId="658D3BB3"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638284D"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44F82C12" w14:textId="77777777" w:rsidTr="00471726">
        <w:trPr>
          <w:trHeight w:hRule="exact" w:val="515"/>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36BFFE08" w14:textId="77777777" w:rsidR="008C66C4" w:rsidRPr="00A51E75" w:rsidRDefault="008C66C4">
            <w:pPr>
              <w:rPr>
                <w:rFonts w:cstheme="minorHAnsi"/>
                <w:sz w:val="14"/>
                <w:szCs w:val="14"/>
                <w:lang w:val="en-US"/>
              </w:rPr>
            </w:pPr>
          </w:p>
          <w:p w14:paraId="7E813898" w14:textId="77777777" w:rsidR="008C66C4" w:rsidRPr="00A51E75" w:rsidRDefault="008C66C4">
            <w:pPr>
              <w:ind w:left="104"/>
              <w:rPr>
                <w:rFonts w:eastAsia="Calibri" w:cstheme="minorHAnsi"/>
                <w:sz w:val="18"/>
                <w:szCs w:val="18"/>
                <w:lang w:val="en-US"/>
              </w:rPr>
            </w:pPr>
            <w:r w:rsidRPr="00A51E75">
              <w:rPr>
                <w:rFonts w:eastAsia="Calibri" w:cstheme="minorHAnsi"/>
                <w:b/>
                <w:sz w:val="18"/>
                <w:szCs w:val="18"/>
                <w:lang w:val="en-US"/>
              </w:rPr>
              <w:t>Standard 4: Cultural Heritage</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3E650832" w14:textId="77777777" w:rsidR="008C66C4" w:rsidRPr="00A51E75" w:rsidRDefault="008C66C4">
            <w:pPr>
              <w:rPr>
                <w:rFonts w:cstheme="minorHAnsi"/>
                <w:lang w:val="en-US"/>
              </w:rPr>
            </w:pPr>
          </w:p>
        </w:tc>
      </w:tr>
      <w:tr w:rsidR="008C66C4" w:rsidRPr="0063505D" w14:paraId="008EEDC3"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7FBF9A6F"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749483BD" w14:textId="77777777" w:rsidR="008C66C4" w:rsidRPr="00A51E75" w:rsidRDefault="008C66C4">
            <w:pPr>
              <w:rPr>
                <w:rFonts w:cstheme="minorHAnsi"/>
                <w:lang w:val="en-US"/>
              </w:rPr>
            </w:pPr>
          </w:p>
        </w:tc>
      </w:tr>
      <w:tr w:rsidR="008C66C4" w:rsidRPr="00A51E75" w14:paraId="369A34D9" w14:textId="77777777" w:rsidTr="00471726">
        <w:trPr>
          <w:trHeight w:hRule="exact" w:val="345"/>
        </w:trPr>
        <w:tc>
          <w:tcPr>
            <w:tcW w:w="4485" w:type="pct"/>
            <w:tcBorders>
              <w:top w:val="single" w:sz="5" w:space="0" w:color="000000"/>
              <w:left w:val="single" w:sz="5" w:space="0" w:color="000000"/>
              <w:bottom w:val="single" w:sz="5" w:space="0" w:color="000000"/>
              <w:right w:val="single" w:sz="5" w:space="0" w:color="000000"/>
            </w:tcBorders>
          </w:tcPr>
          <w:p w14:paraId="06440E50"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4</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Activities adjacent to or within a Cultural Heritage site?</w:t>
            </w:r>
          </w:p>
        </w:tc>
        <w:tc>
          <w:tcPr>
            <w:tcW w:w="515" w:type="pct"/>
            <w:tcBorders>
              <w:top w:val="single" w:sz="5" w:space="0" w:color="000000"/>
              <w:left w:val="single" w:sz="5" w:space="0" w:color="000000"/>
              <w:bottom w:val="single" w:sz="5" w:space="0" w:color="000000"/>
              <w:right w:val="single" w:sz="5" w:space="0" w:color="000000"/>
            </w:tcBorders>
          </w:tcPr>
          <w:p w14:paraId="7BE5B694"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62F3AEA3" w14:textId="77777777" w:rsidTr="00471726">
        <w:trPr>
          <w:trHeight w:hRule="exact" w:val="438"/>
        </w:trPr>
        <w:tc>
          <w:tcPr>
            <w:tcW w:w="4485" w:type="pct"/>
            <w:tcBorders>
              <w:top w:val="single" w:sz="5" w:space="0" w:color="000000"/>
              <w:left w:val="single" w:sz="5" w:space="0" w:color="000000"/>
              <w:bottom w:val="single" w:sz="5" w:space="0" w:color="000000"/>
              <w:right w:val="single" w:sz="5" w:space="0" w:color="000000"/>
            </w:tcBorders>
          </w:tcPr>
          <w:p w14:paraId="54EA44C5"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lastRenderedPageBreak/>
              <w:t>4</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w:t>
            </w:r>
            <w:r w:rsidRPr="00A51E75">
              <w:rPr>
                <w:rFonts w:eastAsia="Calibri" w:cstheme="minorHAnsi"/>
                <w:sz w:val="18"/>
                <w:szCs w:val="18"/>
                <w:lang w:val="en-US"/>
              </w:rPr>
              <w:t>Major excavations, demolitions, earthworks, flooding, or other environmental changes?</w:t>
            </w:r>
          </w:p>
          <w:p w14:paraId="3A5D0E89"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1F0376DD"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3371A370" w14:textId="77777777" w:rsidTr="00471726">
        <w:trPr>
          <w:trHeight w:hRule="exact" w:val="997"/>
        </w:trPr>
        <w:tc>
          <w:tcPr>
            <w:tcW w:w="4485" w:type="pct"/>
            <w:tcBorders>
              <w:top w:val="single" w:sz="5" w:space="0" w:color="000000"/>
              <w:left w:val="single" w:sz="5" w:space="0" w:color="000000"/>
              <w:bottom w:val="single" w:sz="5" w:space="0" w:color="000000"/>
              <w:right w:val="single" w:sz="5" w:space="0" w:color="000000"/>
            </w:tcBorders>
          </w:tcPr>
          <w:p w14:paraId="397F7F74" w14:textId="77777777" w:rsidR="008C66C4" w:rsidRPr="00A51E75" w:rsidRDefault="008C66C4">
            <w:pPr>
              <w:ind w:left="674" w:right="246" w:hanging="570"/>
              <w:rPr>
                <w:rFonts w:eastAsia="Calibri" w:cstheme="minorHAnsi"/>
                <w:spacing w:val="-1"/>
                <w:sz w:val="18"/>
                <w:szCs w:val="18"/>
                <w:lang w:val="en-US"/>
              </w:rPr>
            </w:pPr>
            <w:r w:rsidRPr="00A51E75">
              <w:rPr>
                <w:rFonts w:eastAsia="Calibri" w:cstheme="minorHAnsi"/>
                <w:spacing w:val="-1"/>
                <w:sz w:val="18"/>
                <w:szCs w:val="18"/>
                <w:lang w:val="en-US"/>
              </w:rPr>
              <w:t>4</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Adverse impacts on sites, structures, or objects with historic, cultural, artistic, traditional, or religious values, or intangible forms of culture (e.g., knowledge, innovations, practices)? (Note: Projects intended to protect and conserve cultural heritage may also have unintended adverse impacts.)</w:t>
            </w:r>
          </w:p>
          <w:p w14:paraId="6B494F9E" w14:textId="77777777" w:rsidR="008C66C4" w:rsidRPr="00A51E75" w:rsidRDefault="008C66C4">
            <w:pPr>
              <w:ind w:left="674" w:right="246"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6804F5D"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19DF86AB"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2997D4E2" w14:textId="77777777" w:rsidR="008C66C4" w:rsidRPr="00A51E75" w:rsidRDefault="008C66C4">
            <w:pPr>
              <w:ind w:left="104"/>
              <w:rPr>
                <w:rFonts w:eastAsia="Calibri" w:cstheme="minorHAnsi"/>
                <w:spacing w:val="-1"/>
                <w:sz w:val="18"/>
                <w:szCs w:val="18"/>
                <w:lang w:val="en-US"/>
              </w:rPr>
            </w:pPr>
            <w:r w:rsidRPr="00A51E75">
              <w:rPr>
                <w:rFonts w:eastAsia="Calibri" w:cstheme="minorHAnsi"/>
                <w:spacing w:val="-1"/>
                <w:sz w:val="18"/>
                <w:szCs w:val="18"/>
                <w:lang w:val="en-US"/>
              </w:rPr>
              <w:t>4</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Alterations of landscapes and natural elements with cultural significance?</w:t>
            </w:r>
          </w:p>
          <w:p w14:paraId="40CEA9BC"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53525DA6"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5439CD52" w14:textId="77777777" w:rsidTr="00471726">
        <w:trPr>
          <w:trHeight w:hRule="exact" w:val="571"/>
        </w:trPr>
        <w:tc>
          <w:tcPr>
            <w:tcW w:w="4485" w:type="pct"/>
            <w:tcBorders>
              <w:top w:val="single" w:sz="5" w:space="0" w:color="000000"/>
              <w:left w:val="single" w:sz="5" w:space="0" w:color="000000"/>
              <w:bottom w:val="single" w:sz="5" w:space="0" w:color="000000"/>
              <w:right w:val="single" w:sz="5" w:space="0" w:color="000000"/>
            </w:tcBorders>
          </w:tcPr>
          <w:p w14:paraId="2F3E0E09" w14:textId="77777777" w:rsidR="008C66C4" w:rsidRPr="00A51E75" w:rsidRDefault="008C66C4">
            <w:pPr>
              <w:ind w:left="674" w:right="342" w:hanging="570"/>
              <w:rPr>
                <w:rFonts w:eastAsia="Calibri" w:cstheme="minorHAnsi"/>
                <w:sz w:val="18"/>
                <w:szCs w:val="18"/>
                <w:lang w:val="en-US"/>
              </w:rPr>
            </w:pPr>
            <w:r w:rsidRPr="00A51E75">
              <w:rPr>
                <w:rFonts w:eastAsia="Calibri" w:cstheme="minorHAnsi"/>
                <w:spacing w:val="-1"/>
                <w:sz w:val="18"/>
                <w:szCs w:val="18"/>
                <w:lang w:val="en-US"/>
              </w:rPr>
              <w:t>4</w:t>
            </w:r>
            <w:r w:rsidRPr="00A51E75">
              <w:rPr>
                <w:rFonts w:eastAsia="Calibri" w:cstheme="minorHAnsi"/>
                <w:sz w:val="18"/>
                <w:szCs w:val="18"/>
                <w:lang w:val="en-US"/>
              </w:rPr>
              <w:t xml:space="preserve">.5       </w:t>
            </w:r>
            <w:r w:rsidRPr="00A51E75">
              <w:rPr>
                <w:rFonts w:eastAsia="Calibri" w:cstheme="minorHAnsi"/>
                <w:spacing w:val="18"/>
                <w:sz w:val="18"/>
                <w:szCs w:val="18"/>
                <w:lang w:val="en-US"/>
              </w:rPr>
              <w:t xml:space="preserve"> </w:t>
            </w:r>
            <w:r w:rsidRPr="00A51E75">
              <w:rPr>
                <w:rFonts w:eastAsia="Calibri" w:cstheme="minorHAnsi"/>
                <w:sz w:val="18"/>
                <w:szCs w:val="18"/>
                <w:lang w:val="en-US"/>
              </w:rPr>
              <w:t>Use of tangible and/or intangible forms (e.g., practices, traditional knowledge) of cultural heritage for commercial or other purposes?</w:t>
            </w:r>
          </w:p>
          <w:p w14:paraId="7AAD46C8" w14:textId="77777777" w:rsidR="008C66C4" w:rsidRPr="00A51E75" w:rsidRDefault="008C66C4">
            <w:pPr>
              <w:ind w:left="674" w:right="342"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64816CDA"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5CCF7E8F" w14:textId="77777777" w:rsidTr="00471726">
        <w:trPr>
          <w:trHeight w:hRule="exact" w:val="575"/>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4886B2BB" w14:textId="77777777" w:rsidR="008C66C4" w:rsidRPr="00A51E75" w:rsidRDefault="008C66C4">
            <w:pPr>
              <w:rPr>
                <w:rFonts w:cstheme="minorHAnsi"/>
                <w:sz w:val="16"/>
                <w:szCs w:val="16"/>
                <w:lang w:val="en-US"/>
              </w:rPr>
            </w:pPr>
          </w:p>
          <w:p w14:paraId="72839802" w14:textId="77777777" w:rsidR="008C66C4" w:rsidRPr="00A51E75" w:rsidRDefault="008C66C4">
            <w:pPr>
              <w:ind w:left="104"/>
              <w:rPr>
                <w:rFonts w:eastAsia="Calibri" w:cstheme="minorHAnsi"/>
                <w:sz w:val="18"/>
                <w:szCs w:val="18"/>
                <w:lang w:val="en-US"/>
              </w:rPr>
            </w:pPr>
            <w:r w:rsidRPr="00A51E75">
              <w:rPr>
                <w:rFonts w:eastAsia="Calibri" w:cstheme="minorHAnsi"/>
                <w:b/>
                <w:sz w:val="18"/>
                <w:szCs w:val="18"/>
                <w:lang w:val="en-US"/>
              </w:rPr>
              <w:t>Standard 5: Displacement and Resettlement</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3D6B6A08" w14:textId="77777777" w:rsidR="008C66C4" w:rsidRPr="00A51E75" w:rsidRDefault="008C66C4">
            <w:pPr>
              <w:rPr>
                <w:rFonts w:cstheme="minorHAnsi"/>
                <w:sz w:val="18"/>
                <w:szCs w:val="18"/>
                <w:lang w:val="en-US"/>
              </w:rPr>
            </w:pPr>
          </w:p>
        </w:tc>
      </w:tr>
      <w:tr w:rsidR="008C66C4" w:rsidRPr="0063505D" w14:paraId="20C99189"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1F3722FF"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21464B75" w14:textId="77777777" w:rsidR="008C66C4" w:rsidRPr="00A51E75" w:rsidRDefault="008C66C4">
            <w:pPr>
              <w:rPr>
                <w:rFonts w:cstheme="minorHAnsi"/>
                <w:sz w:val="18"/>
                <w:szCs w:val="18"/>
                <w:lang w:val="en-US"/>
              </w:rPr>
            </w:pPr>
          </w:p>
        </w:tc>
      </w:tr>
      <w:tr w:rsidR="008C66C4" w:rsidRPr="00A51E75" w14:paraId="254FAC6D" w14:textId="77777777" w:rsidTr="00471726">
        <w:trPr>
          <w:trHeight w:hRule="exact" w:val="566"/>
        </w:trPr>
        <w:tc>
          <w:tcPr>
            <w:tcW w:w="4485" w:type="pct"/>
            <w:tcBorders>
              <w:top w:val="single" w:sz="5" w:space="0" w:color="000000"/>
              <w:left w:val="single" w:sz="5" w:space="0" w:color="000000"/>
              <w:bottom w:val="single" w:sz="5" w:space="0" w:color="000000"/>
              <w:right w:val="single" w:sz="5" w:space="0" w:color="000000"/>
            </w:tcBorders>
          </w:tcPr>
          <w:p w14:paraId="6FE0F9ED" w14:textId="77777777" w:rsidR="008C66C4" w:rsidRPr="00A51E75" w:rsidRDefault="008C66C4">
            <w:pPr>
              <w:ind w:left="674" w:right="740" w:hanging="570"/>
              <w:rPr>
                <w:rFonts w:eastAsia="Calibri" w:cstheme="minorHAnsi"/>
                <w:sz w:val="18"/>
                <w:szCs w:val="18"/>
                <w:lang w:val="en-US"/>
              </w:rPr>
            </w:pPr>
            <w:r w:rsidRPr="00A51E75">
              <w:rPr>
                <w:rFonts w:eastAsia="Calibri" w:cstheme="minorHAnsi"/>
                <w:spacing w:val="-1"/>
                <w:sz w:val="18"/>
                <w:szCs w:val="18"/>
                <w:lang w:val="en-US"/>
              </w:rPr>
              <w:t>5</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z w:val="18"/>
                <w:szCs w:val="18"/>
                <w:lang w:val="en-US"/>
              </w:rPr>
              <w:t xml:space="preserve">Temporary or permanent, total or partial physical displacement (including </w:t>
            </w:r>
            <w:proofErr w:type="gramStart"/>
            <w:r w:rsidRPr="00A51E75">
              <w:rPr>
                <w:rFonts w:eastAsia="Calibri" w:cstheme="minorHAnsi"/>
                <w:sz w:val="18"/>
                <w:szCs w:val="18"/>
                <w:lang w:val="en-US"/>
              </w:rPr>
              <w:t>persons</w:t>
            </w:r>
            <w:proofErr w:type="gramEnd"/>
            <w:r w:rsidRPr="00A51E75">
              <w:rPr>
                <w:rFonts w:eastAsia="Calibri" w:cstheme="minorHAnsi"/>
                <w:sz w:val="18"/>
                <w:szCs w:val="18"/>
                <w:lang w:val="en-US"/>
              </w:rPr>
              <w:t xml:space="preserve"> without legally recognizable rights to land)?</w:t>
            </w:r>
          </w:p>
          <w:p w14:paraId="24E0EC0A" w14:textId="77777777" w:rsidR="008C66C4" w:rsidRPr="00A51E75" w:rsidRDefault="008C66C4">
            <w:pPr>
              <w:ind w:left="674" w:right="740"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63CC07AF"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68CE9B3D" w14:textId="77777777" w:rsidTr="00471726">
        <w:trPr>
          <w:trHeight w:hRule="exact" w:val="570"/>
        </w:trPr>
        <w:tc>
          <w:tcPr>
            <w:tcW w:w="4485" w:type="pct"/>
            <w:tcBorders>
              <w:top w:val="single" w:sz="5" w:space="0" w:color="000000"/>
              <w:left w:val="single" w:sz="5" w:space="0" w:color="000000"/>
              <w:bottom w:val="single" w:sz="5" w:space="0" w:color="000000"/>
              <w:right w:val="single" w:sz="5" w:space="0" w:color="000000"/>
            </w:tcBorders>
          </w:tcPr>
          <w:p w14:paraId="7C96A1FE" w14:textId="77777777" w:rsidR="008C66C4" w:rsidRPr="00A51E75" w:rsidRDefault="008C66C4">
            <w:pPr>
              <w:adjustRightInd w:val="0"/>
              <w:spacing w:before="57"/>
              <w:ind w:left="675" w:right="788" w:hanging="573"/>
              <w:rPr>
                <w:rFonts w:eastAsia="Calibri" w:cstheme="minorHAnsi"/>
                <w:sz w:val="18"/>
                <w:szCs w:val="18"/>
                <w:lang w:val="en-US"/>
              </w:rPr>
            </w:pPr>
            <w:r w:rsidRPr="00A51E75">
              <w:rPr>
                <w:rFonts w:eastAsia="Calibri" w:cstheme="minorHAnsi"/>
                <w:spacing w:val="-1"/>
                <w:sz w:val="18"/>
                <w:szCs w:val="18"/>
                <w:lang w:val="en-US"/>
              </w:rPr>
              <w:t>5</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Economic displacement (e.g., loss of assets or access to resources due to land acquisition or access restrictions, even in the absence of physical relocation)?</w:t>
            </w:r>
          </w:p>
          <w:p w14:paraId="39D189A8" w14:textId="77777777" w:rsidR="008C66C4" w:rsidRPr="00A51E75" w:rsidRDefault="008C66C4">
            <w:pPr>
              <w:spacing w:before="57"/>
              <w:ind w:left="674" w:right="786"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369AB997"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7ECE32B8"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592654A4" w14:textId="77777777" w:rsidR="008C66C4" w:rsidRPr="00A51E75" w:rsidRDefault="008C66C4">
            <w:pPr>
              <w:spacing w:before="57"/>
              <w:ind w:left="104"/>
              <w:rPr>
                <w:rFonts w:eastAsia="Calibri" w:cstheme="minorHAnsi"/>
                <w:sz w:val="12"/>
                <w:szCs w:val="12"/>
                <w:lang w:val="en-US"/>
              </w:rPr>
            </w:pPr>
            <w:r w:rsidRPr="00A51E75">
              <w:rPr>
                <w:rFonts w:eastAsia="Calibri" w:cstheme="minorHAnsi"/>
                <w:spacing w:val="-1"/>
                <w:sz w:val="18"/>
                <w:szCs w:val="18"/>
                <w:lang w:val="en-US"/>
              </w:rPr>
              <w:t>5</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Risk of forced evictions?</w:t>
            </w:r>
            <w:r w:rsidRPr="00A51E75">
              <w:rPr>
                <w:rStyle w:val="Refdenotaalpie"/>
                <w:rFonts w:asciiTheme="minorHAnsi" w:eastAsia="Calibri" w:hAnsiTheme="minorHAnsi" w:cstheme="minorHAnsi"/>
                <w:spacing w:val="1"/>
                <w:szCs w:val="18"/>
                <w:lang w:val="en-US"/>
              </w:rPr>
              <w:footnoteReference w:id="23"/>
            </w:r>
          </w:p>
        </w:tc>
        <w:tc>
          <w:tcPr>
            <w:tcW w:w="515" w:type="pct"/>
            <w:tcBorders>
              <w:top w:val="single" w:sz="5" w:space="0" w:color="000000"/>
              <w:left w:val="single" w:sz="5" w:space="0" w:color="000000"/>
              <w:bottom w:val="single" w:sz="5" w:space="0" w:color="000000"/>
              <w:right w:val="single" w:sz="5" w:space="0" w:color="000000"/>
            </w:tcBorders>
          </w:tcPr>
          <w:p w14:paraId="2E89FD7B"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66F1F0C8" w14:textId="77777777" w:rsidTr="00471726">
        <w:trPr>
          <w:trHeight w:hRule="exact" w:val="565"/>
        </w:trPr>
        <w:tc>
          <w:tcPr>
            <w:tcW w:w="4485" w:type="pct"/>
            <w:tcBorders>
              <w:top w:val="single" w:sz="5" w:space="0" w:color="000000"/>
              <w:left w:val="single" w:sz="5" w:space="0" w:color="000000"/>
              <w:bottom w:val="single" w:sz="5" w:space="0" w:color="000000"/>
              <w:right w:val="single" w:sz="5" w:space="0" w:color="000000"/>
            </w:tcBorders>
          </w:tcPr>
          <w:p w14:paraId="477CB148" w14:textId="77777777" w:rsidR="008C66C4" w:rsidRPr="00A51E75" w:rsidRDefault="008C66C4">
            <w:pPr>
              <w:spacing w:before="57"/>
              <w:ind w:left="674" w:right="260" w:hanging="570"/>
              <w:rPr>
                <w:rFonts w:eastAsia="Calibri" w:cstheme="minorHAnsi"/>
                <w:spacing w:val="-1"/>
                <w:sz w:val="18"/>
                <w:szCs w:val="18"/>
                <w:lang w:val="en-US"/>
              </w:rPr>
            </w:pPr>
            <w:r w:rsidRPr="00A51E75">
              <w:rPr>
                <w:rFonts w:eastAsia="Calibri" w:cstheme="minorHAnsi"/>
                <w:spacing w:val="-1"/>
                <w:sz w:val="18"/>
                <w:szCs w:val="18"/>
                <w:lang w:val="en-US"/>
              </w:rPr>
              <w:t>5</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Impacts or changes to land tenure arrangements and/or community property rights/customary rights over land, territories, and/or resources?</w:t>
            </w:r>
          </w:p>
          <w:p w14:paraId="15A9FB7D" w14:textId="77777777" w:rsidR="008C66C4" w:rsidRPr="00A51E75" w:rsidRDefault="008C66C4">
            <w:pPr>
              <w:spacing w:before="57"/>
              <w:ind w:left="674" w:right="260"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3521A634"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5CE9EBFB" w14:textId="77777777" w:rsidTr="00471726">
        <w:trPr>
          <w:trHeight w:hRule="exact" w:val="443"/>
        </w:trPr>
        <w:tc>
          <w:tcPr>
            <w:tcW w:w="4485" w:type="pct"/>
            <w:tcBorders>
              <w:top w:val="single" w:sz="5" w:space="0" w:color="000000"/>
              <w:left w:val="single" w:sz="5" w:space="0" w:color="000000"/>
              <w:bottom w:val="single" w:sz="5" w:space="0" w:color="000000"/>
              <w:right w:val="single" w:sz="5" w:space="0" w:color="000000"/>
            </w:tcBorders>
            <w:shd w:val="clear" w:color="auto" w:fill="DBE3EF"/>
            <w:vAlign w:val="center"/>
          </w:tcPr>
          <w:p w14:paraId="6AAF04F7" w14:textId="77777777" w:rsidR="008C66C4" w:rsidRPr="00A51E75" w:rsidRDefault="008C66C4">
            <w:pPr>
              <w:rPr>
                <w:rFonts w:eastAsia="Calibri" w:cstheme="minorHAnsi"/>
                <w:sz w:val="18"/>
                <w:szCs w:val="18"/>
                <w:lang w:val="en-US"/>
              </w:rPr>
            </w:pPr>
            <w:r w:rsidRPr="00A51E75">
              <w:rPr>
                <w:rFonts w:eastAsia="Calibri" w:cstheme="minorHAnsi"/>
                <w:b/>
                <w:sz w:val="18"/>
                <w:szCs w:val="18"/>
                <w:lang w:val="en-US"/>
              </w:rPr>
              <w:t>Standard 6: Indigenous Peoples</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575E6F8A" w14:textId="77777777" w:rsidR="008C66C4" w:rsidRPr="00A51E75" w:rsidRDefault="008C66C4">
            <w:pPr>
              <w:rPr>
                <w:rFonts w:cstheme="minorHAnsi"/>
                <w:sz w:val="18"/>
                <w:szCs w:val="18"/>
                <w:lang w:val="en-US"/>
              </w:rPr>
            </w:pPr>
          </w:p>
        </w:tc>
      </w:tr>
      <w:tr w:rsidR="008C66C4" w:rsidRPr="0063505D" w14:paraId="6DB7287D"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150ED6C6" w14:textId="77777777" w:rsidR="008C66C4" w:rsidRPr="00A51E75" w:rsidRDefault="008C66C4">
            <w:pPr>
              <w:spacing w:before="57"/>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7552348E" w14:textId="77777777" w:rsidR="008C66C4" w:rsidRPr="00A51E75" w:rsidRDefault="008C66C4">
            <w:pPr>
              <w:rPr>
                <w:rFonts w:cstheme="minorHAnsi"/>
                <w:sz w:val="18"/>
                <w:szCs w:val="18"/>
                <w:lang w:val="en-US"/>
              </w:rPr>
            </w:pPr>
          </w:p>
        </w:tc>
      </w:tr>
      <w:tr w:rsidR="008C66C4" w:rsidRPr="00A51E75" w14:paraId="01AB0A79" w14:textId="77777777" w:rsidTr="00471726">
        <w:trPr>
          <w:trHeight w:hRule="exact" w:val="351"/>
        </w:trPr>
        <w:tc>
          <w:tcPr>
            <w:tcW w:w="4485" w:type="pct"/>
            <w:tcBorders>
              <w:top w:val="single" w:sz="5" w:space="0" w:color="000000"/>
              <w:left w:val="single" w:sz="5" w:space="0" w:color="000000"/>
              <w:bottom w:val="single" w:sz="5" w:space="0" w:color="000000"/>
              <w:right w:val="single" w:sz="5" w:space="0" w:color="000000"/>
            </w:tcBorders>
          </w:tcPr>
          <w:p w14:paraId="26993BD2" w14:textId="77777777" w:rsidR="008C66C4" w:rsidRPr="00A51E75" w:rsidRDefault="008C66C4">
            <w:pPr>
              <w:spacing w:before="58"/>
              <w:ind w:left="104"/>
              <w:rPr>
                <w:rFonts w:eastAsia="Calibri" w:cstheme="minorHAnsi"/>
                <w:spacing w:val="-1"/>
                <w:sz w:val="18"/>
                <w:szCs w:val="18"/>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Areas where there is a presence of indigenous peoples (including the project's area of ​​influence)?</w:t>
            </w:r>
          </w:p>
          <w:p w14:paraId="5F98BD3B" w14:textId="77777777" w:rsidR="008C66C4" w:rsidRPr="00A51E75" w:rsidRDefault="008C66C4">
            <w:pPr>
              <w:spacing w:before="58"/>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01A06764"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5C5CB25B"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19BD7EB4" w14:textId="77777777" w:rsidR="008C66C4" w:rsidRPr="00A51E75" w:rsidRDefault="008C66C4">
            <w:pPr>
              <w:spacing w:before="57"/>
              <w:ind w:left="104"/>
              <w:rPr>
                <w:rFonts w:eastAsia="Calibri" w:cstheme="minorHAnsi"/>
                <w:spacing w:val="-1"/>
                <w:sz w:val="18"/>
                <w:szCs w:val="18"/>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Activities located on lands and territories claimed by indigenous peoples?</w:t>
            </w:r>
          </w:p>
          <w:p w14:paraId="15B28DF4" w14:textId="77777777" w:rsidR="008C66C4" w:rsidRPr="00A51E75" w:rsidRDefault="008C66C4">
            <w:pPr>
              <w:spacing w:before="57"/>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DFC8A90"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7177BDDE" w14:textId="77777777" w:rsidTr="00471726">
        <w:trPr>
          <w:trHeight w:hRule="exact" w:val="1421"/>
        </w:trPr>
        <w:tc>
          <w:tcPr>
            <w:tcW w:w="4485" w:type="pct"/>
            <w:tcBorders>
              <w:top w:val="single" w:sz="5" w:space="0" w:color="000000"/>
              <w:left w:val="single" w:sz="5" w:space="0" w:color="000000"/>
              <w:bottom w:val="single" w:sz="5" w:space="0" w:color="000000"/>
              <w:right w:val="single" w:sz="5" w:space="0" w:color="000000"/>
            </w:tcBorders>
          </w:tcPr>
          <w:p w14:paraId="6B332ED6" w14:textId="77777777" w:rsidR="008C66C4" w:rsidRPr="00A51E75" w:rsidRDefault="008C66C4">
            <w:pPr>
              <w:ind w:left="567" w:right="396" w:hanging="567"/>
              <w:rPr>
                <w:rFonts w:eastAsia="Calibri" w:cstheme="minorHAnsi"/>
                <w:sz w:val="12"/>
                <w:szCs w:val="12"/>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Impacts (positive or negative) on the human rights, lands, natural resources, territories, and traditional livelihoods of Indigenous Peoples (regardless of whether Indigenous Peoples hold legal title to such areas, whether the project is located within or outside the lands and territories inhabited by the affected peoples, or whether Indigenous Peoples are recognized as Indigenous Peoples by the country concerned)? If the answer to screening question 6.3 is “Yes,” then the requirements of Standard 6 apply, and the potential significance of the risks related to impacts on Indigenous Peoples must be Moderate or higher.</w:t>
            </w:r>
            <w:r w:rsidRPr="00A51E75">
              <w:rPr>
                <w:rStyle w:val="Refdenotaalpie"/>
                <w:rFonts w:asciiTheme="minorHAnsi" w:eastAsia="Calibri" w:hAnsiTheme="minorHAnsi" w:cstheme="minorHAnsi"/>
                <w:i/>
                <w:szCs w:val="18"/>
                <w:lang w:val="en-US"/>
              </w:rPr>
              <w:footnoteReference w:id="24"/>
            </w:r>
          </w:p>
        </w:tc>
        <w:tc>
          <w:tcPr>
            <w:tcW w:w="515" w:type="pct"/>
            <w:tcBorders>
              <w:top w:val="single" w:sz="5" w:space="0" w:color="000000"/>
              <w:left w:val="single" w:sz="5" w:space="0" w:color="000000"/>
              <w:bottom w:val="single" w:sz="5" w:space="0" w:color="000000"/>
              <w:right w:val="single" w:sz="5" w:space="0" w:color="000000"/>
            </w:tcBorders>
          </w:tcPr>
          <w:p w14:paraId="2598C985"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40F18DD" w14:textId="77777777" w:rsidTr="00471726">
        <w:trPr>
          <w:trHeight w:hRule="exact" w:val="790"/>
        </w:trPr>
        <w:tc>
          <w:tcPr>
            <w:tcW w:w="4485" w:type="pct"/>
            <w:tcBorders>
              <w:top w:val="single" w:sz="5" w:space="0" w:color="000000"/>
              <w:left w:val="single" w:sz="5" w:space="0" w:color="000000"/>
              <w:bottom w:val="single" w:sz="5" w:space="0" w:color="000000"/>
              <w:right w:val="single" w:sz="5" w:space="0" w:color="000000"/>
            </w:tcBorders>
          </w:tcPr>
          <w:p w14:paraId="19BBE397" w14:textId="77777777" w:rsidR="008C66C4" w:rsidRPr="00A51E75" w:rsidRDefault="008C66C4">
            <w:pPr>
              <w:ind w:left="674" w:right="256" w:hanging="570"/>
              <w:rPr>
                <w:rFonts w:eastAsia="Calibri" w:cstheme="minorHAnsi"/>
                <w:sz w:val="18"/>
                <w:szCs w:val="18"/>
                <w:lang w:val="en-US"/>
              </w:rPr>
            </w:pPr>
            <w:r w:rsidRPr="00A51E75">
              <w:rPr>
                <w:rFonts w:eastAsia="Calibri" w:cstheme="minorHAnsi"/>
                <w:spacing w:val="-1"/>
                <w:sz w:val="18"/>
                <w:szCs w:val="18"/>
                <w:lang w:val="en-US"/>
              </w:rPr>
              <w:lastRenderedPageBreak/>
              <w:t>6</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z w:val="18"/>
                <w:szCs w:val="18"/>
                <w:lang w:val="en-US"/>
              </w:rPr>
              <w:t>The absence of culturally appropriate consultations conducted with the aim of achieving FPIC on matters that may affect the rights and interests, lands, resources, territories, and traditional livelihoods of the indigenous peoples concerned?</w:t>
            </w:r>
          </w:p>
          <w:p w14:paraId="5816C7BC" w14:textId="77777777" w:rsidR="008C66C4" w:rsidRPr="00A51E75" w:rsidRDefault="008C66C4">
            <w:pPr>
              <w:ind w:left="674" w:right="256"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CF953C1"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19D33C56" w14:textId="77777777" w:rsidTr="00471726">
        <w:trPr>
          <w:trHeight w:hRule="exact" w:val="570"/>
        </w:trPr>
        <w:tc>
          <w:tcPr>
            <w:tcW w:w="4485" w:type="pct"/>
            <w:tcBorders>
              <w:top w:val="single" w:sz="5" w:space="0" w:color="000000"/>
              <w:left w:val="single" w:sz="5" w:space="0" w:color="000000"/>
              <w:bottom w:val="single" w:sz="5" w:space="0" w:color="000000"/>
              <w:right w:val="single" w:sz="5" w:space="0" w:color="000000"/>
            </w:tcBorders>
          </w:tcPr>
          <w:p w14:paraId="5239929A" w14:textId="77777777" w:rsidR="008C66C4" w:rsidRPr="00A51E75" w:rsidRDefault="008C66C4">
            <w:pPr>
              <w:ind w:left="674" w:right="395" w:hanging="570"/>
              <w:rPr>
                <w:rFonts w:eastAsia="Calibri" w:cstheme="minorHAnsi"/>
                <w:sz w:val="18"/>
                <w:szCs w:val="18"/>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.5       </w:t>
            </w:r>
            <w:r w:rsidRPr="00A51E75">
              <w:rPr>
                <w:rFonts w:eastAsia="Calibri" w:cstheme="minorHAnsi"/>
                <w:spacing w:val="18"/>
                <w:sz w:val="18"/>
                <w:szCs w:val="18"/>
                <w:lang w:val="en-US"/>
              </w:rPr>
              <w:t xml:space="preserve"> The commercial use and/or development of natural resources in lands and territories claimed by indigenous peoples?</w:t>
            </w:r>
          </w:p>
          <w:p w14:paraId="05BA0041" w14:textId="77777777" w:rsidR="008C66C4" w:rsidRPr="00A51E75" w:rsidRDefault="008C66C4">
            <w:pPr>
              <w:ind w:left="674" w:right="395"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4BA87D14"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0FE55C55" w14:textId="77777777" w:rsidTr="00471726">
        <w:trPr>
          <w:trHeight w:hRule="exact" w:val="850"/>
        </w:trPr>
        <w:tc>
          <w:tcPr>
            <w:tcW w:w="4485" w:type="pct"/>
            <w:tcBorders>
              <w:top w:val="single" w:sz="5" w:space="0" w:color="000000"/>
              <w:left w:val="single" w:sz="5" w:space="0" w:color="000000"/>
              <w:bottom w:val="single" w:sz="5" w:space="0" w:color="000000"/>
              <w:right w:val="single" w:sz="5" w:space="0" w:color="000000"/>
            </w:tcBorders>
          </w:tcPr>
          <w:p w14:paraId="57BE8170" w14:textId="77777777" w:rsidR="008C66C4" w:rsidRPr="00A51E75" w:rsidRDefault="008C66C4">
            <w:pPr>
              <w:ind w:left="567" w:hanging="567"/>
              <w:rPr>
                <w:rFonts w:cstheme="minorHAnsi"/>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.6       </w:t>
            </w:r>
            <w:r w:rsidRPr="00A51E75">
              <w:rPr>
                <w:rFonts w:eastAsia="Calibri" w:cstheme="minorHAnsi"/>
                <w:spacing w:val="18"/>
                <w:sz w:val="18"/>
                <w:szCs w:val="18"/>
                <w:lang w:val="en-US"/>
              </w:rPr>
              <w:t xml:space="preserve"> Forced eviction or total or partial physical or economic displacement of indigenous peoples, including through restrictions on access to lands, territories and resources?</w:t>
            </w:r>
          </w:p>
          <w:p w14:paraId="4278897E" w14:textId="77777777" w:rsidR="008C66C4" w:rsidRPr="00A51E75" w:rsidRDefault="008C66C4">
            <w:pPr>
              <w:ind w:firstLine="567"/>
              <w:rPr>
                <w:rFonts w:eastAsia="Calibri" w:cstheme="minorHAnsi"/>
                <w:sz w:val="18"/>
                <w:szCs w:val="18"/>
                <w:lang w:val="en-US"/>
              </w:rPr>
            </w:pPr>
            <w:r w:rsidRPr="00A51E75">
              <w:rPr>
                <w:rFonts w:eastAsia="Calibri" w:cstheme="minorHAnsi"/>
                <w:i/>
                <w:spacing w:val="1"/>
                <w:sz w:val="18"/>
                <w:szCs w:val="18"/>
                <w:lang w:val="en-US"/>
              </w:rPr>
              <w:t>Consider and, where appropriate, ensure consistency with the responses in Standard 5 above.</w:t>
            </w:r>
          </w:p>
        </w:tc>
        <w:tc>
          <w:tcPr>
            <w:tcW w:w="515" w:type="pct"/>
            <w:tcBorders>
              <w:top w:val="single" w:sz="5" w:space="0" w:color="000000"/>
              <w:left w:val="single" w:sz="5" w:space="0" w:color="000000"/>
              <w:bottom w:val="single" w:sz="5" w:space="0" w:color="000000"/>
              <w:right w:val="single" w:sz="5" w:space="0" w:color="000000"/>
            </w:tcBorders>
          </w:tcPr>
          <w:p w14:paraId="253F7E84"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582000F9" w14:textId="77777777" w:rsidTr="00471726">
        <w:trPr>
          <w:trHeight w:hRule="exact" w:val="351"/>
        </w:trPr>
        <w:tc>
          <w:tcPr>
            <w:tcW w:w="4485" w:type="pct"/>
            <w:tcBorders>
              <w:top w:val="single" w:sz="5" w:space="0" w:color="000000"/>
              <w:left w:val="single" w:sz="5" w:space="0" w:color="000000"/>
              <w:bottom w:val="single" w:sz="5" w:space="0" w:color="000000"/>
              <w:right w:val="single" w:sz="5" w:space="0" w:color="000000"/>
            </w:tcBorders>
          </w:tcPr>
          <w:p w14:paraId="6D13DC34" w14:textId="77777777" w:rsidR="008C66C4" w:rsidRPr="00A51E75" w:rsidRDefault="008C66C4">
            <w:pPr>
              <w:ind w:left="104"/>
              <w:rPr>
                <w:rFonts w:eastAsia="Calibri" w:cstheme="minorHAnsi"/>
                <w:spacing w:val="-1"/>
                <w:sz w:val="18"/>
                <w:szCs w:val="18"/>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.7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Adverse impacts on the development priorities of indigenous peoples as they define them?</w:t>
            </w:r>
          </w:p>
          <w:p w14:paraId="2DF3A0FE"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673EB8A"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1E8A9C6F" w14:textId="77777777" w:rsidTr="00471726">
        <w:trPr>
          <w:trHeight w:hRule="exact" w:val="345"/>
        </w:trPr>
        <w:tc>
          <w:tcPr>
            <w:tcW w:w="4485" w:type="pct"/>
            <w:tcBorders>
              <w:top w:val="single" w:sz="5" w:space="0" w:color="000000"/>
              <w:left w:val="single" w:sz="5" w:space="0" w:color="000000"/>
              <w:bottom w:val="single" w:sz="5" w:space="0" w:color="000000"/>
              <w:right w:val="single" w:sz="5" w:space="0" w:color="000000"/>
            </w:tcBorders>
          </w:tcPr>
          <w:p w14:paraId="5ED22367" w14:textId="77777777" w:rsidR="008C66C4" w:rsidRPr="00A51E75" w:rsidRDefault="008C66C4">
            <w:pPr>
              <w:spacing w:before="57"/>
              <w:ind w:left="104"/>
              <w:rPr>
                <w:rFonts w:eastAsia="Calibri" w:cstheme="minorHAnsi"/>
                <w:spacing w:val="2"/>
                <w:sz w:val="18"/>
                <w:szCs w:val="18"/>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.8       </w:t>
            </w:r>
            <w:r w:rsidRPr="00A51E75">
              <w:rPr>
                <w:rFonts w:eastAsia="Calibri" w:cstheme="minorHAnsi"/>
                <w:spacing w:val="18"/>
                <w:sz w:val="18"/>
                <w:szCs w:val="18"/>
                <w:lang w:val="en-US"/>
              </w:rPr>
              <w:t xml:space="preserve"> </w:t>
            </w:r>
            <w:r w:rsidRPr="00A51E75">
              <w:rPr>
                <w:rFonts w:eastAsia="Calibri" w:cstheme="minorHAnsi"/>
                <w:spacing w:val="2"/>
                <w:sz w:val="18"/>
                <w:szCs w:val="18"/>
                <w:lang w:val="en-US"/>
              </w:rPr>
              <w:t>Risks to the physical and cultural survival of indigenous peoples?</w:t>
            </w:r>
          </w:p>
          <w:p w14:paraId="3EA5032E" w14:textId="77777777" w:rsidR="008C66C4" w:rsidRPr="00A51E75" w:rsidRDefault="008C66C4">
            <w:pPr>
              <w:spacing w:before="57"/>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5B77D09A"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5498F4B7" w14:textId="77777777" w:rsidTr="00471726">
        <w:trPr>
          <w:trHeight w:hRule="exact" w:val="798"/>
        </w:trPr>
        <w:tc>
          <w:tcPr>
            <w:tcW w:w="4485" w:type="pct"/>
            <w:tcBorders>
              <w:top w:val="single" w:sz="5" w:space="0" w:color="000000"/>
              <w:left w:val="single" w:sz="5" w:space="0" w:color="000000"/>
              <w:bottom w:val="single" w:sz="5" w:space="0" w:color="000000"/>
              <w:right w:val="single" w:sz="5" w:space="0" w:color="000000"/>
            </w:tcBorders>
          </w:tcPr>
          <w:p w14:paraId="46A004CC" w14:textId="77777777" w:rsidR="008C66C4" w:rsidRPr="00A51E75" w:rsidRDefault="008C66C4">
            <w:pPr>
              <w:ind w:left="674" w:right="206" w:hanging="570"/>
              <w:rPr>
                <w:rFonts w:eastAsia="Calibri" w:cstheme="minorHAnsi"/>
                <w:spacing w:val="-1"/>
                <w:sz w:val="18"/>
                <w:szCs w:val="18"/>
                <w:lang w:val="en-US"/>
              </w:rPr>
            </w:pPr>
            <w:r w:rsidRPr="00A51E75">
              <w:rPr>
                <w:rFonts w:eastAsia="Calibri" w:cstheme="minorHAnsi"/>
                <w:spacing w:val="-1"/>
                <w:sz w:val="18"/>
                <w:szCs w:val="18"/>
                <w:lang w:val="en-US"/>
              </w:rPr>
              <w:t>6</w:t>
            </w:r>
            <w:r w:rsidRPr="00A51E75">
              <w:rPr>
                <w:rFonts w:eastAsia="Calibri" w:cstheme="minorHAnsi"/>
                <w:sz w:val="18"/>
                <w:szCs w:val="18"/>
                <w:lang w:val="en-US"/>
              </w:rPr>
              <w:t xml:space="preserve">.9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Impacts on the cultural heritage of Indigenous peoples, including through the commercialization or use of their traditional knowledge and practices?</w:t>
            </w:r>
          </w:p>
          <w:p w14:paraId="03E4E1FA" w14:textId="77777777" w:rsidR="008C66C4" w:rsidRPr="00A51E75" w:rsidRDefault="008C66C4">
            <w:pPr>
              <w:ind w:left="644"/>
              <w:rPr>
                <w:rFonts w:eastAsia="Calibri" w:cstheme="minorHAnsi"/>
                <w:i/>
                <w:iCs/>
                <w:spacing w:val="1"/>
                <w:sz w:val="18"/>
                <w:szCs w:val="18"/>
                <w:lang w:val="en-US"/>
              </w:rPr>
            </w:pPr>
            <w:r w:rsidRPr="00A51E75">
              <w:rPr>
                <w:rFonts w:eastAsia="Calibri" w:cstheme="minorHAnsi"/>
                <w:i/>
                <w:iCs/>
                <w:spacing w:val="-1"/>
                <w:sz w:val="18"/>
                <w:szCs w:val="18"/>
                <w:lang w:val="en-US"/>
              </w:rPr>
              <w:t>Consider and, where appropriate, ensure consistency with the responses to Standard 4 above.</w:t>
            </w:r>
          </w:p>
        </w:tc>
        <w:tc>
          <w:tcPr>
            <w:tcW w:w="515" w:type="pct"/>
            <w:tcBorders>
              <w:top w:val="single" w:sz="5" w:space="0" w:color="000000"/>
              <w:left w:val="single" w:sz="5" w:space="0" w:color="000000"/>
              <w:bottom w:val="single" w:sz="5" w:space="0" w:color="000000"/>
              <w:right w:val="single" w:sz="5" w:space="0" w:color="000000"/>
            </w:tcBorders>
          </w:tcPr>
          <w:p w14:paraId="7EBDDB74"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63505D" w14:paraId="7B919B25" w14:textId="77777777" w:rsidTr="00471726">
        <w:trPr>
          <w:trHeight w:hRule="exact" w:val="585"/>
        </w:trPr>
        <w:tc>
          <w:tcPr>
            <w:tcW w:w="4485" w:type="pct"/>
            <w:tcBorders>
              <w:top w:val="single" w:sz="5" w:space="0" w:color="000000"/>
              <w:left w:val="single" w:sz="5" w:space="0" w:color="000000"/>
              <w:bottom w:val="single" w:sz="5" w:space="0" w:color="000000"/>
              <w:right w:val="single" w:sz="5" w:space="0" w:color="000000"/>
            </w:tcBorders>
            <w:shd w:val="clear" w:color="auto" w:fill="D9E0F3"/>
          </w:tcPr>
          <w:p w14:paraId="0AF0E8D3" w14:textId="77777777" w:rsidR="008C66C4" w:rsidRPr="00A51E75" w:rsidRDefault="008C66C4">
            <w:pPr>
              <w:rPr>
                <w:rFonts w:cstheme="minorHAnsi"/>
                <w:sz w:val="17"/>
                <w:szCs w:val="17"/>
                <w:lang w:val="en-US"/>
              </w:rPr>
            </w:pPr>
          </w:p>
          <w:p w14:paraId="5720A00C" w14:textId="77777777" w:rsidR="008C66C4" w:rsidRPr="00A51E75" w:rsidRDefault="008C66C4">
            <w:pPr>
              <w:ind w:left="104"/>
              <w:rPr>
                <w:rFonts w:eastAsia="Calibri" w:cstheme="minorHAnsi"/>
                <w:sz w:val="18"/>
                <w:szCs w:val="18"/>
                <w:lang w:val="en-US"/>
              </w:rPr>
            </w:pPr>
            <w:r w:rsidRPr="00A51E75">
              <w:rPr>
                <w:rFonts w:eastAsia="Calibri" w:cstheme="minorHAnsi"/>
                <w:b/>
                <w:sz w:val="18"/>
                <w:szCs w:val="18"/>
                <w:lang w:val="en-US"/>
              </w:rPr>
              <w:t>Standard 7: Work and working conditions</w:t>
            </w:r>
          </w:p>
        </w:tc>
        <w:tc>
          <w:tcPr>
            <w:tcW w:w="515" w:type="pct"/>
            <w:tcBorders>
              <w:top w:val="single" w:sz="5" w:space="0" w:color="000000"/>
              <w:left w:val="single" w:sz="5" w:space="0" w:color="000000"/>
              <w:bottom w:val="single" w:sz="5" w:space="0" w:color="000000"/>
              <w:right w:val="single" w:sz="5" w:space="0" w:color="000000"/>
            </w:tcBorders>
            <w:shd w:val="clear" w:color="auto" w:fill="D9E0F3"/>
          </w:tcPr>
          <w:p w14:paraId="19A8CB72" w14:textId="77777777" w:rsidR="008C66C4" w:rsidRPr="00A51E75" w:rsidRDefault="008C66C4">
            <w:pPr>
              <w:rPr>
                <w:rFonts w:cstheme="minorHAnsi"/>
                <w:sz w:val="18"/>
                <w:szCs w:val="18"/>
                <w:lang w:val="en-US"/>
              </w:rPr>
            </w:pPr>
          </w:p>
        </w:tc>
      </w:tr>
      <w:tr w:rsidR="008C66C4" w:rsidRPr="0063505D" w14:paraId="72BA6708"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1BF9C644" w14:textId="77777777" w:rsidR="008C66C4" w:rsidRPr="00A51E75" w:rsidRDefault="008C66C4">
            <w:pPr>
              <w:ind w:left="104"/>
              <w:rPr>
                <w:rFonts w:eastAsia="Calibri" w:cstheme="minorHAnsi"/>
                <w:sz w:val="18"/>
                <w:szCs w:val="18"/>
                <w:lang w:val="en-US"/>
              </w:rPr>
            </w:pPr>
            <w:r w:rsidRPr="00A51E75">
              <w:rPr>
                <w:rFonts w:eastAsia="Calibri" w:cstheme="minorHAnsi"/>
                <w:i/>
                <w:sz w:val="18"/>
                <w:szCs w:val="18"/>
                <w:lang w:val="en-US"/>
              </w:rPr>
              <w:t>The project could potentially involve or lead to: (</w:t>
            </w:r>
            <w:proofErr w:type="gramStart"/>
            <w:r w:rsidRPr="00A51E75">
              <w:rPr>
                <w:rFonts w:eastAsia="Calibri" w:cstheme="minorHAnsi"/>
                <w:i/>
                <w:sz w:val="18"/>
                <w:szCs w:val="18"/>
                <w:lang w:val="en-US"/>
              </w:rPr>
              <w:t>Note:</w:t>
            </w:r>
            <w:proofErr w:type="gramEnd"/>
            <w:r w:rsidRPr="00A51E75">
              <w:rPr>
                <w:rFonts w:eastAsia="Calibri" w:cstheme="minorHAnsi"/>
                <w:i/>
                <w:sz w:val="18"/>
                <w:szCs w:val="18"/>
                <w:lang w:val="en-US"/>
              </w:rPr>
              <w:t xml:space="preserve"> applies to project workers and contractors)</w:t>
            </w:r>
          </w:p>
        </w:tc>
        <w:tc>
          <w:tcPr>
            <w:tcW w:w="515" w:type="pct"/>
            <w:tcBorders>
              <w:top w:val="single" w:sz="5" w:space="0" w:color="000000"/>
              <w:left w:val="single" w:sz="5" w:space="0" w:color="000000"/>
              <w:bottom w:val="single" w:sz="5" w:space="0" w:color="000000"/>
              <w:right w:val="single" w:sz="5" w:space="0" w:color="000000"/>
            </w:tcBorders>
          </w:tcPr>
          <w:p w14:paraId="5837E0DD" w14:textId="77777777" w:rsidR="008C66C4" w:rsidRPr="00A51E75" w:rsidRDefault="008C66C4">
            <w:pPr>
              <w:rPr>
                <w:rFonts w:cstheme="minorHAnsi"/>
                <w:sz w:val="18"/>
                <w:szCs w:val="18"/>
                <w:lang w:val="en-US"/>
              </w:rPr>
            </w:pPr>
          </w:p>
        </w:tc>
      </w:tr>
      <w:tr w:rsidR="008C66C4" w:rsidRPr="00A51E75" w14:paraId="6D3BD503"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740F9B8F" w14:textId="77777777" w:rsidR="008C66C4" w:rsidRPr="00A51E75" w:rsidRDefault="008C66C4">
            <w:pPr>
              <w:ind w:left="104"/>
              <w:rPr>
                <w:rFonts w:eastAsia="Calibri" w:cstheme="minorHAnsi"/>
                <w:spacing w:val="1"/>
                <w:sz w:val="18"/>
                <w:szCs w:val="18"/>
                <w:lang w:val="en-US"/>
              </w:rPr>
            </w:pPr>
            <w:r w:rsidRPr="00A51E75">
              <w:rPr>
                <w:rFonts w:eastAsia="Calibri" w:cstheme="minorHAnsi"/>
                <w:spacing w:val="-1"/>
                <w:sz w:val="18"/>
                <w:szCs w:val="18"/>
                <w:lang w:val="en-US"/>
              </w:rPr>
              <w:t>7</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Working conditions that do not comply with national labor laws and international commitments?</w:t>
            </w:r>
          </w:p>
          <w:p w14:paraId="15CFAE52"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5B5F2C85"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74AF3F44"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2B67C71B" w14:textId="77777777" w:rsidR="008C66C4" w:rsidRPr="00A51E75" w:rsidRDefault="008C66C4">
            <w:pPr>
              <w:ind w:left="104"/>
              <w:rPr>
                <w:rFonts w:eastAsia="Calibri" w:cstheme="minorHAnsi"/>
                <w:spacing w:val="1"/>
                <w:sz w:val="18"/>
                <w:szCs w:val="18"/>
                <w:lang w:val="en-US"/>
              </w:rPr>
            </w:pPr>
            <w:r w:rsidRPr="00A51E75">
              <w:rPr>
                <w:rFonts w:eastAsia="Calibri" w:cstheme="minorHAnsi"/>
                <w:spacing w:val="-1"/>
                <w:sz w:val="18"/>
                <w:szCs w:val="18"/>
                <w:lang w:val="en-US"/>
              </w:rPr>
              <w:t>7</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Working conditions that could deny freedom of association and collective bargaining?</w:t>
            </w:r>
          </w:p>
          <w:p w14:paraId="474E29C1"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1CA4ADE1"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7CC5B13F" w14:textId="77777777" w:rsidTr="00471726">
        <w:trPr>
          <w:trHeight w:hRule="exact" w:val="351"/>
        </w:trPr>
        <w:tc>
          <w:tcPr>
            <w:tcW w:w="4485" w:type="pct"/>
            <w:tcBorders>
              <w:top w:val="single" w:sz="5" w:space="0" w:color="000000"/>
              <w:left w:val="single" w:sz="5" w:space="0" w:color="000000"/>
              <w:bottom w:val="single" w:sz="5" w:space="0" w:color="000000"/>
              <w:right w:val="single" w:sz="5" w:space="0" w:color="000000"/>
            </w:tcBorders>
          </w:tcPr>
          <w:p w14:paraId="021B0C31"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7</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w:t>
            </w:r>
            <w:r w:rsidRPr="00A51E75">
              <w:rPr>
                <w:rFonts w:eastAsia="Calibri" w:cstheme="minorHAnsi"/>
                <w:sz w:val="18"/>
                <w:szCs w:val="18"/>
                <w:lang w:val="en-US"/>
              </w:rPr>
              <w:t>Use of child labor?</w:t>
            </w:r>
          </w:p>
          <w:p w14:paraId="62AF6A46"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E8CDB4A"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2B278488"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472DB865"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7</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z w:val="18"/>
                <w:szCs w:val="18"/>
                <w:lang w:val="en-US"/>
              </w:rPr>
              <w:t>Use of forced labor?</w:t>
            </w:r>
          </w:p>
          <w:p w14:paraId="4007D3EE"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075A381E"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3B474871"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261420A3" w14:textId="77777777" w:rsidR="008C66C4" w:rsidRPr="00A51E75" w:rsidRDefault="008C66C4">
            <w:pPr>
              <w:ind w:left="104"/>
              <w:rPr>
                <w:rFonts w:eastAsia="Calibri" w:cstheme="minorHAnsi"/>
                <w:sz w:val="18"/>
                <w:szCs w:val="18"/>
                <w:lang w:val="en-US"/>
              </w:rPr>
            </w:pPr>
            <w:r w:rsidRPr="00A51E75">
              <w:rPr>
                <w:rFonts w:eastAsia="Calibri" w:cstheme="minorHAnsi"/>
                <w:spacing w:val="-1"/>
                <w:sz w:val="18"/>
                <w:szCs w:val="18"/>
                <w:lang w:val="en-US"/>
              </w:rPr>
              <w:t>7</w:t>
            </w:r>
            <w:r w:rsidRPr="00A51E75">
              <w:rPr>
                <w:rFonts w:eastAsia="Calibri" w:cstheme="minorHAnsi"/>
                <w:sz w:val="18"/>
                <w:szCs w:val="18"/>
                <w:lang w:val="en-US"/>
              </w:rPr>
              <w:t xml:space="preserve">.5       </w:t>
            </w:r>
            <w:r w:rsidRPr="00A51E75">
              <w:rPr>
                <w:rFonts w:eastAsia="Calibri" w:cstheme="minorHAnsi"/>
                <w:spacing w:val="18"/>
                <w:sz w:val="18"/>
                <w:szCs w:val="18"/>
                <w:lang w:val="en-US"/>
              </w:rPr>
              <w:t xml:space="preserve"> </w:t>
            </w:r>
            <w:r w:rsidRPr="00A51E75">
              <w:rPr>
                <w:rFonts w:eastAsia="Calibri" w:cstheme="minorHAnsi"/>
                <w:sz w:val="18"/>
                <w:szCs w:val="18"/>
                <w:lang w:val="en-US"/>
              </w:rPr>
              <w:t>Discriminatory working conditions and/or lack of equal opportunities?</w:t>
            </w:r>
          </w:p>
          <w:p w14:paraId="6D34CEC6" w14:textId="77777777" w:rsidR="008C66C4" w:rsidRPr="00A51E75" w:rsidRDefault="008C66C4">
            <w:pPr>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1DED7FA9"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4AFD754E" w14:textId="77777777" w:rsidTr="00471726">
        <w:trPr>
          <w:trHeight w:hRule="exact" w:val="565"/>
        </w:trPr>
        <w:tc>
          <w:tcPr>
            <w:tcW w:w="4485" w:type="pct"/>
            <w:tcBorders>
              <w:top w:val="single" w:sz="5" w:space="0" w:color="000000"/>
              <w:left w:val="single" w:sz="5" w:space="0" w:color="000000"/>
              <w:bottom w:val="single" w:sz="5" w:space="0" w:color="000000"/>
              <w:right w:val="single" w:sz="5" w:space="0" w:color="000000"/>
            </w:tcBorders>
          </w:tcPr>
          <w:p w14:paraId="38B2ECEB" w14:textId="77777777" w:rsidR="008C66C4" w:rsidRPr="00A51E75" w:rsidRDefault="008C66C4">
            <w:pPr>
              <w:ind w:left="567" w:hanging="425"/>
              <w:rPr>
                <w:rFonts w:eastAsia="Calibri" w:cstheme="minorHAnsi"/>
                <w:sz w:val="18"/>
                <w:szCs w:val="18"/>
                <w:lang w:val="en-US"/>
              </w:rPr>
            </w:pPr>
            <w:r w:rsidRPr="00A51E75">
              <w:rPr>
                <w:rFonts w:eastAsia="Calibri" w:cstheme="minorHAnsi"/>
                <w:spacing w:val="-1"/>
                <w:sz w:val="18"/>
                <w:szCs w:val="18"/>
                <w:lang w:val="en-US"/>
              </w:rPr>
              <w:t>7</w:t>
            </w:r>
            <w:r w:rsidRPr="00A51E75">
              <w:rPr>
                <w:rFonts w:eastAsia="Calibri" w:cstheme="minorHAnsi"/>
                <w:sz w:val="18"/>
                <w:szCs w:val="18"/>
                <w:lang w:val="en-US"/>
              </w:rPr>
              <w:t xml:space="preserve">.6       </w:t>
            </w:r>
            <w:r w:rsidRPr="00A51E75">
              <w:rPr>
                <w:rFonts w:eastAsia="Calibri" w:cstheme="minorHAnsi"/>
                <w:spacing w:val="18"/>
                <w:sz w:val="18"/>
                <w:szCs w:val="18"/>
                <w:lang w:val="en-US"/>
              </w:rPr>
              <w:t xml:space="preserve"> </w:t>
            </w:r>
            <w:r w:rsidRPr="00A51E75">
              <w:rPr>
                <w:rFonts w:eastAsia="Calibri" w:cstheme="minorHAnsi"/>
                <w:sz w:val="18"/>
                <w:szCs w:val="18"/>
                <w:lang w:val="en-US"/>
              </w:rPr>
              <w:t>Occupational health and safety risks due to physical, chemical, biological, and psychosocial hazards (including violence and harassment) throughout the project lifecycle?</w:t>
            </w:r>
          </w:p>
          <w:p w14:paraId="4337D35B" w14:textId="77777777" w:rsidR="008C66C4" w:rsidRPr="00A51E75" w:rsidRDefault="008C66C4">
            <w:pPr>
              <w:ind w:left="67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4FB417AF"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63505D" w14:paraId="742E0666" w14:textId="77777777" w:rsidTr="00471726">
        <w:trPr>
          <w:trHeight w:hRule="exact" w:val="610"/>
        </w:trPr>
        <w:tc>
          <w:tcPr>
            <w:tcW w:w="4485" w:type="pct"/>
            <w:tcBorders>
              <w:top w:val="single" w:sz="5" w:space="0" w:color="000000"/>
              <w:left w:val="single" w:sz="5" w:space="0" w:color="000000"/>
              <w:bottom w:val="single" w:sz="5" w:space="0" w:color="000000"/>
              <w:right w:val="single" w:sz="5" w:space="0" w:color="000000"/>
            </w:tcBorders>
            <w:shd w:val="clear" w:color="auto" w:fill="DBE3EF"/>
          </w:tcPr>
          <w:p w14:paraId="788A1E47" w14:textId="77777777" w:rsidR="008C66C4" w:rsidRPr="00A51E75" w:rsidRDefault="008C66C4">
            <w:pPr>
              <w:rPr>
                <w:rFonts w:eastAsia="Calibri" w:cstheme="minorHAnsi"/>
                <w:sz w:val="18"/>
                <w:szCs w:val="18"/>
                <w:lang w:val="en-US"/>
              </w:rPr>
            </w:pPr>
            <w:r w:rsidRPr="00A51E75">
              <w:rPr>
                <w:rFonts w:eastAsia="Calibri" w:cstheme="minorHAnsi"/>
                <w:b/>
                <w:sz w:val="18"/>
                <w:szCs w:val="18"/>
                <w:lang w:val="en-US"/>
              </w:rPr>
              <w:t>Standard 8: Pollution prevention and efficient use of resources</w:t>
            </w:r>
          </w:p>
        </w:tc>
        <w:tc>
          <w:tcPr>
            <w:tcW w:w="515" w:type="pct"/>
            <w:tcBorders>
              <w:top w:val="single" w:sz="5" w:space="0" w:color="000000"/>
              <w:left w:val="single" w:sz="5" w:space="0" w:color="000000"/>
              <w:bottom w:val="single" w:sz="5" w:space="0" w:color="000000"/>
              <w:right w:val="single" w:sz="5" w:space="0" w:color="000000"/>
            </w:tcBorders>
            <w:shd w:val="clear" w:color="auto" w:fill="DBE3EF"/>
          </w:tcPr>
          <w:p w14:paraId="65B88E0A" w14:textId="77777777" w:rsidR="008C66C4" w:rsidRPr="00A51E75" w:rsidRDefault="008C66C4">
            <w:pPr>
              <w:rPr>
                <w:rFonts w:cstheme="minorHAnsi"/>
                <w:sz w:val="18"/>
                <w:szCs w:val="18"/>
                <w:lang w:val="en-US"/>
              </w:rPr>
            </w:pPr>
          </w:p>
        </w:tc>
      </w:tr>
      <w:tr w:rsidR="008C66C4" w:rsidRPr="0063505D" w14:paraId="7C1C4F02"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24B85F0F" w14:textId="77777777" w:rsidR="008C66C4" w:rsidRPr="00A51E75" w:rsidRDefault="008C66C4">
            <w:pPr>
              <w:spacing w:before="57"/>
              <w:ind w:left="104"/>
              <w:rPr>
                <w:rFonts w:eastAsia="Calibri" w:cstheme="minorHAnsi"/>
                <w:sz w:val="18"/>
                <w:szCs w:val="18"/>
                <w:lang w:val="en-US"/>
              </w:rPr>
            </w:pPr>
            <w:r w:rsidRPr="00A51E75">
              <w:rPr>
                <w:rFonts w:eastAsia="Calibri" w:cstheme="minorHAnsi"/>
                <w:i/>
                <w:sz w:val="18"/>
                <w:szCs w:val="18"/>
                <w:lang w:val="en-US"/>
              </w:rPr>
              <w:t>The project could potentially involve or lead to:</w:t>
            </w:r>
          </w:p>
        </w:tc>
        <w:tc>
          <w:tcPr>
            <w:tcW w:w="515" w:type="pct"/>
            <w:tcBorders>
              <w:top w:val="single" w:sz="5" w:space="0" w:color="000000"/>
              <w:left w:val="single" w:sz="5" w:space="0" w:color="000000"/>
              <w:bottom w:val="single" w:sz="5" w:space="0" w:color="000000"/>
              <w:right w:val="single" w:sz="5" w:space="0" w:color="000000"/>
            </w:tcBorders>
          </w:tcPr>
          <w:p w14:paraId="50237A6C" w14:textId="77777777" w:rsidR="008C66C4" w:rsidRPr="00A51E75" w:rsidRDefault="008C66C4">
            <w:pPr>
              <w:rPr>
                <w:rFonts w:cstheme="minorHAnsi"/>
                <w:sz w:val="18"/>
                <w:szCs w:val="18"/>
                <w:lang w:val="en-US"/>
              </w:rPr>
            </w:pPr>
          </w:p>
        </w:tc>
      </w:tr>
      <w:tr w:rsidR="008C66C4" w:rsidRPr="00A51E75" w14:paraId="531E45B1" w14:textId="77777777" w:rsidTr="00471726">
        <w:trPr>
          <w:trHeight w:hRule="exact" w:val="570"/>
        </w:trPr>
        <w:tc>
          <w:tcPr>
            <w:tcW w:w="4485" w:type="pct"/>
            <w:tcBorders>
              <w:top w:val="single" w:sz="5" w:space="0" w:color="000000"/>
              <w:left w:val="single" w:sz="5" w:space="0" w:color="000000"/>
              <w:bottom w:val="single" w:sz="5" w:space="0" w:color="000000"/>
              <w:right w:val="single" w:sz="5" w:space="0" w:color="000000"/>
            </w:tcBorders>
          </w:tcPr>
          <w:p w14:paraId="650FEE65" w14:textId="77777777" w:rsidR="008C66C4" w:rsidRPr="00A51E75" w:rsidRDefault="008C66C4">
            <w:pPr>
              <w:spacing w:before="57"/>
              <w:ind w:left="674" w:right="724" w:hanging="570"/>
              <w:rPr>
                <w:rFonts w:eastAsia="Calibri" w:cstheme="minorHAnsi"/>
                <w:sz w:val="18"/>
                <w:szCs w:val="18"/>
                <w:lang w:val="en-US"/>
              </w:rPr>
            </w:pPr>
            <w:r w:rsidRPr="00A51E75">
              <w:rPr>
                <w:rFonts w:eastAsia="Calibri" w:cstheme="minorHAnsi"/>
                <w:spacing w:val="-1"/>
                <w:sz w:val="18"/>
                <w:szCs w:val="18"/>
                <w:lang w:val="en-US"/>
              </w:rPr>
              <w:t>8</w:t>
            </w:r>
            <w:r w:rsidRPr="00A51E75">
              <w:rPr>
                <w:rFonts w:eastAsia="Calibri" w:cstheme="minorHAnsi"/>
                <w:sz w:val="18"/>
                <w:szCs w:val="18"/>
                <w:lang w:val="en-US"/>
              </w:rPr>
              <w:t xml:space="preserve">.1       </w:t>
            </w:r>
            <w:r w:rsidRPr="00A51E75">
              <w:rPr>
                <w:rFonts w:eastAsia="Calibri" w:cstheme="minorHAnsi"/>
                <w:spacing w:val="18"/>
                <w:sz w:val="18"/>
                <w:szCs w:val="18"/>
                <w:lang w:val="en-US"/>
              </w:rPr>
              <w:t xml:space="preserve"> </w:t>
            </w:r>
            <w:r w:rsidRPr="00A51E75">
              <w:rPr>
                <w:rFonts w:eastAsia="Calibri" w:cstheme="minorHAnsi"/>
                <w:sz w:val="18"/>
                <w:szCs w:val="18"/>
                <w:lang w:val="en-US"/>
              </w:rPr>
              <w:t>The release of pollutants into the environment due to routine or non-routine circumstances with the potential to generate adverse impacts at the local, regional and/or transboundary levels?</w:t>
            </w:r>
          </w:p>
          <w:p w14:paraId="2F397D79" w14:textId="77777777" w:rsidR="008C66C4" w:rsidRPr="00A51E75" w:rsidRDefault="008C66C4">
            <w:pPr>
              <w:spacing w:before="57"/>
              <w:ind w:left="674" w:right="724" w:hanging="570"/>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4B8F4A32"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07FB4E15"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4B6475DC" w14:textId="77777777" w:rsidR="008C66C4" w:rsidRPr="00A51E75" w:rsidRDefault="008C66C4">
            <w:pPr>
              <w:spacing w:before="57"/>
              <w:ind w:left="104"/>
              <w:rPr>
                <w:rFonts w:eastAsia="Calibri" w:cstheme="minorHAnsi"/>
                <w:sz w:val="18"/>
                <w:szCs w:val="18"/>
                <w:lang w:val="en-US"/>
              </w:rPr>
            </w:pPr>
            <w:r w:rsidRPr="00A51E75">
              <w:rPr>
                <w:rFonts w:eastAsia="Calibri" w:cstheme="minorHAnsi"/>
                <w:spacing w:val="-1"/>
                <w:sz w:val="18"/>
                <w:szCs w:val="18"/>
                <w:lang w:val="en-US"/>
              </w:rPr>
              <w:t>8</w:t>
            </w:r>
            <w:r w:rsidRPr="00A51E75">
              <w:rPr>
                <w:rFonts w:eastAsia="Calibri" w:cstheme="minorHAnsi"/>
                <w:sz w:val="18"/>
                <w:szCs w:val="18"/>
                <w:lang w:val="en-US"/>
              </w:rPr>
              <w:t xml:space="preserve">.2       </w:t>
            </w:r>
            <w:r w:rsidRPr="00A51E75">
              <w:rPr>
                <w:rFonts w:eastAsia="Calibri" w:cstheme="minorHAnsi"/>
                <w:spacing w:val="18"/>
                <w:sz w:val="18"/>
                <w:szCs w:val="18"/>
                <w:lang w:val="en-US"/>
              </w:rPr>
              <w:t xml:space="preserve"> </w:t>
            </w:r>
            <w:r w:rsidRPr="00A51E75">
              <w:rPr>
                <w:rFonts w:eastAsia="Calibri" w:cstheme="minorHAnsi"/>
                <w:sz w:val="18"/>
                <w:szCs w:val="18"/>
                <w:lang w:val="en-US"/>
              </w:rPr>
              <w:t>The generation of waste (both hazardous and non-hazardous)?</w:t>
            </w:r>
          </w:p>
          <w:p w14:paraId="680A5B9A" w14:textId="77777777" w:rsidR="008C66C4" w:rsidRPr="00A51E75" w:rsidRDefault="008C66C4">
            <w:pPr>
              <w:spacing w:before="57"/>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70690540" w14:textId="77777777" w:rsidR="008C66C4" w:rsidRPr="00A51E75" w:rsidRDefault="008C66C4">
            <w:pPr>
              <w:rPr>
                <w:rFonts w:cstheme="minorHAnsi"/>
                <w:sz w:val="18"/>
                <w:szCs w:val="18"/>
                <w:lang w:val="en-US"/>
              </w:rPr>
            </w:pPr>
            <w:r w:rsidRPr="00A51E75">
              <w:rPr>
                <w:rFonts w:cstheme="minorHAnsi"/>
                <w:sz w:val="18"/>
                <w:szCs w:val="18"/>
                <w:lang w:val="en-US"/>
              </w:rPr>
              <w:t>Yes</w:t>
            </w:r>
          </w:p>
        </w:tc>
      </w:tr>
      <w:tr w:rsidR="008C66C4" w:rsidRPr="00A51E75" w14:paraId="5A3F6FB7" w14:textId="77777777" w:rsidTr="00471726">
        <w:trPr>
          <w:trHeight w:hRule="exact" w:val="410"/>
        </w:trPr>
        <w:tc>
          <w:tcPr>
            <w:tcW w:w="4485" w:type="pct"/>
            <w:tcBorders>
              <w:top w:val="single" w:sz="5" w:space="0" w:color="000000"/>
              <w:left w:val="single" w:sz="5" w:space="0" w:color="000000"/>
              <w:bottom w:val="single" w:sz="5" w:space="0" w:color="000000"/>
              <w:right w:val="single" w:sz="5" w:space="0" w:color="000000"/>
            </w:tcBorders>
          </w:tcPr>
          <w:p w14:paraId="4EEF2969" w14:textId="77777777" w:rsidR="008C66C4" w:rsidRPr="00A51E75" w:rsidRDefault="008C66C4">
            <w:pPr>
              <w:spacing w:before="57"/>
              <w:ind w:left="104"/>
              <w:rPr>
                <w:rFonts w:eastAsia="Calibri" w:cstheme="minorHAnsi"/>
                <w:sz w:val="18"/>
                <w:szCs w:val="18"/>
                <w:lang w:val="en-US"/>
              </w:rPr>
            </w:pPr>
            <w:r w:rsidRPr="00A51E75">
              <w:rPr>
                <w:rFonts w:eastAsia="Calibri" w:cstheme="minorHAnsi"/>
                <w:spacing w:val="-1"/>
                <w:sz w:val="18"/>
                <w:szCs w:val="18"/>
                <w:lang w:val="en-US"/>
              </w:rPr>
              <w:t>8</w:t>
            </w:r>
            <w:r w:rsidRPr="00A51E75">
              <w:rPr>
                <w:rFonts w:eastAsia="Calibri" w:cstheme="minorHAnsi"/>
                <w:sz w:val="18"/>
                <w:szCs w:val="18"/>
                <w:lang w:val="en-US"/>
              </w:rPr>
              <w:t xml:space="preserve">.3       </w:t>
            </w:r>
            <w:r w:rsidRPr="00A51E75">
              <w:rPr>
                <w:rFonts w:eastAsia="Calibri" w:cstheme="minorHAnsi"/>
                <w:spacing w:val="18"/>
                <w:sz w:val="18"/>
                <w:szCs w:val="18"/>
                <w:lang w:val="en-US"/>
              </w:rPr>
              <w:t xml:space="preserve"> The manufacture, trade, release and/or use of hazardous materials and/or chemicals?</w:t>
            </w:r>
          </w:p>
          <w:p w14:paraId="48147A4F" w14:textId="77777777" w:rsidR="008C66C4" w:rsidRPr="00A51E75" w:rsidRDefault="008C66C4">
            <w:pPr>
              <w:spacing w:before="57"/>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54A50862"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3AF1098A" w14:textId="77777777" w:rsidTr="00471726">
        <w:trPr>
          <w:trHeight w:hRule="exact" w:val="1037"/>
        </w:trPr>
        <w:tc>
          <w:tcPr>
            <w:tcW w:w="4485" w:type="pct"/>
            <w:tcBorders>
              <w:top w:val="single" w:sz="5" w:space="0" w:color="000000"/>
              <w:left w:val="single" w:sz="5" w:space="0" w:color="000000"/>
              <w:bottom w:val="single" w:sz="5" w:space="0" w:color="000000"/>
              <w:right w:val="single" w:sz="5" w:space="0" w:color="000000"/>
            </w:tcBorders>
          </w:tcPr>
          <w:p w14:paraId="4EADB0B2" w14:textId="77777777" w:rsidR="008C66C4" w:rsidRPr="00A51E75" w:rsidRDefault="008C66C4">
            <w:pPr>
              <w:spacing w:before="63"/>
              <w:ind w:left="104"/>
              <w:rPr>
                <w:rFonts w:eastAsia="Calibri" w:cstheme="minorHAnsi"/>
                <w:sz w:val="18"/>
                <w:szCs w:val="18"/>
                <w:lang w:val="en-US"/>
              </w:rPr>
            </w:pPr>
            <w:r w:rsidRPr="00A51E75">
              <w:rPr>
                <w:rFonts w:eastAsia="Calibri" w:cstheme="minorHAnsi"/>
                <w:spacing w:val="-1"/>
                <w:sz w:val="18"/>
                <w:szCs w:val="18"/>
                <w:lang w:val="en-US"/>
              </w:rPr>
              <w:lastRenderedPageBreak/>
              <w:t>8</w:t>
            </w:r>
            <w:r w:rsidRPr="00A51E75">
              <w:rPr>
                <w:rFonts w:eastAsia="Calibri" w:cstheme="minorHAnsi"/>
                <w:sz w:val="18"/>
                <w:szCs w:val="18"/>
                <w:lang w:val="en-US"/>
              </w:rPr>
              <w:t xml:space="preserve">.4       </w:t>
            </w:r>
            <w:r w:rsidRPr="00A51E75">
              <w:rPr>
                <w:rFonts w:eastAsia="Calibri" w:cstheme="minorHAnsi"/>
                <w:spacing w:val="18"/>
                <w:sz w:val="18"/>
                <w:szCs w:val="18"/>
                <w:lang w:val="en-US"/>
              </w:rPr>
              <w:t xml:space="preserve"> </w:t>
            </w:r>
            <w:r w:rsidRPr="00A51E75">
              <w:rPr>
                <w:rFonts w:eastAsia="Calibri" w:cstheme="minorHAnsi"/>
                <w:sz w:val="18"/>
                <w:szCs w:val="18"/>
                <w:lang w:val="en-US"/>
              </w:rPr>
              <w:t>The use of chemicals or materials subject to international bans or phase-outs?</w:t>
            </w:r>
          </w:p>
          <w:p w14:paraId="7860881C" w14:textId="5A2B5F81" w:rsidR="008C66C4" w:rsidRPr="00A51E75" w:rsidRDefault="008C66C4">
            <w:pPr>
              <w:ind w:left="674"/>
              <w:rPr>
                <w:rFonts w:eastAsia="Calibri" w:cstheme="minorHAnsi"/>
                <w:sz w:val="18"/>
                <w:szCs w:val="18"/>
                <w:lang w:val="en-US"/>
              </w:rPr>
            </w:pPr>
            <w:r w:rsidRPr="00A51E75">
              <w:rPr>
                <w:rFonts w:eastAsia="Calibri" w:cstheme="minorHAnsi"/>
                <w:sz w:val="18"/>
                <w:szCs w:val="18"/>
                <w:lang w:val="en-US"/>
              </w:rPr>
              <w:t xml:space="preserve">For example, DDT, PCBs, and other chemicals included in international conventions such as the Montreal Convention </w:t>
            </w:r>
            <w:hyperlink r:id="rId34" w:history="1">
              <w:r w:rsidR="00436D75" w:rsidRPr="008A1C4E">
                <w:rPr>
                  <w:rStyle w:val="Hipervnculo"/>
                  <w:sz w:val="20"/>
                  <w:szCs w:val="20"/>
                  <w:lang w:val="en-US"/>
                </w:rPr>
                <w:t>https://ozone.unep.org/treaties/montreal-protocol?q=treaties&amp;q=treaties/montreal-protocol</w:t>
              </w:r>
            </w:hyperlink>
            <w:r w:rsidR="00436D75" w:rsidRPr="008A1C4E">
              <w:rPr>
                <w:sz w:val="20"/>
                <w:szCs w:val="20"/>
                <w:lang w:val="en-US"/>
              </w:rPr>
              <w:t xml:space="preserve">   </w:t>
            </w:r>
            <w:hyperlink r:id="rId35">
              <w:r w:rsidRPr="008A1C4E">
                <w:rPr>
                  <w:rFonts w:eastAsia="Calibri" w:cstheme="minorHAnsi"/>
                  <w:i/>
                  <w:spacing w:val="1"/>
                  <w:sz w:val="20"/>
                  <w:szCs w:val="20"/>
                  <w:u w:val="single" w:color="0000FF"/>
                  <w:lang w:val="en-US"/>
                </w:rPr>
                <w:t>M</w:t>
              </w:r>
              <w:r w:rsidRPr="008A1C4E">
                <w:rPr>
                  <w:rFonts w:eastAsia="Calibri" w:cstheme="minorHAnsi"/>
                  <w:i/>
                  <w:spacing w:val="-1"/>
                  <w:sz w:val="20"/>
                  <w:szCs w:val="20"/>
                  <w:u w:val="single" w:color="0000FF"/>
                  <w:lang w:val="en-US"/>
                </w:rPr>
                <w:t>i</w:t>
              </w:r>
              <w:r w:rsidRPr="008A1C4E">
                <w:rPr>
                  <w:rFonts w:eastAsia="Calibri" w:cstheme="minorHAnsi"/>
                  <w:i/>
                  <w:spacing w:val="2"/>
                  <w:sz w:val="20"/>
                  <w:szCs w:val="20"/>
                  <w:u w:val="single" w:color="0000FF"/>
                  <w:lang w:val="en-US"/>
                </w:rPr>
                <w:t>n</w:t>
              </w:r>
              <w:r w:rsidRPr="008A1C4E">
                <w:rPr>
                  <w:rFonts w:eastAsia="Calibri" w:cstheme="minorHAnsi"/>
                  <w:i/>
                  <w:spacing w:val="-3"/>
                  <w:sz w:val="20"/>
                  <w:szCs w:val="20"/>
                  <w:u w:val="single" w:color="0000FF"/>
                  <w:lang w:val="en-US"/>
                </w:rPr>
                <w:t>a</w:t>
              </w:r>
              <w:r w:rsidRPr="008A1C4E">
                <w:rPr>
                  <w:rFonts w:eastAsia="Calibri" w:cstheme="minorHAnsi"/>
                  <w:i/>
                  <w:spacing w:val="3"/>
                  <w:sz w:val="20"/>
                  <w:szCs w:val="20"/>
                  <w:u w:val="single" w:color="0000FF"/>
                  <w:lang w:val="en-US"/>
                </w:rPr>
                <w:t>m</w:t>
              </w:r>
              <w:r w:rsidRPr="008A1C4E">
                <w:rPr>
                  <w:rFonts w:eastAsia="Calibri" w:cstheme="minorHAnsi"/>
                  <w:i/>
                  <w:spacing w:val="2"/>
                  <w:sz w:val="20"/>
                  <w:szCs w:val="20"/>
                  <w:u w:val="single" w:color="0000FF"/>
                  <w:lang w:val="en-US"/>
                </w:rPr>
                <w:t>a</w:t>
              </w:r>
              <w:r w:rsidRPr="008A1C4E">
                <w:rPr>
                  <w:rFonts w:eastAsia="Calibri" w:cstheme="minorHAnsi"/>
                  <w:i/>
                  <w:spacing w:val="-5"/>
                  <w:sz w:val="20"/>
                  <w:szCs w:val="20"/>
                  <w:u w:val="single" w:color="0000FF"/>
                  <w:lang w:val="en-US"/>
                </w:rPr>
                <w:t>t</w:t>
              </w:r>
              <w:r w:rsidRPr="008A1C4E">
                <w:rPr>
                  <w:rFonts w:eastAsia="Calibri" w:cstheme="minorHAnsi"/>
                  <w:i/>
                  <w:sz w:val="20"/>
                  <w:szCs w:val="20"/>
                  <w:u w:val="single" w:color="0000FF"/>
                  <w:lang w:val="en-US"/>
                </w:rPr>
                <w:t>a</w:t>
              </w:r>
              <w:r w:rsidRPr="008A1C4E">
                <w:rPr>
                  <w:rFonts w:eastAsia="Calibri" w:cstheme="minorHAnsi"/>
                  <w:i/>
                  <w:spacing w:val="2"/>
                  <w:sz w:val="20"/>
                  <w:szCs w:val="20"/>
                  <w:u w:val="single" w:color="0000FF"/>
                  <w:lang w:val="en-US"/>
                </w:rPr>
                <w:t xml:space="preserve"> </w:t>
              </w:r>
              <w:r w:rsidRPr="008A1C4E">
                <w:rPr>
                  <w:rFonts w:eastAsia="Calibri" w:cstheme="minorHAnsi"/>
                  <w:i/>
                  <w:spacing w:val="1"/>
                  <w:sz w:val="20"/>
                  <w:szCs w:val="20"/>
                  <w:u w:val="single" w:color="0000FF"/>
                  <w:lang w:val="en-US"/>
                </w:rPr>
                <w:t>C</w:t>
              </w:r>
              <w:r w:rsidRPr="008A1C4E">
                <w:rPr>
                  <w:rFonts w:eastAsia="Calibri" w:cstheme="minorHAnsi"/>
                  <w:i/>
                  <w:spacing w:val="-2"/>
                  <w:sz w:val="20"/>
                  <w:szCs w:val="20"/>
                  <w:u w:val="single" w:color="0000FF"/>
                  <w:lang w:val="en-US"/>
                </w:rPr>
                <w:t>o</w:t>
              </w:r>
              <w:r w:rsidRPr="008A1C4E">
                <w:rPr>
                  <w:rFonts w:eastAsia="Calibri" w:cstheme="minorHAnsi"/>
                  <w:i/>
                  <w:spacing w:val="2"/>
                  <w:sz w:val="20"/>
                  <w:szCs w:val="20"/>
                  <w:u w:val="single" w:color="0000FF"/>
                  <w:lang w:val="en-US"/>
                </w:rPr>
                <w:t>n</w:t>
              </w:r>
              <w:r w:rsidRPr="008A1C4E">
                <w:rPr>
                  <w:rFonts w:eastAsia="Calibri" w:cstheme="minorHAnsi"/>
                  <w:i/>
                  <w:sz w:val="20"/>
                  <w:szCs w:val="20"/>
                  <w:u w:val="single" w:color="0000FF"/>
                  <w:lang w:val="en-US"/>
                </w:rPr>
                <w:t>v</w:t>
              </w:r>
              <w:r w:rsidRPr="008A1C4E">
                <w:rPr>
                  <w:rFonts w:eastAsia="Calibri" w:cstheme="minorHAnsi"/>
                  <w:i/>
                  <w:spacing w:val="-1"/>
                  <w:sz w:val="20"/>
                  <w:szCs w:val="20"/>
                  <w:u w:val="single" w:color="0000FF"/>
                  <w:lang w:val="en-US"/>
                </w:rPr>
                <w:t>e</w:t>
              </w:r>
              <w:r w:rsidRPr="008A1C4E">
                <w:rPr>
                  <w:rFonts w:eastAsia="Calibri" w:cstheme="minorHAnsi"/>
                  <w:i/>
                  <w:spacing w:val="2"/>
                  <w:sz w:val="20"/>
                  <w:szCs w:val="20"/>
                  <w:u w:val="single" w:color="0000FF"/>
                  <w:lang w:val="en-US"/>
                </w:rPr>
                <w:t>n</w:t>
              </w:r>
              <w:r w:rsidRPr="008A1C4E">
                <w:rPr>
                  <w:rFonts w:eastAsia="Calibri" w:cstheme="minorHAnsi"/>
                  <w:i/>
                  <w:sz w:val="20"/>
                  <w:szCs w:val="20"/>
                  <w:u w:val="single" w:color="0000FF"/>
                  <w:lang w:val="en-US"/>
                </w:rPr>
                <w:t>t</w:t>
              </w:r>
              <w:r w:rsidRPr="008A1C4E">
                <w:rPr>
                  <w:rFonts w:eastAsia="Calibri" w:cstheme="minorHAnsi"/>
                  <w:i/>
                  <w:spacing w:val="-2"/>
                  <w:sz w:val="20"/>
                  <w:szCs w:val="20"/>
                  <w:u w:val="single" w:color="0000FF"/>
                  <w:lang w:val="en-US"/>
                </w:rPr>
                <w:t>io</w:t>
              </w:r>
              <w:r w:rsidRPr="008A1C4E">
                <w:rPr>
                  <w:rFonts w:eastAsia="Calibri" w:cstheme="minorHAnsi"/>
                  <w:i/>
                  <w:spacing w:val="4"/>
                  <w:sz w:val="20"/>
                  <w:szCs w:val="20"/>
                  <w:u w:val="single" w:color="0000FF"/>
                  <w:lang w:val="en-US"/>
                </w:rPr>
                <w:t>n</w:t>
              </w:r>
              <w:r w:rsidRPr="008A1C4E">
                <w:rPr>
                  <w:rFonts w:eastAsia="Calibri" w:cstheme="minorHAnsi"/>
                  <w:i/>
                  <w:sz w:val="20"/>
                  <w:szCs w:val="20"/>
                  <w:lang w:val="en-US"/>
                </w:rPr>
                <w:t xml:space="preserve">, </w:t>
              </w:r>
            </w:hyperlink>
            <w:hyperlink r:id="rId36">
              <w:r w:rsidRPr="008A1C4E">
                <w:rPr>
                  <w:rFonts w:eastAsia="Calibri" w:cstheme="minorHAnsi"/>
                  <w:i/>
                  <w:spacing w:val="2"/>
                  <w:sz w:val="20"/>
                  <w:szCs w:val="20"/>
                  <w:u w:val="single" w:color="0000FF"/>
                  <w:lang w:val="en-US"/>
                </w:rPr>
                <w:t>Ba</w:t>
              </w:r>
              <w:r w:rsidRPr="008A1C4E">
                <w:rPr>
                  <w:rFonts w:eastAsia="Calibri" w:cstheme="minorHAnsi"/>
                  <w:i/>
                  <w:sz w:val="20"/>
                  <w:szCs w:val="20"/>
                  <w:u w:val="single" w:color="0000FF"/>
                  <w:lang w:val="en-US"/>
                </w:rPr>
                <w:t>s</w:t>
              </w:r>
              <w:r w:rsidRPr="008A1C4E">
                <w:rPr>
                  <w:rFonts w:eastAsia="Calibri" w:cstheme="minorHAnsi"/>
                  <w:i/>
                  <w:spacing w:val="-1"/>
                  <w:sz w:val="20"/>
                  <w:szCs w:val="20"/>
                  <w:u w:val="single" w:color="0000FF"/>
                  <w:lang w:val="en-US"/>
                </w:rPr>
                <w:t>e</w:t>
              </w:r>
              <w:r w:rsidRPr="008A1C4E">
                <w:rPr>
                  <w:rFonts w:eastAsia="Calibri" w:cstheme="minorHAnsi"/>
                  <w:i/>
                  <w:sz w:val="20"/>
                  <w:szCs w:val="20"/>
                  <w:u w:val="single" w:color="0000FF"/>
                  <w:lang w:val="en-US"/>
                </w:rPr>
                <w:t>l</w:t>
              </w:r>
              <w:r w:rsidRPr="008A1C4E">
                <w:rPr>
                  <w:rFonts w:eastAsia="Calibri" w:cstheme="minorHAnsi"/>
                  <w:i/>
                  <w:spacing w:val="-2"/>
                  <w:sz w:val="20"/>
                  <w:szCs w:val="20"/>
                  <w:u w:val="single" w:color="0000FF"/>
                  <w:lang w:val="en-US"/>
                </w:rPr>
                <w:t xml:space="preserve"> </w:t>
              </w:r>
              <w:r w:rsidRPr="008A1C4E">
                <w:rPr>
                  <w:rFonts w:eastAsia="Calibri" w:cstheme="minorHAnsi"/>
                  <w:i/>
                  <w:spacing w:val="-4"/>
                  <w:sz w:val="20"/>
                  <w:szCs w:val="20"/>
                  <w:u w:val="single" w:color="0000FF"/>
                  <w:lang w:val="en-US"/>
                </w:rPr>
                <w:t>C</w:t>
              </w:r>
              <w:r w:rsidRPr="008A1C4E">
                <w:rPr>
                  <w:rFonts w:eastAsia="Calibri" w:cstheme="minorHAnsi"/>
                  <w:i/>
                  <w:spacing w:val="2"/>
                  <w:sz w:val="20"/>
                  <w:szCs w:val="20"/>
                  <w:u w:val="single" w:color="0000FF"/>
                  <w:lang w:val="en-US"/>
                </w:rPr>
                <w:t>on</w:t>
              </w:r>
              <w:r w:rsidRPr="008A1C4E">
                <w:rPr>
                  <w:rFonts w:eastAsia="Calibri" w:cstheme="minorHAnsi"/>
                  <w:i/>
                  <w:sz w:val="20"/>
                  <w:szCs w:val="20"/>
                  <w:u w:val="single" w:color="0000FF"/>
                  <w:lang w:val="en-US"/>
                </w:rPr>
                <w:t>v</w:t>
              </w:r>
              <w:r w:rsidRPr="008A1C4E">
                <w:rPr>
                  <w:rFonts w:eastAsia="Calibri" w:cstheme="minorHAnsi"/>
                  <w:i/>
                  <w:spacing w:val="-1"/>
                  <w:sz w:val="20"/>
                  <w:szCs w:val="20"/>
                  <w:u w:val="single" w:color="0000FF"/>
                  <w:lang w:val="en-US"/>
                </w:rPr>
                <w:t>e</w:t>
              </w:r>
              <w:r w:rsidRPr="008A1C4E">
                <w:rPr>
                  <w:rFonts w:eastAsia="Calibri" w:cstheme="minorHAnsi"/>
                  <w:i/>
                  <w:spacing w:val="2"/>
                  <w:sz w:val="20"/>
                  <w:szCs w:val="20"/>
                  <w:u w:val="single" w:color="0000FF"/>
                  <w:lang w:val="en-US"/>
                </w:rPr>
                <w:t>n</w:t>
              </w:r>
              <w:r w:rsidRPr="008A1C4E">
                <w:rPr>
                  <w:rFonts w:eastAsia="Calibri" w:cstheme="minorHAnsi"/>
                  <w:i/>
                  <w:sz w:val="20"/>
                  <w:szCs w:val="20"/>
                  <w:u w:val="single" w:color="0000FF"/>
                  <w:lang w:val="en-US"/>
                </w:rPr>
                <w:t>t</w:t>
              </w:r>
              <w:r w:rsidRPr="008A1C4E">
                <w:rPr>
                  <w:rFonts w:eastAsia="Calibri" w:cstheme="minorHAnsi"/>
                  <w:i/>
                  <w:spacing w:val="-2"/>
                  <w:sz w:val="20"/>
                  <w:szCs w:val="20"/>
                  <w:u w:val="single" w:color="0000FF"/>
                  <w:lang w:val="en-US"/>
                </w:rPr>
                <w:t>io</w:t>
              </w:r>
              <w:r w:rsidRPr="008A1C4E">
                <w:rPr>
                  <w:rFonts w:eastAsia="Calibri" w:cstheme="minorHAnsi"/>
                  <w:i/>
                  <w:spacing w:val="4"/>
                  <w:sz w:val="20"/>
                  <w:szCs w:val="20"/>
                  <w:u w:val="single" w:color="0000FF"/>
                  <w:lang w:val="en-US"/>
                </w:rPr>
                <w:t>n</w:t>
              </w:r>
              <w:r w:rsidRPr="008A1C4E">
                <w:rPr>
                  <w:rFonts w:eastAsia="Calibri" w:cstheme="minorHAnsi"/>
                  <w:i/>
                  <w:sz w:val="20"/>
                  <w:szCs w:val="20"/>
                  <w:lang w:val="en-US"/>
                </w:rPr>
                <w:t xml:space="preserve">, </w:t>
              </w:r>
            </w:hyperlink>
            <w:hyperlink r:id="rId37">
              <w:r w:rsidRPr="008A1C4E">
                <w:rPr>
                  <w:rFonts w:eastAsia="Calibri" w:cstheme="minorHAnsi"/>
                  <w:i/>
                  <w:spacing w:val="-3"/>
                  <w:sz w:val="20"/>
                  <w:szCs w:val="20"/>
                  <w:u w:val="single" w:color="0000FF"/>
                  <w:lang w:val="en-US"/>
                </w:rPr>
                <w:t>R</w:t>
              </w:r>
              <w:r w:rsidRPr="008A1C4E">
                <w:rPr>
                  <w:rFonts w:eastAsia="Calibri" w:cstheme="minorHAnsi"/>
                  <w:i/>
                  <w:spacing w:val="2"/>
                  <w:sz w:val="20"/>
                  <w:szCs w:val="20"/>
                  <w:u w:val="single" w:color="0000FF"/>
                  <w:lang w:val="en-US"/>
                </w:rPr>
                <w:t>o</w:t>
              </w:r>
              <w:r w:rsidRPr="008A1C4E">
                <w:rPr>
                  <w:rFonts w:eastAsia="Calibri" w:cstheme="minorHAnsi"/>
                  <w:i/>
                  <w:sz w:val="20"/>
                  <w:szCs w:val="20"/>
                  <w:u w:val="single" w:color="0000FF"/>
                  <w:lang w:val="en-US"/>
                </w:rPr>
                <w:t>t</w:t>
              </w:r>
              <w:r w:rsidRPr="008A1C4E">
                <w:rPr>
                  <w:rFonts w:eastAsia="Calibri" w:cstheme="minorHAnsi"/>
                  <w:i/>
                  <w:spacing w:val="-1"/>
                  <w:sz w:val="20"/>
                  <w:szCs w:val="20"/>
                  <w:u w:val="single" w:color="0000FF"/>
                  <w:lang w:val="en-US"/>
                </w:rPr>
                <w:t>te</w:t>
              </w:r>
              <w:r w:rsidRPr="008A1C4E">
                <w:rPr>
                  <w:rFonts w:eastAsia="Calibri" w:cstheme="minorHAnsi"/>
                  <w:i/>
                  <w:spacing w:val="-2"/>
                  <w:sz w:val="20"/>
                  <w:szCs w:val="20"/>
                  <w:u w:val="single" w:color="0000FF"/>
                  <w:lang w:val="en-US"/>
                </w:rPr>
                <w:t>r</w:t>
              </w:r>
              <w:r w:rsidRPr="008A1C4E">
                <w:rPr>
                  <w:rFonts w:eastAsia="Calibri" w:cstheme="minorHAnsi"/>
                  <w:i/>
                  <w:spacing w:val="2"/>
                  <w:sz w:val="20"/>
                  <w:szCs w:val="20"/>
                  <w:u w:val="single" w:color="0000FF"/>
                  <w:lang w:val="en-US"/>
                </w:rPr>
                <w:t>d</w:t>
              </w:r>
              <w:r w:rsidRPr="008A1C4E">
                <w:rPr>
                  <w:rFonts w:eastAsia="Calibri" w:cstheme="minorHAnsi"/>
                  <w:i/>
                  <w:spacing w:val="-3"/>
                  <w:sz w:val="20"/>
                  <w:szCs w:val="20"/>
                  <w:u w:val="single" w:color="0000FF"/>
                  <w:lang w:val="en-US"/>
                </w:rPr>
                <w:t>a</w:t>
              </w:r>
              <w:r w:rsidRPr="008A1C4E">
                <w:rPr>
                  <w:rFonts w:eastAsia="Calibri" w:cstheme="minorHAnsi"/>
                  <w:i/>
                  <w:sz w:val="20"/>
                  <w:szCs w:val="20"/>
                  <w:u w:val="single" w:color="0000FF"/>
                  <w:lang w:val="en-US"/>
                </w:rPr>
                <w:t>m</w:t>
              </w:r>
              <w:r w:rsidRPr="008A1C4E">
                <w:rPr>
                  <w:rFonts w:eastAsia="Calibri" w:cstheme="minorHAnsi"/>
                  <w:i/>
                  <w:spacing w:val="2"/>
                  <w:sz w:val="20"/>
                  <w:szCs w:val="20"/>
                  <w:u w:val="single" w:color="0000FF"/>
                  <w:lang w:val="en-US"/>
                </w:rPr>
                <w:t xml:space="preserve"> </w:t>
              </w:r>
              <w:r w:rsidRPr="008A1C4E">
                <w:rPr>
                  <w:rFonts w:eastAsia="Calibri" w:cstheme="minorHAnsi"/>
                  <w:i/>
                  <w:spacing w:val="1"/>
                  <w:sz w:val="20"/>
                  <w:szCs w:val="20"/>
                  <w:u w:val="single" w:color="0000FF"/>
                  <w:lang w:val="en-US"/>
                </w:rPr>
                <w:t>C</w:t>
              </w:r>
              <w:r w:rsidRPr="008A1C4E">
                <w:rPr>
                  <w:rFonts w:eastAsia="Calibri" w:cstheme="minorHAnsi"/>
                  <w:i/>
                  <w:spacing w:val="-2"/>
                  <w:sz w:val="20"/>
                  <w:szCs w:val="20"/>
                  <w:u w:val="single" w:color="0000FF"/>
                  <w:lang w:val="en-US"/>
                </w:rPr>
                <w:t>o</w:t>
              </w:r>
              <w:r w:rsidRPr="008A1C4E">
                <w:rPr>
                  <w:rFonts w:eastAsia="Calibri" w:cstheme="minorHAnsi"/>
                  <w:i/>
                  <w:spacing w:val="2"/>
                  <w:sz w:val="20"/>
                  <w:szCs w:val="20"/>
                  <w:u w:val="single" w:color="0000FF"/>
                  <w:lang w:val="en-US"/>
                </w:rPr>
                <w:t>n</w:t>
              </w:r>
              <w:r w:rsidRPr="008A1C4E">
                <w:rPr>
                  <w:rFonts w:eastAsia="Calibri" w:cstheme="minorHAnsi"/>
                  <w:i/>
                  <w:sz w:val="20"/>
                  <w:szCs w:val="20"/>
                  <w:u w:val="single" w:color="0000FF"/>
                  <w:lang w:val="en-US"/>
                </w:rPr>
                <w:t>v</w:t>
              </w:r>
              <w:r w:rsidRPr="008A1C4E">
                <w:rPr>
                  <w:rFonts w:eastAsia="Calibri" w:cstheme="minorHAnsi"/>
                  <w:i/>
                  <w:spacing w:val="-1"/>
                  <w:sz w:val="20"/>
                  <w:szCs w:val="20"/>
                  <w:u w:val="single" w:color="0000FF"/>
                  <w:lang w:val="en-US"/>
                </w:rPr>
                <w:t>e</w:t>
              </w:r>
              <w:r w:rsidRPr="008A1C4E">
                <w:rPr>
                  <w:rFonts w:eastAsia="Calibri" w:cstheme="minorHAnsi"/>
                  <w:i/>
                  <w:spacing w:val="-3"/>
                  <w:sz w:val="20"/>
                  <w:szCs w:val="20"/>
                  <w:u w:val="single" w:color="0000FF"/>
                  <w:lang w:val="en-US"/>
                </w:rPr>
                <w:t>n</w:t>
              </w:r>
              <w:r w:rsidRPr="008A1C4E">
                <w:rPr>
                  <w:rFonts w:eastAsia="Calibri" w:cstheme="minorHAnsi"/>
                  <w:i/>
                  <w:sz w:val="20"/>
                  <w:szCs w:val="20"/>
                  <w:u w:val="single" w:color="0000FF"/>
                  <w:lang w:val="en-US"/>
                </w:rPr>
                <w:t>t</w:t>
              </w:r>
              <w:r w:rsidRPr="008A1C4E">
                <w:rPr>
                  <w:rFonts w:eastAsia="Calibri" w:cstheme="minorHAnsi"/>
                  <w:i/>
                  <w:spacing w:val="-2"/>
                  <w:sz w:val="20"/>
                  <w:szCs w:val="20"/>
                  <w:u w:val="single" w:color="0000FF"/>
                  <w:lang w:val="en-US"/>
                </w:rPr>
                <w:t>i</w:t>
              </w:r>
              <w:r w:rsidRPr="008A1C4E">
                <w:rPr>
                  <w:rFonts w:eastAsia="Calibri" w:cstheme="minorHAnsi"/>
                  <w:i/>
                  <w:spacing w:val="2"/>
                  <w:sz w:val="20"/>
                  <w:szCs w:val="20"/>
                  <w:u w:val="single" w:color="0000FF"/>
                  <w:lang w:val="en-US"/>
                </w:rPr>
                <w:t>o</w:t>
              </w:r>
              <w:r w:rsidRPr="008A1C4E">
                <w:rPr>
                  <w:rFonts w:eastAsia="Calibri" w:cstheme="minorHAnsi"/>
                  <w:i/>
                  <w:spacing w:val="4"/>
                  <w:sz w:val="20"/>
                  <w:szCs w:val="20"/>
                  <w:u w:val="single" w:color="0000FF"/>
                  <w:lang w:val="en-US"/>
                </w:rPr>
                <w:t>n</w:t>
              </w:r>
              <w:r w:rsidRPr="008A1C4E">
                <w:rPr>
                  <w:rFonts w:eastAsia="Calibri" w:cstheme="minorHAnsi"/>
                  <w:i/>
                  <w:sz w:val="20"/>
                  <w:szCs w:val="20"/>
                  <w:lang w:val="en-US"/>
                </w:rPr>
                <w:t xml:space="preserve">, </w:t>
              </w:r>
            </w:hyperlink>
            <w:hyperlink r:id="rId38">
              <w:r w:rsidRPr="008A1C4E">
                <w:rPr>
                  <w:rFonts w:eastAsia="Calibri" w:cstheme="minorHAnsi"/>
                  <w:i/>
                  <w:spacing w:val="-1"/>
                  <w:sz w:val="20"/>
                  <w:szCs w:val="20"/>
                  <w:u w:val="single" w:color="0000FF"/>
                  <w:lang w:val="en-US"/>
                </w:rPr>
                <w:t>S</w:t>
              </w:r>
              <w:r w:rsidRPr="008A1C4E">
                <w:rPr>
                  <w:rFonts w:eastAsia="Calibri" w:cstheme="minorHAnsi"/>
                  <w:i/>
                  <w:sz w:val="20"/>
                  <w:szCs w:val="20"/>
                  <w:u w:val="single" w:color="0000FF"/>
                  <w:lang w:val="en-US"/>
                </w:rPr>
                <w:t>t</w:t>
              </w:r>
              <w:r w:rsidRPr="008A1C4E">
                <w:rPr>
                  <w:rFonts w:eastAsia="Calibri" w:cstheme="minorHAnsi"/>
                  <w:i/>
                  <w:spacing w:val="2"/>
                  <w:sz w:val="20"/>
                  <w:szCs w:val="20"/>
                  <w:u w:val="single" w:color="0000FF"/>
                  <w:lang w:val="en-US"/>
                </w:rPr>
                <w:t>o</w:t>
              </w:r>
              <w:r w:rsidRPr="008A1C4E">
                <w:rPr>
                  <w:rFonts w:eastAsia="Calibri" w:cstheme="minorHAnsi"/>
                  <w:i/>
                  <w:sz w:val="20"/>
                  <w:szCs w:val="20"/>
                  <w:u w:val="single" w:color="0000FF"/>
                  <w:lang w:val="en-US"/>
                </w:rPr>
                <w:t>c</w:t>
              </w:r>
              <w:r w:rsidRPr="008A1C4E">
                <w:rPr>
                  <w:rFonts w:eastAsia="Calibri" w:cstheme="minorHAnsi"/>
                  <w:i/>
                  <w:spacing w:val="-2"/>
                  <w:sz w:val="20"/>
                  <w:szCs w:val="20"/>
                  <w:u w:val="single" w:color="0000FF"/>
                  <w:lang w:val="en-US"/>
                </w:rPr>
                <w:t>k</w:t>
              </w:r>
              <w:r w:rsidRPr="008A1C4E">
                <w:rPr>
                  <w:rFonts w:eastAsia="Calibri" w:cstheme="minorHAnsi"/>
                  <w:i/>
                  <w:spacing w:val="2"/>
                  <w:sz w:val="20"/>
                  <w:szCs w:val="20"/>
                  <w:u w:val="single" w:color="0000FF"/>
                  <w:lang w:val="en-US"/>
                </w:rPr>
                <w:t>ho</w:t>
              </w:r>
              <w:r w:rsidRPr="008A1C4E">
                <w:rPr>
                  <w:rFonts w:eastAsia="Calibri" w:cstheme="minorHAnsi"/>
                  <w:i/>
                  <w:spacing w:val="-6"/>
                  <w:sz w:val="20"/>
                  <w:szCs w:val="20"/>
                  <w:u w:val="single" w:color="0000FF"/>
                  <w:lang w:val="en-US"/>
                </w:rPr>
                <w:t>l</w:t>
              </w:r>
              <w:r w:rsidRPr="008A1C4E">
                <w:rPr>
                  <w:rFonts w:eastAsia="Calibri" w:cstheme="minorHAnsi"/>
                  <w:i/>
                  <w:sz w:val="20"/>
                  <w:szCs w:val="20"/>
                  <w:u w:val="single" w:color="0000FF"/>
                  <w:lang w:val="en-US"/>
                </w:rPr>
                <w:t>m</w:t>
              </w:r>
              <w:r w:rsidRPr="008A1C4E">
                <w:rPr>
                  <w:rFonts w:eastAsia="Calibri" w:cstheme="minorHAnsi"/>
                  <w:i/>
                  <w:spacing w:val="2"/>
                  <w:sz w:val="20"/>
                  <w:szCs w:val="20"/>
                  <w:u w:val="single" w:color="0000FF"/>
                  <w:lang w:val="en-US"/>
                </w:rPr>
                <w:t xml:space="preserve"> </w:t>
              </w:r>
              <w:r w:rsidRPr="008A1C4E">
                <w:rPr>
                  <w:rFonts w:eastAsia="Calibri" w:cstheme="minorHAnsi"/>
                  <w:i/>
                  <w:spacing w:val="1"/>
                  <w:sz w:val="20"/>
                  <w:szCs w:val="20"/>
                  <w:u w:val="single" w:color="0000FF"/>
                  <w:lang w:val="en-US"/>
                </w:rPr>
                <w:t>C</w:t>
              </w:r>
              <w:r w:rsidRPr="008A1C4E">
                <w:rPr>
                  <w:rFonts w:eastAsia="Calibri" w:cstheme="minorHAnsi"/>
                  <w:i/>
                  <w:spacing w:val="-2"/>
                  <w:sz w:val="20"/>
                  <w:szCs w:val="20"/>
                  <w:u w:val="single" w:color="0000FF"/>
                  <w:lang w:val="en-US"/>
                </w:rPr>
                <w:t>o</w:t>
              </w:r>
              <w:r w:rsidRPr="008A1C4E">
                <w:rPr>
                  <w:rFonts w:eastAsia="Calibri" w:cstheme="minorHAnsi"/>
                  <w:i/>
                  <w:spacing w:val="2"/>
                  <w:sz w:val="20"/>
                  <w:szCs w:val="20"/>
                  <w:u w:val="single" w:color="0000FF"/>
                  <w:lang w:val="en-US"/>
                </w:rPr>
                <w:t>n</w:t>
              </w:r>
              <w:r w:rsidRPr="008A1C4E">
                <w:rPr>
                  <w:rFonts w:eastAsia="Calibri" w:cstheme="minorHAnsi"/>
                  <w:i/>
                  <w:sz w:val="20"/>
                  <w:szCs w:val="20"/>
                  <w:u w:val="single" w:color="0000FF"/>
                  <w:lang w:val="en-US"/>
                </w:rPr>
                <w:t>v</w:t>
              </w:r>
              <w:r w:rsidRPr="008A1C4E">
                <w:rPr>
                  <w:rFonts w:eastAsia="Calibri" w:cstheme="minorHAnsi"/>
                  <w:i/>
                  <w:spacing w:val="-1"/>
                  <w:sz w:val="20"/>
                  <w:szCs w:val="20"/>
                  <w:u w:val="single" w:color="0000FF"/>
                  <w:lang w:val="en-US"/>
                </w:rPr>
                <w:t>e</w:t>
              </w:r>
              <w:r w:rsidRPr="008A1C4E">
                <w:rPr>
                  <w:rFonts w:eastAsia="Calibri" w:cstheme="minorHAnsi"/>
                  <w:i/>
                  <w:spacing w:val="2"/>
                  <w:sz w:val="20"/>
                  <w:szCs w:val="20"/>
                  <w:u w:val="single" w:color="0000FF"/>
                  <w:lang w:val="en-US"/>
                </w:rPr>
                <w:t>n</w:t>
              </w:r>
              <w:r w:rsidRPr="008A1C4E">
                <w:rPr>
                  <w:rFonts w:eastAsia="Calibri" w:cstheme="minorHAnsi"/>
                  <w:i/>
                  <w:sz w:val="20"/>
                  <w:szCs w:val="20"/>
                  <w:u w:val="single" w:color="0000FF"/>
                  <w:lang w:val="en-US"/>
                </w:rPr>
                <w:t>t</w:t>
              </w:r>
              <w:r w:rsidRPr="008A1C4E">
                <w:rPr>
                  <w:rFonts w:eastAsia="Calibri" w:cstheme="minorHAnsi"/>
                  <w:i/>
                  <w:spacing w:val="-2"/>
                  <w:sz w:val="20"/>
                  <w:szCs w:val="20"/>
                  <w:u w:val="single" w:color="0000FF"/>
                  <w:lang w:val="en-US"/>
                </w:rPr>
                <w:t>io</w:t>
              </w:r>
              <w:r w:rsidRPr="008A1C4E">
                <w:rPr>
                  <w:rFonts w:eastAsia="Calibri" w:cstheme="minorHAnsi"/>
                  <w:i/>
                  <w:sz w:val="20"/>
                  <w:szCs w:val="20"/>
                  <w:u w:val="single" w:color="0000FF"/>
                  <w:lang w:val="en-US"/>
                </w:rPr>
                <w:t>n</w:t>
              </w:r>
            </w:hyperlink>
          </w:p>
        </w:tc>
        <w:tc>
          <w:tcPr>
            <w:tcW w:w="515" w:type="pct"/>
            <w:tcBorders>
              <w:top w:val="single" w:sz="5" w:space="0" w:color="000000"/>
              <w:left w:val="single" w:sz="5" w:space="0" w:color="000000"/>
              <w:bottom w:val="single" w:sz="5" w:space="0" w:color="000000"/>
              <w:right w:val="single" w:sz="5" w:space="0" w:color="000000"/>
            </w:tcBorders>
          </w:tcPr>
          <w:p w14:paraId="2A528625"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2D39A683"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4C07D3A4" w14:textId="77777777" w:rsidR="008C66C4" w:rsidRPr="00A51E75" w:rsidRDefault="008C66C4">
            <w:pPr>
              <w:spacing w:before="57"/>
              <w:ind w:left="104"/>
              <w:rPr>
                <w:rFonts w:eastAsia="Calibri" w:cstheme="minorHAnsi"/>
                <w:spacing w:val="-1"/>
                <w:sz w:val="18"/>
                <w:szCs w:val="18"/>
                <w:lang w:val="en-US"/>
              </w:rPr>
            </w:pPr>
            <w:r w:rsidRPr="00A51E75">
              <w:rPr>
                <w:rFonts w:eastAsia="Calibri" w:cstheme="minorHAnsi"/>
                <w:spacing w:val="-1"/>
                <w:sz w:val="18"/>
                <w:szCs w:val="18"/>
                <w:lang w:val="en-US"/>
              </w:rPr>
              <w:t>8</w:t>
            </w:r>
            <w:r w:rsidRPr="00A51E75">
              <w:rPr>
                <w:rFonts w:eastAsia="Calibri" w:cstheme="minorHAnsi"/>
                <w:sz w:val="18"/>
                <w:szCs w:val="18"/>
                <w:lang w:val="en-US"/>
              </w:rPr>
              <w:t xml:space="preserve">.5       </w:t>
            </w:r>
            <w:r w:rsidRPr="00A51E75">
              <w:rPr>
                <w:rFonts w:eastAsia="Calibri" w:cstheme="minorHAnsi"/>
                <w:spacing w:val="18"/>
                <w:sz w:val="18"/>
                <w:szCs w:val="18"/>
                <w:lang w:val="en-US"/>
              </w:rPr>
              <w:t xml:space="preserve"> </w:t>
            </w:r>
            <w:r w:rsidRPr="00A51E75">
              <w:rPr>
                <w:rFonts w:eastAsia="Calibri" w:cstheme="minorHAnsi"/>
                <w:spacing w:val="-1"/>
                <w:sz w:val="18"/>
                <w:szCs w:val="18"/>
                <w:lang w:val="en-US"/>
              </w:rPr>
              <w:t>Application of pesticides that may have a negative effect on the environment or human health?</w:t>
            </w:r>
          </w:p>
          <w:p w14:paraId="634F129E" w14:textId="77777777" w:rsidR="008C66C4" w:rsidRPr="00A51E75" w:rsidRDefault="008C66C4">
            <w:pPr>
              <w:spacing w:before="57"/>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6B8A21A5" w14:textId="77777777" w:rsidR="008C66C4" w:rsidRPr="00A51E75" w:rsidRDefault="008C66C4">
            <w:pPr>
              <w:rPr>
                <w:rFonts w:cstheme="minorHAnsi"/>
                <w:sz w:val="18"/>
                <w:szCs w:val="18"/>
                <w:lang w:val="en-US"/>
              </w:rPr>
            </w:pPr>
            <w:r w:rsidRPr="00A51E75">
              <w:rPr>
                <w:rFonts w:cstheme="minorHAnsi"/>
                <w:sz w:val="18"/>
                <w:szCs w:val="18"/>
                <w:lang w:val="en-US"/>
              </w:rPr>
              <w:t>No</w:t>
            </w:r>
          </w:p>
        </w:tc>
      </w:tr>
      <w:tr w:rsidR="008C66C4" w:rsidRPr="00A51E75" w14:paraId="78144330" w14:textId="77777777" w:rsidTr="00471726">
        <w:trPr>
          <w:trHeight w:hRule="exact" w:val="350"/>
        </w:trPr>
        <w:tc>
          <w:tcPr>
            <w:tcW w:w="4485" w:type="pct"/>
            <w:tcBorders>
              <w:top w:val="single" w:sz="5" w:space="0" w:color="000000"/>
              <w:left w:val="single" w:sz="5" w:space="0" w:color="000000"/>
              <w:bottom w:val="single" w:sz="5" w:space="0" w:color="000000"/>
              <w:right w:val="single" w:sz="5" w:space="0" w:color="000000"/>
            </w:tcBorders>
          </w:tcPr>
          <w:p w14:paraId="17B5B4E7" w14:textId="77777777" w:rsidR="008C66C4" w:rsidRPr="00A51E75" w:rsidRDefault="008C66C4">
            <w:pPr>
              <w:spacing w:before="57"/>
              <w:ind w:left="104"/>
              <w:rPr>
                <w:rFonts w:eastAsia="Calibri" w:cstheme="minorHAnsi"/>
                <w:sz w:val="18"/>
                <w:szCs w:val="18"/>
                <w:lang w:val="en-US"/>
              </w:rPr>
            </w:pPr>
            <w:r w:rsidRPr="00A51E75">
              <w:rPr>
                <w:rFonts w:eastAsia="Calibri" w:cstheme="minorHAnsi"/>
                <w:spacing w:val="-1"/>
                <w:sz w:val="18"/>
                <w:szCs w:val="18"/>
                <w:lang w:val="en-US"/>
              </w:rPr>
              <w:t>8</w:t>
            </w:r>
            <w:r w:rsidRPr="00A51E75">
              <w:rPr>
                <w:rFonts w:eastAsia="Calibri" w:cstheme="minorHAnsi"/>
                <w:sz w:val="18"/>
                <w:szCs w:val="18"/>
                <w:lang w:val="en-US"/>
              </w:rPr>
              <w:t xml:space="preserve">.6       </w:t>
            </w:r>
            <w:r w:rsidRPr="00A51E75">
              <w:rPr>
                <w:rFonts w:eastAsia="Calibri" w:cstheme="minorHAnsi"/>
                <w:spacing w:val="18"/>
                <w:sz w:val="18"/>
                <w:szCs w:val="18"/>
                <w:lang w:val="en-US"/>
              </w:rPr>
              <w:t xml:space="preserve"> </w:t>
            </w:r>
            <w:r w:rsidRPr="00A51E75">
              <w:rPr>
                <w:rFonts w:eastAsia="Calibri" w:cstheme="minorHAnsi"/>
                <w:sz w:val="18"/>
                <w:szCs w:val="18"/>
                <w:lang w:val="en-US"/>
              </w:rPr>
              <w:t>Significant consumption of raw materials, energy and/or water?</w:t>
            </w:r>
          </w:p>
          <w:p w14:paraId="30E9B612" w14:textId="77777777" w:rsidR="008C66C4" w:rsidRPr="00A51E75" w:rsidRDefault="008C66C4">
            <w:pPr>
              <w:spacing w:before="57"/>
              <w:ind w:left="104"/>
              <w:rPr>
                <w:rFonts w:eastAsia="Calibri" w:cstheme="minorHAnsi"/>
                <w:sz w:val="18"/>
                <w:szCs w:val="18"/>
                <w:lang w:val="en-US"/>
              </w:rPr>
            </w:pPr>
          </w:p>
        </w:tc>
        <w:tc>
          <w:tcPr>
            <w:tcW w:w="515" w:type="pct"/>
            <w:tcBorders>
              <w:top w:val="single" w:sz="5" w:space="0" w:color="000000"/>
              <w:left w:val="single" w:sz="5" w:space="0" w:color="000000"/>
              <w:bottom w:val="single" w:sz="5" w:space="0" w:color="000000"/>
              <w:right w:val="single" w:sz="5" w:space="0" w:color="000000"/>
            </w:tcBorders>
          </w:tcPr>
          <w:p w14:paraId="10FA9434" w14:textId="77777777" w:rsidR="008C66C4" w:rsidRPr="00A51E75" w:rsidRDefault="008C66C4">
            <w:pPr>
              <w:rPr>
                <w:rFonts w:cstheme="minorHAnsi"/>
                <w:sz w:val="18"/>
                <w:szCs w:val="18"/>
                <w:lang w:val="en-US"/>
              </w:rPr>
            </w:pPr>
            <w:r w:rsidRPr="00A51E75">
              <w:rPr>
                <w:rFonts w:cstheme="minorHAnsi"/>
                <w:sz w:val="18"/>
                <w:szCs w:val="18"/>
                <w:lang w:val="en-US"/>
              </w:rPr>
              <w:t>No</w:t>
            </w:r>
          </w:p>
        </w:tc>
      </w:tr>
    </w:tbl>
    <w:p w14:paraId="54F46342" w14:textId="77777777" w:rsidR="003549E7" w:rsidRPr="00A51E75" w:rsidRDefault="003549E7" w:rsidP="008B6F84">
      <w:pPr>
        <w:keepNext/>
        <w:spacing w:after="60"/>
        <w:jc w:val="both"/>
        <w:outlineLvl w:val="1"/>
        <w:rPr>
          <w:rFonts w:asciiTheme="minorHAnsi" w:eastAsia="SimSun" w:hAnsiTheme="minorHAnsi" w:cstheme="minorHAnsi"/>
          <w:b/>
          <w:bCs/>
          <w:lang w:val="en-US"/>
        </w:rPr>
        <w:sectPr w:rsidR="003549E7" w:rsidRPr="00A51E75" w:rsidSect="008351B2">
          <w:pgSz w:w="15840" w:h="12240" w:orient="landscape" w:code="1"/>
          <w:pgMar w:top="720" w:right="720" w:bottom="720" w:left="720" w:header="720" w:footer="720" w:gutter="0"/>
          <w:cols w:space="720"/>
          <w:docGrid w:linePitch="360"/>
        </w:sectPr>
      </w:pPr>
    </w:p>
    <w:p w14:paraId="6C602012" w14:textId="71FAD33D" w:rsidR="000B575C" w:rsidRPr="00125CE3" w:rsidRDefault="00211737" w:rsidP="008B6F84">
      <w:pPr>
        <w:keepNext/>
        <w:spacing w:after="60"/>
        <w:jc w:val="both"/>
        <w:outlineLvl w:val="1"/>
        <w:rPr>
          <w:rFonts w:ascii="Calibri" w:eastAsia="SimSun" w:hAnsi="Calibri" w:cs="Calibri"/>
          <w:b/>
          <w:bCs/>
          <w:sz w:val="20"/>
          <w:szCs w:val="20"/>
        </w:rPr>
      </w:pPr>
      <w:bookmarkStart w:id="73" w:name="_Toc221696313"/>
      <w:r w:rsidRPr="00125CE3">
        <w:rPr>
          <w:rFonts w:ascii="Calibri" w:eastAsia="SimSun" w:hAnsi="Calibri" w:cs="Calibri"/>
          <w:b/>
          <w:bCs/>
          <w:sz w:val="20"/>
          <w:szCs w:val="20"/>
        </w:rPr>
        <w:lastRenderedPageBreak/>
        <w:t>Anex</w:t>
      </w:r>
      <w:r w:rsidR="008E67F8" w:rsidRPr="00125CE3">
        <w:rPr>
          <w:rFonts w:ascii="Calibri" w:eastAsia="SimSun" w:hAnsi="Calibri" w:cs="Calibri"/>
          <w:b/>
          <w:bCs/>
          <w:sz w:val="20"/>
          <w:szCs w:val="20"/>
        </w:rPr>
        <w:t>o</w:t>
      </w:r>
      <w:r w:rsidRPr="00125CE3">
        <w:rPr>
          <w:rFonts w:ascii="Calibri" w:eastAsia="SimSun" w:hAnsi="Calibri" w:cs="Calibri"/>
          <w:b/>
          <w:bCs/>
          <w:sz w:val="20"/>
          <w:szCs w:val="20"/>
        </w:rPr>
        <w:t xml:space="preserve"> 6: </w:t>
      </w:r>
      <w:r w:rsidR="008E67F8" w:rsidRPr="00125CE3">
        <w:rPr>
          <w:rFonts w:ascii="Calibri" w:eastAsia="SimSun" w:hAnsi="Calibri" w:cs="Calibri"/>
          <w:b/>
          <w:bCs/>
          <w:sz w:val="20"/>
          <w:szCs w:val="20"/>
        </w:rPr>
        <w:t>Registro de Riesgos - PNUD</w:t>
      </w:r>
      <w:bookmarkEnd w:id="73"/>
    </w:p>
    <w:p w14:paraId="2FECBC9B" w14:textId="77777777" w:rsidR="000B575C" w:rsidRPr="008E67F8" w:rsidRDefault="000B575C" w:rsidP="008B6F84">
      <w:pPr>
        <w:keepNext/>
        <w:spacing w:after="60"/>
        <w:jc w:val="both"/>
        <w:outlineLvl w:val="1"/>
        <w:rPr>
          <w:rFonts w:asciiTheme="minorHAnsi" w:eastAsia="SimSun" w:hAnsiTheme="minorHAnsi" w:cstheme="minorHAnsi"/>
          <w:b/>
          <w:bCs/>
          <w:lang w:val="es-EC"/>
        </w:rPr>
      </w:pPr>
    </w:p>
    <w:p w14:paraId="47481D5C" w14:textId="280C121B" w:rsidR="00E77E71" w:rsidRPr="00A51E75" w:rsidRDefault="00000000" w:rsidP="00E77E71">
      <w:pPr>
        <w:rPr>
          <w:rFonts w:asciiTheme="minorHAnsi" w:hAnsiTheme="minorHAnsi" w:cstheme="minorHAnsi"/>
          <w:b/>
          <w:i/>
          <w:color w:val="000000"/>
          <w:sz w:val="18"/>
          <w:szCs w:val="18"/>
          <w:lang w:val="en-US"/>
        </w:rPr>
      </w:pPr>
      <w:sdt>
        <w:sdtPr>
          <w:rPr>
            <w:rFonts w:asciiTheme="minorHAnsi" w:hAnsiTheme="minorHAnsi" w:cstheme="minorHAnsi"/>
            <w:sz w:val="18"/>
            <w:szCs w:val="18"/>
          </w:rPr>
          <w:tag w:val="goog_rdk_0"/>
          <w:id w:val="1792164187"/>
        </w:sdtPr>
        <w:sdtContent/>
      </w:sdt>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158"/>
        <w:gridCol w:w="2944"/>
        <w:gridCol w:w="2288"/>
      </w:tblGrid>
      <w:tr w:rsidR="00E77E71" w:rsidRPr="007E49E0" w14:paraId="7B799498" w14:textId="77777777" w:rsidTr="00E77E71">
        <w:tc>
          <w:tcPr>
            <w:tcW w:w="3182" w:type="pct"/>
          </w:tcPr>
          <w:p w14:paraId="349B3973" w14:textId="47D065C6" w:rsidR="00E77E71" w:rsidRPr="00652D40" w:rsidRDefault="002268C5" w:rsidP="008907C1">
            <w:pPr>
              <w:spacing w:before="60" w:after="60"/>
              <w:rPr>
                <w:rFonts w:asciiTheme="minorHAnsi" w:eastAsia="Arial Narrow" w:hAnsiTheme="minorHAnsi" w:cstheme="minorHAnsi"/>
                <w:b/>
                <w:sz w:val="18"/>
                <w:szCs w:val="18"/>
                <w:lang w:val="es-EC"/>
              </w:rPr>
            </w:pPr>
            <w:r>
              <w:rPr>
                <w:rFonts w:asciiTheme="minorHAnsi" w:hAnsiTheme="minorHAnsi" w:cstheme="minorHAnsi"/>
                <w:b/>
                <w:sz w:val="18"/>
                <w:szCs w:val="18"/>
                <w:lang w:val="es-EC"/>
              </w:rPr>
              <w:t>Título del proyecto</w:t>
            </w:r>
            <w:r w:rsidR="00E77E71" w:rsidRPr="00652D40">
              <w:rPr>
                <w:rFonts w:asciiTheme="minorHAnsi" w:hAnsiTheme="minorHAnsi" w:cstheme="minorHAnsi"/>
                <w:b/>
                <w:sz w:val="18"/>
                <w:szCs w:val="18"/>
                <w:lang w:val="es-EC"/>
              </w:rPr>
              <w:t xml:space="preserve">: </w:t>
            </w:r>
            <w:r w:rsidR="00652D40" w:rsidRPr="00652D40">
              <w:rPr>
                <w:rFonts w:asciiTheme="minorHAnsi" w:eastAsia="Calibri" w:hAnsiTheme="minorHAnsi" w:cstheme="minorHAnsi"/>
                <w:sz w:val="18"/>
                <w:szCs w:val="18"/>
                <w:lang w:val="es-EC"/>
              </w:rPr>
              <w:t>Título del Portafolio/Proyecto: Gestión integrada del paisaje en la cuenca del río Napo para la gestión sostenible de la tierra y la conservación de la biodiversidad</w:t>
            </w:r>
            <w:r w:rsidR="00E77E71" w:rsidRPr="00652D40">
              <w:rPr>
                <w:rFonts w:asciiTheme="minorHAnsi" w:eastAsia="Calibri" w:hAnsiTheme="minorHAnsi" w:cstheme="minorHAnsi"/>
                <w:sz w:val="18"/>
                <w:szCs w:val="18"/>
                <w:lang w:val="es-EC"/>
              </w:rPr>
              <w:t>.</w:t>
            </w:r>
          </w:p>
        </w:tc>
        <w:tc>
          <w:tcPr>
            <w:tcW w:w="1023" w:type="pct"/>
          </w:tcPr>
          <w:p w14:paraId="41F7C140" w14:textId="5766CC5C" w:rsidR="00E77E71" w:rsidRPr="002268C5" w:rsidRDefault="002268C5" w:rsidP="008907C1">
            <w:pPr>
              <w:spacing w:before="60" w:after="60"/>
              <w:rPr>
                <w:rFonts w:asciiTheme="minorHAnsi" w:eastAsia="Arial Narrow" w:hAnsiTheme="minorHAnsi" w:cstheme="minorHAnsi"/>
                <w:b/>
                <w:sz w:val="18"/>
                <w:szCs w:val="18"/>
                <w:lang w:val="es-EC"/>
              </w:rPr>
            </w:pPr>
            <w:r w:rsidRPr="002268C5">
              <w:rPr>
                <w:rFonts w:asciiTheme="minorHAnsi" w:hAnsiTheme="minorHAnsi" w:cstheme="minorHAnsi"/>
                <w:b/>
                <w:sz w:val="18"/>
                <w:szCs w:val="18"/>
                <w:lang w:val="es-EC"/>
              </w:rPr>
              <w:t xml:space="preserve">Número del portafolio/proyecto: </w:t>
            </w:r>
            <w:r w:rsidRPr="002268C5">
              <w:rPr>
                <w:rFonts w:asciiTheme="minorHAnsi" w:hAnsiTheme="minorHAnsi" w:cstheme="minorHAnsi"/>
                <w:bCs/>
                <w:sz w:val="18"/>
                <w:szCs w:val="18"/>
                <w:lang w:val="es-EC"/>
              </w:rPr>
              <w:t>PIMS ID 9648</w:t>
            </w:r>
          </w:p>
        </w:tc>
        <w:tc>
          <w:tcPr>
            <w:tcW w:w="795" w:type="pct"/>
          </w:tcPr>
          <w:p w14:paraId="58BD913C" w14:textId="1CD728C2" w:rsidR="00E77E71" w:rsidRPr="00A51E75" w:rsidRDefault="0078667C" w:rsidP="008907C1">
            <w:pPr>
              <w:spacing w:before="60" w:after="60"/>
              <w:rPr>
                <w:rFonts w:asciiTheme="minorHAnsi" w:eastAsia="Arial Narrow" w:hAnsiTheme="minorHAnsi" w:cstheme="minorHAnsi"/>
                <w:b/>
                <w:sz w:val="18"/>
                <w:szCs w:val="18"/>
                <w:lang w:val="en-US"/>
              </w:rPr>
            </w:pPr>
            <w:r>
              <w:rPr>
                <w:rFonts w:asciiTheme="minorHAnsi" w:hAnsiTheme="minorHAnsi" w:cstheme="minorHAnsi"/>
                <w:b/>
                <w:sz w:val="18"/>
                <w:szCs w:val="18"/>
                <w:lang w:val="en-US"/>
              </w:rPr>
              <w:t xml:space="preserve">Fecha: </w:t>
            </w:r>
          </w:p>
        </w:tc>
      </w:tr>
    </w:tbl>
    <w:p w14:paraId="02467758" w14:textId="77777777" w:rsidR="00E77E71" w:rsidRPr="00A51E75" w:rsidRDefault="00E77E71" w:rsidP="00E77E71">
      <w:pPr>
        <w:tabs>
          <w:tab w:val="left" w:pos="9041"/>
          <w:tab w:val="left" w:pos="12281"/>
        </w:tabs>
        <w:ind w:left="221"/>
        <w:rPr>
          <w:rFonts w:asciiTheme="minorHAnsi" w:eastAsia="Arial Narrow" w:hAnsiTheme="minorHAnsi" w:cstheme="minorHAnsi"/>
          <w:b/>
          <w:sz w:val="18"/>
          <w:szCs w:val="18"/>
          <w:lang w:val="en-US"/>
        </w:rPr>
      </w:pPr>
      <w:r w:rsidRPr="00A51E75">
        <w:rPr>
          <w:rFonts w:asciiTheme="minorHAnsi" w:hAnsiTheme="minorHAnsi" w:cstheme="minorHAnsi"/>
          <w:b/>
          <w:sz w:val="18"/>
          <w:szCs w:val="18"/>
          <w:lang w:val="en-US"/>
        </w:rPr>
        <w:tab/>
      </w:r>
      <w:r w:rsidRPr="00A51E75">
        <w:rPr>
          <w:rFonts w:asciiTheme="minorHAnsi" w:hAnsiTheme="minorHAnsi" w:cstheme="minorHAnsi"/>
          <w:b/>
          <w:sz w:val="18"/>
          <w:szCs w:val="18"/>
          <w:lang w:val="en-US"/>
        </w:rPr>
        <w:tab/>
      </w:r>
    </w:p>
    <w:tbl>
      <w:tblPr>
        <w:tblpPr w:leftFromText="180" w:rightFromText="180" w:vertAnchor="text" w:tblpX="-89" w:tblpY="1"/>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80"/>
        <w:gridCol w:w="1871"/>
        <w:gridCol w:w="1873"/>
        <w:gridCol w:w="1875"/>
        <w:gridCol w:w="1691"/>
        <w:gridCol w:w="1457"/>
        <w:gridCol w:w="1271"/>
        <w:gridCol w:w="1608"/>
        <w:gridCol w:w="2264"/>
      </w:tblGrid>
      <w:tr w:rsidR="00E77E71" w:rsidRPr="00E36DA5" w14:paraId="5C79C248" w14:textId="77777777" w:rsidTr="232F237D">
        <w:tc>
          <w:tcPr>
            <w:tcW w:w="167" w:type="pct"/>
            <w:shd w:val="clear" w:color="auto" w:fill="FFCC00"/>
          </w:tcPr>
          <w:p w14:paraId="645D22A3" w14:textId="77777777" w:rsidR="00E77E71" w:rsidRPr="00A51E75" w:rsidRDefault="00E77E71" w:rsidP="008907C1">
            <w:pPr>
              <w:spacing w:before="40" w:after="40"/>
              <w:rPr>
                <w:rFonts w:asciiTheme="minorHAnsi" w:eastAsia="Arial Narrow" w:hAnsiTheme="minorHAnsi" w:cstheme="minorHAnsi"/>
                <w:b/>
                <w:sz w:val="18"/>
                <w:szCs w:val="18"/>
              </w:rPr>
            </w:pPr>
            <w:r w:rsidRPr="00A51E75">
              <w:rPr>
                <w:rFonts w:asciiTheme="minorHAnsi" w:hAnsiTheme="minorHAnsi" w:cstheme="minorHAnsi"/>
                <w:b/>
                <w:sz w:val="18"/>
                <w:szCs w:val="18"/>
              </w:rPr>
              <w:t>No.</w:t>
            </w:r>
          </w:p>
        </w:tc>
        <w:tc>
          <w:tcPr>
            <w:tcW w:w="651" w:type="pct"/>
            <w:shd w:val="clear" w:color="auto" w:fill="FFCC00"/>
          </w:tcPr>
          <w:p w14:paraId="6406C5D8" w14:textId="303DFA1A" w:rsidR="00E77E71" w:rsidRPr="00A51E75" w:rsidRDefault="008C7B18" w:rsidP="008907C1">
            <w:pPr>
              <w:spacing w:before="40" w:after="40"/>
              <w:ind w:left="720" w:hanging="720"/>
              <w:jc w:val="center"/>
              <w:rPr>
                <w:rFonts w:asciiTheme="minorHAnsi" w:eastAsia="Arial Narrow" w:hAnsiTheme="minorHAnsi" w:cstheme="minorHAnsi"/>
                <w:b/>
                <w:sz w:val="18"/>
                <w:szCs w:val="18"/>
              </w:rPr>
            </w:pPr>
            <w:r>
              <w:rPr>
                <w:rFonts w:asciiTheme="minorHAnsi" w:hAnsiTheme="minorHAnsi" w:cstheme="minorHAnsi"/>
                <w:b/>
                <w:sz w:val="18"/>
                <w:szCs w:val="18"/>
              </w:rPr>
              <w:t>Tipo</w:t>
            </w:r>
          </w:p>
        </w:tc>
        <w:tc>
          <w:tcPr>
            <w:tcW w:w="651" w:type="pct"/>
            <w:shd w:val="clear" w:color="auto" w:fill="FFCC00"/>
          </w:tcPr>
          <w:p w14:paraId="72E0DF42" w14:textId="5030D464" w:rsidR="00E77E71" w:rsidRPr="00A51E75" w:rsidRDefault="00E77E71" w:rsidP="008907C1">
            <w:pPr>
              <w:spacing w:before="40" w:after="40"/>
              <w:jc w:val="center"/>
              <w:rPr>
                <w:rFonts w:asciiTheme="minorHAnsi" w:eastAsia="Arial Narrow" w:hAnsiTheme="minorHAnsi" w:cstheme="minorHAnsi"/>
                <w:b/>
                <w:sz w:val="18"/>
                <w:szCs w:val="18"/>
              </w:rPr>
            </w:pPr>
            <w:r w:rsidRPr="00A51E75">
              <w:rPr>
                <w:rFonts w:asciiTheme="minorHAnsi" w:hAnsiTheme="minorHAnsi" w:cstheme="minorHAnsi"/>
                <w:b/>
                <w:sz w:val="18"/>
                <w:szCs w:val="18"/>
              </w:rPr>
              <w:t>R</w:t>
            </w:r>
            <w:r w:rsidR="008C7B18">
              <w:rPr>
                <w:rFonts w:asciiTheme="minorHAnsi" w:hAnsiTheme="minorHAnsi" w:cstheme="minorHAnsi"/>
                <w:b/>
                <w:sz w:val="18"/>
                <w:szCs w:val="18"/>
              </w:rPr>
              <w:t>azón</w:t>
            </w:r>
          </w:p>
        </w:tc>
        <w:tc>
          <w:tcPr>
            <w:tcW w:w="652" w:type="pct"/>
            <w:shd w:val="clear" w:color="auto" w:fill="FFCC00"/>
          </w:tcPr>
          <w:p w14:paraId="37E1E77B" w14:textId="4712280A" w:rsidR="00E77E71" w:rsidRPr="00A51E75" w:rsidRDefault="00E77E71" w:rsidP="008907C1">
            <w:pPr>
              <w:spacing w:before="40" w:after="40"/>
              <w:jc w:val="center"/>
              <w:rPr>
                <w:rFonts w:asciiTheme="minorHAnsi" w:eastAsia="Arial Narrow" w:hAnsiTheme="minorHAnsi" w:cstheme="minorHAnsi"/>
                <w:b/>
                <w:sz w:val="18"/>
                <w:szCs w:val="18"/>
              </w:rPr>
            </w:pPr>
            <w:r w:rsidRPr="00A51E75">
              <w:rPr>
                <w:rFonts w:asciiTheme="minorHAnsi" w:hAnsiTheme="minorHAnsi" w:cstheme="minorHAnsi"/>
                <w:b/>
                <w:sz w:val="18"/>
                <w:szCs w:val="18"/>
              </w:rPr>
              <w:t>Impact</w:t>
            </w:r>
            <w:r w:rsidR="008C7B18">
              <w:rPr>
                <w:rFonts w:asciiTheme="minorHAnsi" w:hAnsiTheme="minorHAnsi" w:cstheme="minorHAnsi"/>
                <w:b/>
                <w:sz w:val="18"/>
                <w:szCs w:val="18"/>
              </w:rPr>
              <w:t>o</w:t>
            </w:r>
            <w:r w:rsidRPr="00A51E75">
              <w:rPr>
                <w:rFonts w:asciiTheme="minorHAnsi" w:hAnsiTheme="minorHAnsi" w:cstheme="minorHAnsi"/>
                <w:b/>
                <w:sz w:val="18"/>
                <w:szCs w:val="18"/>
              </w:rPr>
              <w:t>s</w:t>
            </w:r>
          </w:p>
        </w:tc>
        <w:tc>
          <w:tcPr>
            <w:tcW w:w="588" w:type="pct"/>
            <w:shd w:val="clear" w:color="auto" w:fill="FFCC00"/>
          </w:tcPr>
          <w:p w14:paraId="707A20F0" w14:textId="24473C1E" w:rsidR="00E77E71" w:rsidRPr="002F2490" w:rsidRDefault="008C7B18" w:rsidP="008907C1">
            <w:pPr>
              <w:spacing w:before="40" w:after="40"/>
              <w:jc w:val="center"/>
              <w:rPr>
                <w:rFonts w:asciiTheme="minorHAnsi" w:eastAsia="Arial Narrow" w:hAnsiTheme="minorHAnsi" w:cstheme="minorHAnsi"/>
                <w:b/>
                <w:sz w:val="18"/>
                <w:szCs w:val="18"/>
                <w:lang w:val="es-EC"/>
              </w:rPr>
            </w:pPr>
            <w:r w:rsidRPr="002F2490">
              <w:rPr>
                <w:rFonts w:asciiTheme="minorHAnsi" w:hAnsiTheme="minorHAnsi" w:cstheme="minorHAnsi"/>
                <w:b/>
                <w:sz w:val="18"/>
                <w:szCs w:val="18"/>
                <w:lang w:val="es-EC"/>
              </w:rPr>
              <w:t>Categoría</w:t>
            </w:r>
            <w:r w:rsidR="002F2490" w:rsidRPr="002F2490">
              <w:rPr>
                <w:rFonts w:asciiTheme="minorHAnsi" w:hAnsiTheme="minorHAnsi" w:cstheme="minorHAnsi"/>
                <w:b/>
                <w:sz w:val="18"/>
                <w:szCs w:val="18"/>
                <w:lang w:val="es-EC"/>
              </w:rPr>
              <w:t xml:space="preserve"> y </w:t>
            </w:r>
            <w:proofErr w:type="spellStart"/>
            <w:r w:rsidR="002F2490" w:rsidRPr="002F2490">
              <w:rPr>
                <w:rFonts w:asciiTheme="minorHAnsi" w:hAnsiTheme="minorHAnsi" w:cstheme="minorHAnsi"/>
                <w:b/>
                <w:sz w:val="18"/>
                <w:szCs w:val="18"/>
                <w:lang w:val="es-EC"/>
              </w:rPr>
              <w:t>sub-categoría</w:t>
            </w:r>
            <w:proofErr w:type="spellEnd"/>
            <w:r w:rsidRPr="002F2490">
              <w:rPr>
                <w:rFonts w:asciiTheme="minorHAnsi" w:hAnsiTheme="minorHAnsi" w:cstheme="minorHAnsi"/>
                <w:b/>
                <w:sz w:val="18"/>
                <w:szCs w:val="18"/>
                <w:lang w:val="es-EC"/>
              </w:rPr>
              <w:t xml:space="preserve"> de Riesgo </w:t>
            </w:r>
            <w:r w:rsidR="00E77E71" w:rsidRPr="002F2490">
              <w:rPr>
                <w:rFonts w:asciiTheme="minorHAnsi" w:hAnsiTheme="minorHAnsi" w:cstheme="minorHAnsi"/>
                <w:sz w:val="18"/>
                <w:szCs w:val="18"/>
                <w:lang w:val="es-EC"/>
              </w:rPr>
              <w:t>(</w:t>
            </w:r>
            <w:r w:rsidR="002F2490">
              <w:rPr>
                <w:rFonts w:asciiTheme="minorHAnsi" w:hAnsiTheme="minorHAnsi" w:cstheme="minorHAnsi"/>
                <w:i/>
                <w:sz w:val="18"/>
                <w:szCs w:val="18"/>
                <w:lang w:val="es-EC"/>
              </w:rPr>
              <w:t>incluye el apetito de riesgo</w:t>
            </w:r>
            <w:r w:rsidR="00E77E71" w:rsidRPr="002F2490">
              <w:rPr>
                <w:rFonts w:asciiTheme="minorHAnsi" w:hAnsiTheme="minorHAnsi" w:cstheme="minorHAnsi"/>
                <w:i/>
                <w:sz w:val="18"/>
                <w:szCs w:val="18"/>
                <w:lang w:val="es-EC"/>
              </w:rPr>
              <w:t xml:space="preserve">) </w:t>
            </w:r>
          </w:p>
        </w:tc>
        <w:tc>
          <w:tcPr>
            <w:tcW w:w="503" w:type="pct"/>
            <w:shd w:val="clear" w:color="auto" w:fill="FFCC00"/>
          </w:tcPr>
          <w:p w14:paraId="0AA5627A" w14:textId="77777777" w:rsidR="002F2490" w:rsidRDefault="00E77E71" w:rsidP="002F2490">
            <w:pPr>
              <w:spacing w:before="40" w:after="40"/>
              <w:ind w:left="-117" w:right="-100"/>
              <w:jc w:val="center"/>
              <w:rPr>
                <w:rFonts w:asciiTheme="minorHAnsi" w:hAnsiTheme="minorHAnsi" w:cstheme="minorHAnsi"/>
                <w:b/>
                <w:sz w:val="18"/>
                <w:szCs w:val="18"/>
                <w:lang w:val="es-EC"/>
              </w:rPr>
            </w:pPr>
            <w:r w:rsidRPr="002F2490">
              <w:rPr>
                <w:rFonts w:asciiTheme="minorHAnsi" w:hAnsiTheme="minorHAnsi" w:cstheme="minorHAnsi"/>
                <w:b/>
                <w:sz w:val="18"/>
                <w:szCs w:val="18"/>
                <w:lang w:val="es-EC"/>
              </w:rPr>
              <w:t>Impact</w:t>
            </w:r>
            <w:r w:rsidR="002F2490" w:rsidRPr="002F2490">
              <w:rPr>
                <w:rFonts w:asciiTheme="minorHAnsi" w:hAnsiTheme="minorHAnsi" w:cstheme="minorHAnsi"/>
                <w:b/>
                <w:sz w:val="18"/>
                <w:szCs w:val="18"/>
                <w:lang w:val="es-EC"/>
              </w:rPr>
              <w:t>o, probabilidad y nivel de riesgo</w:t>
            </w:r>
          </w:p>
          <w:p w14:paraId="18945A5A" w14:textId="6652D7DD" w:rsidR="00E77E71" w:rsidRPr="002F2490" w:rsidRDefault="00E77E71" w:rsidP="002F2490">
            <w:pPr>
              <w:spacing w:before="40" w:after="40"/>
              <w:ind w:right="-100"/>
              <w:rPr>
                <w:rFonts w:asciiTheme="minorHAnsi" w:eastAsia="Arial Narrow" w:hAnsiTheme="minorHAnsi" w:cstheme="minorHAnsi"/>
                <w:i/>
                <w:sz w:val="18"/>
                <w:szCs w:val="18"/>
                <w:lang w:val="es-EC"/>
              </w:rPr>
            </w:pPr>
          </w:p>
        </w:tc>
        <w:tc>
          <w:tcPr>
            <w:tcW w:w="442" w:type="pct"/>
            <w:shd w:val="clear" w:color="auto" w:fill="FFCC00"/>
          </w:tcPr>
          <w:p w14:paraId="0E5AFAAD" w14:textId="7CE69184" w:rsidR="00E77E71" w:rsidRPr="00A51E75" w:rsidRDefault="002F2490" w:rsidP="008907C1">
            <w:pPr>
              <w:spacing w:before="40" w:after="40"/>
              <w:jc w:val="center"/>
              <w:rPr>
                <w:rFonts w:asciiTheme="minorHAnsi" w:eastAsia="Arial Narrow" w:hAnsiTheme="minorHAnsi" w:cstheme="minorHAnsi"/>
                <w:b/>
                <w:sz w:val="18"/>
                <w:szCs w:val="18"/>
              </w:rPr>
            </w:pPr>
            <w:r>
              <w:rPr>
                <w:rFonts w:asciiTheme="minorHAnsi" w:hAnsiTheme="minorHAnsi" w:cstheme="minorHAnsi"/>
                <w:b/>
                <w:sz w:val="18"/>
                <w:szCs w:val="18"/>
              </w:rPr>
              <w:t>Periodo de validez del riesgo</w:t>
            </w:r>
          </w:p>
        </w:tc>
        <w:tc>
          <w:tcPr>
            <w:tcW w:w="559" w:type="pct"/>
            <w:shd w:val="clear" w:color="auto" w:fill="FFCC00"/>
          </w:tcPr>
          <w:p w14:paraId="534F795E" w14:textId="384BA36F" w:rsidR="00E77E71" w:rsidRPr="002F2490" w:rsidRDefault="002F2490" w:rsidP="008907C1">
            <w:pPr>
              <w:spacing w:before="40" w:after="40"/>
              <w:jc w:val="center"/>
              <w:rPr>
                <w:rFonts w:asciiTheme="minorHAnsi" w:eastAsia="Arial Narrow" w:hAnsiTheme="minorHAnsi" w:cstheme="minorHAnsi"/>
                <w:b/>
                <w:sz w:val="18"/>
                <w:szCs w:val="18"/>
                <w:lang w:val="es-EC"/>
              </w:rPr>
            </w:pPr>
            <w:proofErr w:type="spellStart"/>
            <w:r w:rsidRPr="002F2490">
              <w:rPr>
                <w:rFonts w:asciiTheme="minorHAnsi" w:hAnsiTheme="minorHAnsi" w:cstheme="minorHAnsi"/>
                <w:b/>
                <w:sz w:val="18"/>
                <w:szCs w:val="18"/>
                <w:lang w:val="es-EC"/>
              </w:rPr>
              <w:t>Responsible</w:t>
            </w:r>
            <w:proofErr w:type="spellEnd"/>
            <w:r w:rsidRPr="002F2490">
              <w:rPr>
                <w:rFonts w:asciiTheme="minorHAnsi" w:hAnsiTheme="minorHAnsi" w:cstheme="minorHAnsi"/>
                <w:b/>
                <w:sz w:val="18"/>
                <w:szCs w:val="18"/>
                <w:lang w:val="es-EC"/>
              </w:rPr>
              <w:t xml:space="preserve"> de la </w:t>
            </w:r>
            <w:proofErr w:type="spellStart"/>
            <w:r w:rsidRPr="002F2490">
              <w:rPr>
                <w:rFonts w:asciiTheme="minorHAnsi" w:hAnsiTheme="minorHAnsi" w:cstheme="minorHAnsi"/>
                <w:b/>
                <w:sz w:val="18"/>
                <w:szCs w:val="18"/>
                <w:lang w:val="es-EC"/>
              </w:rPr>
              <w:t>gestion</w:t>
            </w:r>
            <w:proofErr w:type="spellEnd"/>
            <w:r w:rsidRPr="002F2490">
              <w:rPr>
                <w:rFonts w:asciiTheme="minorHAnsi" w:hAnsiTheme="minorHAnsi" w:cstheme="minorHAnsi"/>
                <w:b/>
                <w:sz w:val="18"/>
                <w:szCs w:val="18"/>
                <w:lang w:val="es-EC"/>
              </w:rPr>
              <w:t xml:space="preserve"> d</w:t>
            </w:r>
            <w:r>
              <w:rPr>
                <w:rFonts w:asciiTheme="minorHAnsi" w:hAnsiTheme="minorHAnsi" w:cstheme="minorHAnsi"/>
                <w:b/>
                <w:sz w:val="18"/>
                <w:szCs w:val="18"/>
                <w:lang w:val="es-EC"/>
              </w:rPr>
              <w:t>el riesgo</w:t>
            </w:r>
          </w:p>
          <w:p w14:paraId="2AEFDFAB" w14:textId="06756808" w:rsidR="00E77E71" w:rsidRPr="00E36DA5" w:rsidRDefault="00E77E71" w:rsidP="008907C1">
            <w:pPr>
              <w:spacing w:before="40" w:after="40"/>
              <w:jc w:val="center"/>
              <w:rPr>
                <w:rFonts w:asciiTheme="minorHAnsi" w:eastAsia="Arial Narrow" w:hAnsiTheme="minorHAnsi" w:cstheme="minorHAnsi"/>
                <w:i/>
                <w:sz w:val="18"/>
                <w:szCs w:val="18"/>
                <w:lang w:val="es-EC"/>
              </w:rPr>
            </w:pPr>
            <w:r w:rsidRPr="00E36DA5">
              <w:rPr>
                <w:rFonts w:asciiTheme="minorHAnsi" w:hAnsiTheme="minorHAnsi" w:cstheme="minorHAnsi"/>
                <w:i/>
                <w:sz w:val="18"/>
                <w:szCs w:val="18"/>
                <w:lang w:val="es-EC"/>
              </w:rPr>
              <w:t>(</w:t>
            </w:r>
            <w:r w:rsidR="002F2490" w:rsidRPr="00E36DA5">
              <w:rPr>
                <w:rFonts w:asciiTheme="minorHAnsi" w:hAnsiTheme="minorHAnsi" w:cstheme="minorHAnsi"/>
                <w:i/>
                <w:sz w:val="18"/>
                <w:szCs w:val="18"/>
                <w:lang w:val="es-EC"/>
              </w:rPr>
              <w:t xml:space="preserve">equipo </w:t>
            </w:r>
            <w:proofErr w:type="spellStart"/>
            <w:r w:rsidR="002F2490" w:rsidRPr="00E36DA5">
              <w:rPr>
                <w:rFonts w:asciiTheme="minorHAnsi" w:hAnsiTheme="minorHAnsi" w:cstheme="minorHAnsi"/>
                <w:i/>
                <w:sz w:val="18"/>
                <w:szCs w:val="18"/>
                <w:lang w:val="es-EC"/>
              </w:rPr>
              <w:t>responsible</w:t>
            </w:r>
            <w:proofErr w:type="spellEnd"/>
            <w:r w:rsidR="002F2490" w:rsidRPr="00E36DA5">
              <w:rPr>
                <w:rFonts w:asciiTheme="minorHAnsi" w:hAnsiTheme="minorHAnsi" w:cstheme="minorHAnsi"/>
                <w:i/>
                <w:sz w:val="18"/>
                <w:szCs w:val="18"/>
                <w:lang w:val="es-EC"/>
              </w:rPr>
              <w:t xml:space="preserve"> </w:t>
            </w:r>
            <w:r w:rsidR="00E36DA5" w:rsidRPr="00E36DA5">
              <w:rPr>
                <w:rFonts w:asciiTheme="minorHAnsi" w:hAnsiTheme="minorHAnsi" w:cstheme="minorHAnsi"/>
                <w:i/>
                <w:sz w:val="18"/>
                <w:szCs w:val="18"/>
                <w:lang w:val="es-EC"/>
              </w:rPr>
              <w:t xml:space="preserve">de gestionar el </w:t>
            </w:r>
            <w:proofErr w:type="spellStart"/>
            <w:r w:rsidR="00E36DA5" w:rsidRPr="00E36DA5">
              <w:rPr>
                <w:rFonts w:asciiTheme="minorHAnsi" w:hAnsiTheme="minorHAnsi" w:cstheme="minorHAnsi"/>
                <w:i/>
                <w:sz w:val="18"/>
                <w:szCs w:val="18"/>
                <w:lang w:val="es-EC"/>
              </w:rPr>
              <w:t>riesgo</w:t>
            </w:r>
            <w:r w:rsidRPr="00E36DA5">
              <w:rPr>
                <w:rFonts w:asciiTheme="minorHAnsi" w:hAnsiTheme="minorHAnsi" w:cstheme="minorHAnsi"/>
                <w:i/>
                <w:sz w:val="18"/>
                <w:szCs w:val="18"/>
                <w:lang w:val="es-EC"/>
              </w:rPr>
              <w:t>k</w:t>
            </w:r>
            <w:proofErr w:type="spellEnd"/>
            <w:r w:rsidRPr="00E36DA5">
              <w:rPr>
                <w:rFonts w:asciiTheme="minorHAnsi" w:hAnsiTheme="minorHAnsi" w:cstheme="minorHAnsi"/>
                <w:i/>
                <w:sz w:val="18"/>
                <w:szCs w:val="18"/>
                <w:lang w:val="es-EC"/>
              </w:rPr>
              <w:t>)</w:t>
            </w:r>
          </w:p>
        </w:tc>
        <w:tc>
          <w:tcPr>
            <w:tcW w:w="787" w:type="pct"/>
            <w:shd w:val="clear" w:color="auto" w:fill="FFCC00"/>
          </w:tcPr>
          <w:p w14:paraId="4F6478C3" w14:textId="3A70B73D" w:rsidR="00E77E71" w:rsidRPr="00E36DA5" w:rsidRDefault="00E36DA5" w:rsidP="008907C1">
            <w:pPr>
              <w:spacing w:before="40" w:after="40"/>
              <w:jc w:val="center"/>
              <w:rPr>
                <w:rFonts w:asciiTheme="minorHAnsi" w:eastAsia="Arial Narrow" w:hAnsiTheme="minorHAnsi" w:cstheme="minorHAnsi"/>
                <w:i/>
                <w:sz w:val="18"/>
                <w:szCs w:val="18"/>
                <w:lang w:val="es-EC"/>
              </w:rPr>
            </w:pPr>
            <w:r w:rsidRPr="00E36DA5">
              <w:rPr>
                <w:rFonts w:asciiTheme="minorHAnsi" w:hAnsiTheme="minorHAnsi" w:cstheme="minorHAnsi"/>
                <w:b/>
                <w:sz w:val="18"/>
                <w:szCs w:val="18"/>
                <w:lang w:val="es-EC"/>
              </w:rPr>
              <w:t>Tratamiento del riesgo y responsable del tratam</w:t>
            </w:r>
            <w:r>
              <w:rPr>
                <w:rFonts w:asciiTheme="minorHAnsi" w:hAnsiTheme="minorHAnsi" w:cstheme="minorHAnsi"/>
                <w:b/>
                <w:sz w:val="18"/>
                <w:szCs w:val="18"/>
                <w:lang w:val="es-EC"/>
              </w:rPr>
              <w:t>iento</w:t>
            </w:r>
          </w:p>
        </w:tc>
      </w:tr>
      <w:tr w:rsidR="00A6422E" w:rsidRPr="003F2D22" w14:paraId="2E7E3697" w14:textId="77777777" w:rsidTr="232F237D">
        <w:trPr>
          <w:trHeight w:val="4793"/>
        </w:trPr>
        <w:tc>
          <w:tcPr>
            <w:tcW w:w="167" w:type="pct"/>
          </w:tcPr>
          <w:p w14:paraId="6297DFFF" w14:textId="2DF7DE75"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3"/>
                <w:id w:val="1170450019"/>
              </w:sdtPr>
              <w:sdtContent/>
            </w:sdt>
            <w:sdt>
              <w:sdtPr>
                <w:rPr>
                  <w:rFonts w:asciiTheme="minorHAnsi" w:hAnsiTheme="minorHAnsi" w:cstheme="minorHAnsi"/>
                  <w:sz w:val="18"/>
                  <w:szCs w:val="18"/>
                </w:rPr>
                <w:tag w:val="goog_rdk_59"/>
                <w:id w:val="1181321517"/>
              </w:sdtPr>
              <w:sdtContent>
                <w:sdt>
                  <w:sdtPr>
                    <w:rPr>
                      <w:rFonts w:asciiTheme="minorHAnsi" w:hAnsiTheme="minorHAnsi" w:cstheme="minorHAnsi"/>
                      <w:sz w:val="18"/>
                      <w:szCs w:val="18"/>
                    </w:rPr>
                    <w:tag w:val="goog_rdk_58"/>
                    <w:id w:val="1673224780"/>
                  </w:sdtPr>
                  <w:sdtContent>
                    <w:r w:rsidR="00E77E71" w:rsidRPr="00A51E75">
                      <w:rPr>
                        <w:rFonts w:asciiTheme="minorHAnsi" w:hAnsiTheme="minorHAnsi" w:cstheme="minorHAnsi"/>
                        <w:sz w:val="18"/>
                        <w:szCs w:val="18"/>
                      </w:rPr>
                      <w:t>1</w:t>
                    </w:r>
                  </w:sdtContent>
                </w:sdt>
              </w:sdtContent>
            </w:sdt>
          </w:p>
        </w:tc>
        <w:tc>
          <w:tcPr>
            <w:tcW w:w="651" w:type="pct"/>
          </w:tcPr>
          <w:sdt>
            <w:sdtPr>
              <w:rPr>
                <w:rFonts w:asciiTheme="minorHAnsi" w:hAnsiTheme="minorHAnsi" w:cstheme="minorBidi"/>
                <w:sz w:val="18"/>
                <w:szCs w:val="18"/>
              </w:rPr>
              <w:tag w:val="goog_rdk_61"/>
              <w:id w:val="1265725393"/>
            </w:sdtPr>
            <w:sdtContent>
              <w:p w14:paraId="777934AA" w14:textId="27B0F910"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60"/>
                    <w:id w:val="-672260828"/>
                  </w:sdtPr>
                  <w:sdtContent>
                    <w:r w:rsidR="00EE6487">
                      <w:t xml:space="preserve"> </w:t>
                    </w:r>
                    <w:r w:rsidR="00EE6487" w:rsidRPr="00EE6487">
                      <w:rPr>
                        <w:rFonts w:asciiTheme="minorHAnsi" w:hAnsiTheme="minorHAnsi" w:cstheme="minorHAnsi"/>
                        <w:sz w:val="18"/>
                        <w:szCs w:val="18"/>
                      </w:rPr>
                      <w:t xml:space="preserve">Político y Gobernanza </w:t>
                    </w:r>
                  </w:sdtContent>
                </w:sdt>
              </w:p>
            </w:sdtContent>
          </w:sdt>
        </w:tc>
        <w:tc>
          <w:tcPr>
            <w:tcW w:w="651" w:type="pct"/>
          </w:tcPr>
          <w:sdt>
            <w:sdtPr>
              <w:rPr>
                <w:rFonts w:asciiTheme="minorHAnsi" w:hAnsiTheme="minorHAnsi" w:cstheme="minorBidi"/>
                <w:sz w:val="18"/>
                <w:szCs w:val="18"/>
              </w:rPr>
              <w:tag w:val="goog_rdk_63"/>
              <w:id w:val="43805449"/>
            </w:sdtPr>
            <w:sdtContent>
              <w:p w14:paraId="7FE667B2" w14:textId="5D1FDA14"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62"/>
                    <w:id w:val="166140605"/>
                  </w:sdtPr>
                  <w:sdtContent>
                    <w:r w:rsidR="0053304E">
                      <w:t xml:space="preserve"> </w:t>
                    </w:r>
                    <w:r w:rsidR="0053304E" w:rsidRPr="0053304E">
                      <w:rPr>
                        <w:rFonts w:asciiTheme="minorHAnsi" w:hAnsiTheme="minorHAnsi" w:cstheme="minorHAnsi"/>
                        <w:sz w:val="18"/>
                        <w:szCs w:val="18"/>
                        <w:lang w:val="es-EC"/>
                      </w:rPr>
                      <w:t>El riesgo es transversal a todos los componentes del proyecto.</w:t>
                    </w:r>
                  </w:sdtContent>
                </w:sdt>
              </w:p>
            </w:sdtContent>
          </w:sdt>
        </w:tc>
        <w:tc>
          <w:tcPr>
            <w:tcW w:w="652" w:type="pct"/>
          </w:tcPr>
          <w:sdt>
            <w:sdtPr>
              <w:rPr>
                <w:rFonts w:asciiTheme="minorHAnsi" w:hAnsiTheme="minorHAnsi" w:cstheme="minorBidi"/>
                <w:sz w:val="18"/>
                <w:szCs w:val="18"/>
              </w:rPr>
              <w:tag w:val="goog_rdk_65"/>
              <w:id w:val="-2090074293"/>
            </w:sdtPr>
            <w:sdtContent>
              <w:p w14:paraId="4525274D" w14:textId="7A23028F" w:rsidR="00E77E71" w:rsidRPr="00990E16"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64"/>
                    <w:id w:val="-1787112654"/>
                  </w:sdtPr>
                  <w:sdtContent>
                    <w:r w:rsidR="00990E16">
                      <w:t xml:space="preserve"> </w:t>
                    </w:r>
                    <w:r w:rsidR="00990E16" w:rsidRPr="00990E16">
                      <w:rPr>
                        <w:rFonts w:asciiTheme="minorHAnsi" w:hAnsiTheme="minorHAnsi" w:cstheme="minorHAnsi"/>
                        <w:sz w:val="18"/>
                        <w:szCs w:val="18"/>
                        <w:lang w:val="es-EC"/>
                      </w:rPr>
                      <w:t>Los riesgos políticos y de gobernanza podrían afectar la efectividad del proyecto al retrasar la toma de decisiones, debilitar la coordinación institucional o limitar la aplicación de medidas de gestión sostenible de la tierra y la biodiversidad</w:t>
                    </w:r>
                    <w:r w:rsidR="00E77E71" w:rsidRPr="00990E16">
                      <w:rPr>
                        <w:rFonts w:asciiTheme="minorHAnsi" w:hAnsiTheme="minorHAnsi" w:cstheme="minorHAnsi"/>
                        <w:sz w:val="18"/>
                        <w:szCs w:val="18"/>
                        <w:lang w:val="es-EC"/>
                      </w:rPr>
                      <w:t>;</w:t>
                    </w:r>
                  </w:sdtContent>
                </w:sdt>
              </w:p>
            </w:sdtContent>
          </w:sdt>
        </w:tc>
        <w:tc>
          <w:tcPr>
            <w:tcW w:w="588" w:type="pct"/>
            <w:tcMar>
              <w:top w:w="0" w:type="dxa"/>
              <w:left w:w="180" w:type="dxa"/>
              <w:bottom w:w="0" w:type="dxa"/>
              <w:right w:w="180" w:type="dxa"/>
            </w:tcMar>
          </w:tcPr>
          <w:sdt>
            <w:sdtPr>
              <w:rPr>
                <w:rFonts w:asciiTheme="minorHAnsi" w:hAnsiTheme="minorHAnsi" w:cstheme="minorBidi"/>
                <w:sz w:val="18"/>
                <w:szCs w:val="18"/>
              </w:rPr>
              <w:tag w:val="goog_rdk_67"/>
              <w:id w:val="2121565564"/>
            </w:sdtPr>
            <w:sdtContent>
              <w:p w14:paraId="3D6196C1" w14:textId="2334CE7C" w:rsidR="00E77E71" w:rsidRPr="003F6E24" w:rsidRDefault="00000000" w:rsidP="008907C1">
                <w:pPr>
                  <w:spacing w:after="140"/>
                  <w:rPr>
                    <w:rFonts w:asciiTheme="minorHAnsi" w:hAnsiTheme="minorHAnsi" w:cstheme="minorHAnsi"/>
                    <w:sz w:val="18"/>
                    <w:szCs w:val="18"/>
                    <w:lang w:val="es-EC"/>
                  </w:rPr>
                </w:pPr>
                <w:sdt>
                  <w:sdtPr>
                    <w:rPr>
                      <w:rFonts w:asciiTheme="minorHAnsi" w:hAnsiTheme="minorHAnsi" w:cstheme="minorHAnsi"/>
                      <w:sz w:val="18"/>
                      <w:szCs w:val="18"/>
                    </w:rPr>
                    <w:tag w:val="goog_rdk_66"/>
                    <w:id w:val="1089746416"/>
                  </w:sdtPr>
                  <w:sdtContent>
                    <w:r w:rsidR="003F6E24">
                      <w:rPr>
                        <w:rFonts w:asciiTheme="minorHAnsi" w:hAnsiTheme="minorHAnsi" w:cstheme="minorHAnsi"/>
                        <w:sz w:val="18"/>
                        <w:szCs w:val="18"/>
                      </w:rPr>
                      <w:t>7.</w:t>
                    </w:r>
                    <w:r w:rsidR="003F6E24">
                      <w:t xml:space="preserve"> </w:t>
                    </w:r>
                    <w:r w:rsidR="003F6E24" w:rsidRPr="003F6E24">
                      <w:rPr>
                        <w:rFonts w:asciiTheme="minorHAnsi" w:hAnsiTheme="minorHAnsi" w:cstheme="minorHAnsi"/>
                        <w:sz w:val="18"/>
                        <w:szCs w:val="18"/>
                      </w:rPr>
                      <w:t>ESTRATÉGICO (7.5. Compromiso gubernamental) - Apetito de riesgo del PNUD: ABIERTO A LA BÚSQUEDA</w:t>
                    </w:r>
                  </w:sdtContent>
                </w:sdt>
              </w:p>
            </w:sdtContent>
          </w:sdt>
        </w:tc>
        <w:tc>
          <w:tcPr>
            <w:tcW w:w="503" w:type="pct"/>
          </w:tcPr>
          <w:p w14:paraId="7753412D" w14:textId="4FB3E55F" w:rsidR="00FB36A9" w:rsidRPr="00FB36A9" w:rsidRDefault="00000000" w:rsidP="00FB36A9">
            <w:pPr>
              <w:spacing w:before="144"/>
              <w:rPr>
                <w:rFonts w:asciiTheme="minorHAnsi" w:hAnsiTheme="minorHAnsi" w:cstheme="minorHAnsi"/>
                <w:sz w:val="18"/>
                <w:szCs w:val="18"/>
              </w:rPr>
            </w:pPr>
            <w:sdt>
              <w:sdtPr>
                <w:rPr>
                  <w:rFonts w:asciiTheme="minorHAnsi" w:hAnsiTheme="minorHAnsi" w:cstheme="minorBidi"/>
                  <w:sz w:val="18"/>
                  <w:szCs w:val="18"/>
                </w:rPr>
                <w:tag w:val="goog_rdk_69"/>
                <w:id w:val="442731058"/>
              </w:sdtPr>
              <w:sdtEndPr>
                <w:rPr>
                  <w:rFonts w:ascii="Times New Roman" w:hAnsi="Times New Roman" w:cs="Times New Roman"/>
                  <w:sz w:val="24"/>
                  <w:szCs w:val="24"/>
                </w:rPr>
              </w:sdtEndPr>
              <w:sdtContent/>
            </w:sdt>
            <w:r w:rsidR="00FB36A9">
              <w:t xml:space="preserve"> </w:t>
            </w:r>
            <w:r w:rsidR="00FB36A9" w:rsidRPr="00FB36A9">
              <w:rPr>
                <w:rFonts w:asciiTheme="minorHAnsi" w:hAnsiTheme="minorHAnsi" w:cstheme="minorHAnsi"/>
                <w:sz w:val="18"/>
                <w:szCs w:val="18"/>
              </w:rPr>
              <w:t>Probabilidad: 4 - Muy probable</w:t>
            </w:r>
          </w:p>
          <w:p w14:paraId="4FF8449F" w14:textId="50B82918" w:rsidR="00FB36A9" w:rsidRDefault="00FB36A9" w:rsidP="00FB36A9">
            <w:pPr>
              <w:spacing w:before="144"/>
              <w:rPr>
                <w:rFonts w:asciiTheme="minorHAnsi" w:hAnsiTheme="minorHAnsi" w:cstheme="minorHAnsi"/>
                <w:sz w:val="18"/>
                <w:szCs w:val="18"/>
              </w:rPr>
            </w:pPr>
            <w:r w:rsidRPr="00FB36A9">
              <w:rPr>
                <w:rFonts w:asciiTheme="minorHAnsi" w:hAnsiTheme="minorHAnsi" w:cstheme="minorHAnsi"/>
                <w:sz w:val="18"/>
                <w:szCs w:val="18"/>
              </w:rPr>
              <w:t xml:space="preserve">Impacto: 3 </w:t>
            </w:r>
            <w:r>
              <w:rPr>
                <w:rFonts w:asciiTheme="minorHAnsi" w:hAnsiTheme="minorHAnsi" w:cstheme="minorHAnsi"/>
                <w:sz w:val="18"/>
                <w:szCs w:val="18"/>
              </w:rPr>
              <w:t>–</w:t>
            </w:r>
            <w:r w:rsidRPr="00FB36A9">
              <w:rPr>
                <w:rFonts w:asciiTheme="minorHAnsi" w:hAnsiTheme="minorHAnsi" w:cstheme="minorHAnsi"/>
                <w:sz w:val="18"/>
                <w:szCs w:val="18"/>
              </w:rPr>
              <w:t xml:space="preserve"> Intermedio</w:t>
            </w:r>
          </w:p>
          <w:p w14:paraId="39E3C997" w14:textId="77777777" w:rsidR="00FB36A9" w:rsidRPr="00FB36A9" w:rsidRDefault="00FB36A9" w:rsidP="00FB36A9">
            <w:pPr>
              <w:spacing w:before="144"/>
              <w:rPr>
                <w:rFonts w:asciiTheme="minorHAnsi" w:hAnsiTheme="minorHAnsi" w:cstheme="minorHAnsi"/>
                <w:sz w:val="18"/>
                <w:szCs w:val="18"/>
              </w:rPr>
            </w:pPr>
          </w:p>
          <w:p w14:paraId="45AC3BCE" w14:textId="026D698C" w:rsidR="00E77E71" w:rsidRPr="00FB36A9" w:rsidRDefault="00FB36A9" w:rsidP="00FB36A9">
            <w:pPr>
              <w:spacing w:after="144"/>
              <w:rPr>
                <w:rFonts w:asciiTheme="minorHAnsi" w:hAnsiTheme="minorHAnsi" w:cstheme="minorHAnsi"/>
                <w:sz w:val="18"/>
                <w:szCs w:val="18"/>
                <w:lang w:val="es-EC"/>
              </w:rPr>
            </w:pPr>
            <w:r w:rsidRPr="00FB36A9">
              <w:rPr>
                <w:rFonts w:asciiTheme="minorHAnsi" w:hAnsiTheme="minorHAnsi" w:cstheme="minorHAnsi"/>
                <w:sz w:val="18"/>
                <w:szCs w:val="18"/>
              </w:rPr>
              <w:t>Nivel de riesgo: MODERADO (equivale a un apetito de riesgo EXPLORATORIO)</w:t>
            </w:r>
          </w:p>
        </w:tc>
        <w:tc>
          <w:tcPr>
            <w:tcW w:w="442" w:type="pct"/>
          </w:tcPr>
          <w:sdt>
            <w:sdtPr>
              <w:rPr>
                <w:rFonts w:asciiTheme="minorHAnsi" w:hAnsiTheme="minorHAnsi" w:cstheme="minorBidi"/>
                <w:sz w:val="18"/>
                <w:szCs w:val="18"/>
              </w:rPr>
              <w:tag w:val="goog_rdk_85"/>
              <w:id w:val="-1908217946"/>
            </w:sdtPr>
            <w:sdtContent>
              <w:p w14:paraId="7B7F3AA1" w14:textId="0050819B"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84"/>
                    <w:id w:val="-577363016"/>
                  </w:sdtPr>
                  <w:sdtContent>
                    <w:r w:rsidR="00FB36A9">
                      <w:rPr>
                        <w:rFonts w:asciiTheme="minorHAnsi" w:hAnsiTheme="minorHAnsi" w:cstheme="minorHAnsi"/>
                        <w:sz w:val="18"/>
                        <w:szCs w:val="18"/>
                      </w:rPr>
                      <w:t>Desde</w:t>
                    </w:r>
                    <w:r w:rsidR="00E77E71" w:rsidRPr="00A51E75">
                      <w:rPr>
                        <w:rFonts w:asciiTheme="minorHAnsi" w:hAnsiTheme="minorHAnsi" w:cstheme="minorHAnsi"/>
                        <w:sz w:val="18"/>
                        <w:szCs w:val="18"/>
                      </w:rPr>
                      <w:t>: 01-Jun-26</w:t>
                    </w:r>
                  </w:sdtContent>
                </w:sdt>
              </w:p>
            </w:sdtContent>
          </w:sdt>
          <w:sdt>
            <w:sdtPr>
              <w:rPr>
                <w:rFonts w:asciiTheme="minorHAnsi" w:hAnsiTheme="minorHAnsi" w:cstheme="minorBidi"/>
                <w:sz w:val="18"/>
                <w:szCs w:val="18"/>
              </w:rPr>
              <w:tag w:val="goog_rdk_87"/>
              <w:id w:val="-392825351"/>
            </w:sdtPr>
            <w:sdtContent>
              <w:p w14:paraId="5AF928CC" w14:textId="77777777" w:rsidR="00E77E71" w:rsidRPr="00A51E75" w:rsidRDefault="00000000" w:rsidP="008907C1">
                <w:pPr>
                  <w:rPr>
                    <w:rFonts w:asciiTheme="minorHAnsi" w:hAnsiTheme="minorHAnsi" w:cstheme="minorHAnsi"/>
                    <w:sz w:val="18"/>
                    <w:szCs w:val="18"/>
                  </w:rPr>
                </w:pPr>
                <w:sdt>
                  <w:sdtPr>
                    <w:rPr>
                      <w:rFonts w:asciiTheme="minorHAnsi" w:hAnsiTheme="minorHAnsi" w:cstheme="minorHAnsi"/>
                      <w:sz w:val="18"/>
                      <w:szCs w:val="18"/>
                    </w:rPr>
                    <w:tag w:val="goog_rdk_86"/>
                    <w:id w:val="1103919884"/>
                  </w:sdtPr>
                  <w:sdtContent/>
                </w:sdt>
              </w:p>
            </w:sdtContent>
          </w:sdt>
          <w:sdt>
            <w:sdtPr>
              <w:rPr>
                <w:rFonts w:asciiTheme="minorHAnsi" w:hAnsiTheme="minorHAnsi" w:cstheme="minorBidi"/>
                <w:sz w:val="18"/>
                <w:szCs w:val="18"/>
              </w:rPr>
              <w:tag w:val="goog_rdk_89"/>
              <w:id w:val="1592506594"/>
            </w:sdtPr>
            <w:sdtContent>
              <w:p w14:paraId="239F131F" w14:textId="74F29628" w:rsidR="00E77E71" w:rsidRPr="00A51E75" w:rsidRDefault="00000000" w:rsidP="008907C1">
                <w:pPr>
                  <w:spacing w:after="144"/>
                  <w:rPr>
                    <w:rFonts w:asciiTheme="minorHAnsi" w:hAnsiTheme="minorHAnsi" w:cstheme="minorHAnsi"/>
                    <w:sz w:val="18"/>
                    <w:szCs w:val="18"/>
                  </w:rPr>
                </w:pPr>
                <w:sdt>
                  <w:sdtPr>
                    <w:rPr>
                      <w:rFonts w:asciiTheme="minorHAnsi" w:hAnsiTheme="minorHAnsi" w:cstheme="minorHAnsi"/>
                      <w:sz w:val="18"/>
                      <w:szCs w:val="18"/>
                    </w:rPr>
                    <w:tag w:val="goog_rdk_88"/>
                    <w:id w:val="-831605416"/>
                  </w:sdtPr>
                  <w:sdtContent>
                    <w:r w:rsidR="00FB36A9">
                      <w:rPr>
                        <w:rFonts w:asciiTheme="minorHAnsi" w:hAnsiTheme="minorHAnsi" w:cstheme="minorHAnsi"/>
                        <w:sz w:val="18"/>
                        <w:szCs w:val="18"/>
                      </w:rPr>
                      <w:t>Hasta</w:t>
                    </w:r>
                    <w:r w:rsidR="00E77E71" w:rsidRPr="00A51E75">
                      <w:rPr>
                        <w:rFonts w:asciiTheme="minorHAnsi" w:hAnsiTheme="minorHAnsi" w:cstheme="minorHAnsi"/>
                        <w:sz w:val="18"/>
                        <w:szCs w:val="18"/>
                      </w:rPr>
                      <w:t>: 01-Jun-31</w:t>
                    </w:r>
                  </w:sdtContent>
                </w:sdt>
              </w:p>
            </w:sdtContent>
          </w:sdt>
        </w:tc>
        <w:tc>
          <w:tcPr>
            <w:tcW w:w="559" w:type="pct"/>
          </w:tcPr>
          <w:sdt>
            <w:sdtPr>
              <w:rPr>
                <w:rFonts w:asciiTheme="minorHAnsi" w:hAnsiTheme="minorHAnsi" w:cstheme="minorBidi"/>
                <w:sz w:val="18"/>
                <w:szCs w:val="18"/>
              </w:rPr>
              <w:tag w:val="goog_rdk_91"/>
              <w:id w:val="68468046"/>
            </w:sdtPr>
            <w:sdtContent>
              <w:p w14:paraId="28AD4D27" w14:textId="12628338"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90"/>
                    <w:id w:val="464316338"/>
                  </w:sdtPr>
                  <w:sdtContent>
                    <w:r w:rsidR="004319ED">
                      <w:t xml:space="preserve"> </w:t>
                    </w:r>
                    <w:r w:rsidR="004319ED" w:rsidRPr="004319ED">
                      <w:rPr>
                        <w:rFonts w:asciiTheme="minorHAnsi" w:hAnsiTheme="minorHAnsi" w:cstheme="minorHAnsi"/>
                        <w:sz w:val="18"/>
                        <w:szCs w:val="18"/>
                        <w:lang w:val="es-EC"/>
                      </w:rPr>
                      <w:t xml:space="preserve">Socio implementador, MAE y UGP </w:t>
                    </w:r>
                  </w:sdtContent>
                </w:sdt>
              </w:p>
            </w:sdtContent>
          </w:sdt>
          <w:sdt>
            <w:sdtPr>
              <w:rPr>
                <w:rFonts w:asciiTheme="minorHAnsi" w:hAnsiTheme="minorHAnsi" w:cstheme="minorBidi"/>
                <w:sz w:val="18"/>
                <w:szCs w:val="18"/>
              </w:rPr>
              <w:tag w:val="goog_rdk_93"/>
              <w:id w:val="215025546"/>
            </w:sdtPr>
            <w:sdtContent>
              <w:p w14:paraId="1B75902F" w14:textId="77777777"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92"/>
                    <w:id w:val="-1025551866"/>
                  </w:sdtPr>
                  <w:sdtContent/>
                </w:sdt>
              </w:p>
            </w:sdtContent>
          </w:sdt>
        </w:tc>
        <w:tc>
          <w:tcPr>
            <w:tcW w:w="787" w:type="pct"/>
          </w:tcPr>
          <w:sdt>
            <w:sdtPr>
              <w:rPr>
                <w:rFonts w:asciiTheme="minorHAnsi" w:hAnsiTheme="minorHAnsi" w:cstheme="minorBidi"/>
                <w:sz w:val="18"/>
                <w:szCs w:val="18"/>
              </w:rPr>
              <w:tag w:val="goog_rdk_95"/>
              <w:id w:val="166611591"/>
            </w:sdtPr>
            <w:sdtContent>
              <w:p w14:paraId="08292BB3" w14:textId="6E8355F1" w:rsidR="00E77E71" w:rsidRPr="003F2D22" w:rsidRDefault="00000000" w:rsidP="008907C1">
                <w:pPr>
                  <w:spacing w:before="40"/>
                  <w:rPr>
                    <w:rFonts w:asciiTheme="minorHAnsi" w:hAnsiTheme="minorHAnsi" w:cstheme="minorHAnsi"/>
                    <w:sz w:val="18"/>
                    <w:szCs w:val="18"/>
                    <w:lang w:val="es-EC"/>
                  </w:rPr>
                </w:pPr>
                <w:sdt>
                  <w:sdtPr>
                    <w:rPr>
                      <w:rFonts w:asciiTheme="minorHAnsi" w:hAnsiTheme="minorHAnsi" w:cstheme="minorHAnsi"/>
                      <w:sz w:val="18"/>
                      <w:szCs w:val="18"/>
                    </w:rPr>
                    <w:tag w:val="goog_rdk_94"/>
                    <w:id w:val="-1988463566"/>
                  </w:sdtPr>
                  <w:sdtContent>
                    <w:r w:rsidR="003F2D22">
                      <w:t xml:space="preserve"> </w:t>
                    </w:r>
                    <w:r w:rsidR="003F2D22" w:rsidRPr="003F2D22">
                      <w:rPr>
                        <w:rFonts w:asciiTheme="minorHAnsi" w:hAnsiTheme="minorHAnsi" w:cstheme="minorHAnsi"/>
                        <w:sz w:val="18"/>
                        <w:szCs w:val="18"/>
                      </w:rPr>
                      <w:t xml:space="preserve">Las medidas de mitigación incluyen el establecimiento de acuerdos formales con el Ministerio del Ambiente, Agua y Transición Ecológica (MAE), el uso de mecanismos REDD+ como la Mesa REDD+ para asegurar la alineación con las políticas nacionales de clima y bosques, y el fortalecimiento de plataformas interinstitucionales. Estas plataformas fomentan la coordinación entre los gobiernos autónomos descentralizados (GAD), organizaciones indígenas, comunidades locales, instituciones financieras y entidades académicas. El proyecto promueve la formación y operación de un mecanismo de gobernanza multinivel para la Cuenca del Río Napo, alineado con instrumentos de gestión territorial como </w:t>
                    </w:r>
                    <w:r w:rsidR="003F2D22" w:rsidRPr="003F2D22">
                      <w:rPr>
                        <w:rFonts w:asciiTheme="minorHAnsi" w:hAnsiTheme="minorHAnsi" w:cstheme="minorHAnsi"/>
                        <w:sz w:val="18"/>
                        <w:szCs w:val="18"/>
                      </w:rPr>
                      <w:lastRenderedPageBreak/>
                      <w:t xml:space="preserve">los Planes de Desarrollo y Ordenamiento Territorial (PDOT) y los Planes de Vida de las comunidades indígenas. Las estrategias de mitigación específicas incluyen la firma de acuerdos interinstitucionales de cooperación, desarrollo de planes de </w:t>
                    </w:r>
                    <w:proofErr w:type="spellStart"/>
                    <w:r w:rsidR="003F2D22" w:rsidRPr="003F2D22">
                      <w:rPr>
                        <w:rFonts w:asciiTheme="minorHAnsi" w:hAnsiTheme="minorHAnsi" w:cstheme="minorHAnsi"/>
                        <w:sz w:val="18"/>
                        <w:szCs w:val="18"/>
                      </w:rPr>
                      <w:t>co-manejo</w:t>
                    </w:r>
                    <w:proofErr w:type="spellEnd"/>
                    <w:r w:rsidR="003F2D22" w:rsidRPr="003F2D22">
                      <w:rPr>
                        <w:rFonts w:asciiTheme="minorHAnsi" w:hAnsiTheme="minorHAnsi" w:cstheme="minorHAnsi"/>
                        <w:sz w:val="18"/>
                        <w:szCs w:val="18"/>
                      </w:rPr>
                      <w:t>, establecimiento de comités técnicos para la gestión del paisaje y articulación con programas nacionales como REDD+, el Plan de Acción de Neutralidad en la Degradación de Tierras (PAN-NDT) y la Estrategia Nacional de Biodiversidad (ENB). Además, los procesos de planificación local incorporarán la gestión del riesgo climático y enfoques sensibles al género, garantizando una acción inclusiva y coordinada en todos los sectores y niveles de gobernanza.</w:t>
                    </w:r>
                  </w:sdtContent>
                </w:sdt>
              </w:p>
            </w:sdtContent>
          </w:sdt>
        </w:tc>
      </w:tr>
      <w:sdt>
        <w:sdtPr>
          <w:rPr>
            <w:rFonts w:asciiTheme="minorHAnsi" w:hAnsiTheme="minorHAnsi" w:cstheme="minorHAnsi"/>
            <w:sz w:val="18"/>
            <w:szCs w:val="18"/>
          </w:rPr>
          <w:tag w:val="goog_rdk_96"/>
          <w:id w:val="626430846"/>
        </w:sdtPr>
        <w:sdtContent>
          <w:tr w:rsidR="00A6422E" w:rsidRPr="00A51E75" w14:paraId="4079794F" w14:textId="77777777" w:rsidTr="00A6422E">
            <w:trPr>
              <w:trHeight w:val="4793"/>
            </w:trPr>
            <w:tc>
              <w:tcPr>
                <w:tcW w:w="167" w:type="pct"/>
              </w:tcPr>
              <w:sdt>
                <w:sdtPr>
                  <w:rPr>
                    <w:rFonts w:asciiTheme="minorHAnsi" w:hAnsiTheme="minorHAnsi" w:cstheme="minorHAnsi"/>
                    <w:sz w:val="18"/>
                    <w:szCs w:val="18"/>
                  </w:rPr>
                  <w:tag w:val="goog_rdk_98"/>
                  <w:id w:val="634529663"/>
                </w:sdtPr>
                <w:sdtContent>
                  <w:p w14:paraId="3B00FA0D" w14:textId="563BB620"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97"/>
                        <w:id w:val="1922453562"/>
                      </w:sdtPr>
                      <w:sdtContent>
                        <w:r w:rsidR="00A6422E" w:rsidRPr="00A51E75">
                          <w:rPr>
                            <w:rFonts w:asciiTheme="minorHAnsi" w:hAnsiTheme="minorHAnsi" w:cstheme="minorHAnsi"/>
                            <w:sz w:val="18"/>
                            <w:szCs w:val="18"/>
                          </w:rPr>
                          <w:t>2</w:t>
                        </w:r>
                      </w:sdtContent>
                    </w:sdt>
                  </w:p>
                </w:sdtContent>
              </w:sdt>
            </w:tc>
            <w:tc>
              <w:tcPr>
                <w:tcW w:w="651" w:type="pct"/>
              </w:tcPr>
              <w:sdt>
                <w:sdtPr>
                  <w:rPr>
                    <w:rFonts w:asciiTheme="minorHAnsi" w:hAnsiTheme="minorHAnsi" w:cstheme="minorHAnsi"/>
                    <w:sz w:val="18"/>
                    <w:szCs w:val="18"/>
                  </w:rPr>
                  <w:tag w:val="goog_rdk_100"/>
                  <w:id w:val="1696033501"/>
                </w:sdtPr>
                <w:sdtContent>
                  <w:sdt>
                    <w:sdtPr>
                      <w:rPr>
                        <w:rFonts w:asciiTheme="minorHAnsi" w:hAnsiTheme="minorHAnsi" w:cstheme="minorHAnsi"/>
                        <w:sz w:val="18"/>
                        <w:szCs w:val="18"/>
                      </w:rPr>
                      <w:tag w:val="goog_rdk_99"/>
                      <w:id w:val="1942567738"/>
                    </w:sdtPr>
                    <w:sdtContent>
                      <w:p w14:paraId="60F41519" w14:textId="4C2CE148" w:rsidR="000231CD" w:rsidRPr="000231CD" w:rsidRDefault="000231CD" w:rsidP="000231CD">
                        <w:pPr>
                          <w:spacing w:before="40" w:after="40"/>
                          <w:rPr>
                            <w:rFonts w:asciiTheme="minorHAnsi" w:hAnsiTheme="minorHAnsi" w:cstheme="minorHAnsi"/>
                            <w:sz w:val="18"/>
                            <w:szCs w:val="18"/>
                            <w:lang w:val="es-EC"/>
                          </w:rPr>
                        </w:pPr>
                        <w:r w:rsidRPr="000231CD">
                          <w:rPr>
                            <w:rFonts w:ascii="inherit" w:hAnsi="inherit" w:cs="Courier New"/>
                            <w:color w:val="1F1F1F"/>
                            <w:sz w:val="42"/>
                            <w:szCs w:val="42"/>
                            <w:lang w:eastAsia="es-EC"/>
                          </w:rPr>
                          <w:t xml:space="preserve"> </w:t>
                        </w:r>
                        <w:r w:rsidRPr="000231CD">
                          <w:rPr>
                            <w:rFonts w:asciiTheme="minorHAnsi" w:hAnsiTheme="minorHAnsi" w:cstheme="minorHAnsi"/>
                            <w:sz w:val="18"/>
                            <w:szCs w:val="18"/>
                            <w:lang w:val="es-ES_tradnl"/>
                          </w:rPr>
                          <w:t>Riesgo institucional y de gobernanza</w:t>
                        </w:r>
                      </w:p>
                      <w:p w14:paraId="2F858B3B" w14:textId="0EDA502E" w:rsidR="00E77E71" w:rsidRPr="00A51E75" w:rsidRDefault="00000000" w:rsidP="008907C1">
                        <w:pPr>
                          <w:spacing w:before="40" w:after="40"/>
                          <w:rPr>
                            <w:rFonts w:asciiTheme="minorHAnsi" w:hAnsiTheme="minorHAnsi" w:cstheme="minorHAnsi"/>
                            <w:sz w:val="18"/>
                            <w:szCs w:val="18"/>
                          </w:rPr>
                        </w:pPr>
                      </w:p>
                    </w:sdtContent>
                  </w:sdt>
                </w:sdtContent>
              </w:sdt>
            </w:tc>
            <w:tc>
              <w:tcPr>
                <w:tcW w:w="651" w:type="pct"/>
              </w:tcPr>
              <w:sdt>
                <w:sdtPr>
                  <w:rPr>
                    <w:rFonts w:asciiTheme="minorHAnsi" w:hAnsiTheme="minorHAnsi" w:cstheme="minorHAnsi"/>
                    <w:sz w:val="18"/>
                    <w:szCs w:val="18"/>
                  </w:rPr>
                  <w:tag w:val="goog_rdk_102"/>
                  <w:id w:val="-1278247488"/>
                </w:sdtPr>
                <w:sdtContent>
                  <w:p w14:paraId="313B2D5A" w14:textId="3A70EC45"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101"/>
                        <w:id w:val="20367364"/>
                      </w:sdtPr>
                      <w:sdtContent>
                        <w:r w:rsidR="0053304E" w:rsidRPr="0053304E">
                          <w:rPr>
                            <w:rFonts w:asciiTheme="minorHAnsi" w:hAnsiTheme="minorHAnsi" w:cstheme="minorHAnsi"/>
                            <w:sz w:val="18"/>
                            <w:szCs w:val="18"/>
                            <w:lang w:val="es-EC"/>
                          </w:rPr>
                          <w:t xml:space="preserve"> El riesgo es transversal a todos los componentes del proyecto.</w:t>
                        </w:r>
                        <w:r w:rsidR="0053304E">
                          <w:rPr>
                            <w:rFonts w:asciiTheme="minorHAnsi" w:hAnsiTheme="minorHAnsi" w:cstheme="minorHAnsi"/>
                            <w:sz w:val="18"/>
                            <w:szCs w:val="18"/>
                          </w:rPr>
                          <w:t xml:space="preserve"> </w:t>
                        </w:r>
                      </w:sdtContent>
                    </w:sdt>
                  </w:p>
                </w:sdtContent>
              </w:sdt>
            </w:tc>
            <w:tc>
              <w:tcPr>
                <w:tcW w:w="652" w:type="pct"/>
              </w:tcPr>
              <w:sdt>
                <w:sdtPr>
                  <w:rPr>
                    <w:rFonts w:asciiTheme="minorHAnsi" w:hAnsiTheme="minorHAnsi" w:cstheme="minorHAnsi"/>
                    <w:sz w:val="18"/>
                    <w:szCs w:val="18"/>
                  </w:rPr>
                  <w:tag w:val="goog_rdk_104"/>
                  <w:id w:val="939878209"/>
                </w:sdtPr>
                <w:sdtContent>
                  <w:sdt>
                    <w:sdtPr>
                      <w:rPr>
                        <w:rFonts w:asciiTheme="minorHAnsi" w:hAnsiTheme="minorHAnsi" w:cstheme="minorHAnsi"/>
                        <w:sz w:val="18"/>
                        <w:szCs w:val="18"/>
                      </w:rPr>
                      <w:tag w:val="goog_rdk_103"/>
                      <w:id w:val="-1693755940"/>
                    </w:sdtPr>
                    <w:sdtContent>
                      <w:p w14:paraId="4F6357C1" w14:textId="77777777" w:rsidR="00D37E8B" w:rsidRPr="00D37E8B" w:rsidRDefault="00D37E8B" w:rsidP="00D37E8B">
                        <w:pPr>
                          <w:spacing w:before="40" w:after="40"/>
                          <w:rPr>
                            <w:rFonts w:asciiTheme="minorHAnsi" w:hAnsiTheme="minorHAnsi" w:cstheme="minorHAnsi"/>
                            <w:sz w:val="18"/>
                            <w:szCs w:val="18"/>
                            <w:lang w:val="es-EC"/>
                          </w:rPr>
                        </w:pPr>
                        <w:r w:rsidRPr="00D37E8B">
                          <w:rPr>
                            <w:rFonts w:asciiTheme="minorHAnsi" w:hAnsiTheme="minorHAnsi" w:cstheme="minorHAnsi"/>
                            <w:sz w:val="18"/>
                            <w:szCs w:val="18"/>
                            <w:lang w:val="es-ES_tradnl"/>
                          </w:rPr>
                          <w:t>Existe un riesgo moderado de mala gestión o corrupción en el manejo de los recursos y actividades del proyecto a nivel local, en particular durante la restauración del paisaje, el desembolso de cofinanciamiento y los procesos de gobernanza. Este riesgo se deriva de las debilidades institucionales y la limitada transparencia y supervisión a nivel subnacional.</w:t>
                        </w:r>
                      </w:p>
                      <w:p w14:paraId="4647A425" w14:textId="312A7735" w:rsidR="00E77E71" w:rsidRPr="00A51E75" w:rsidRDefault="00000000" w:rsidP="008907C1">
                        <w:pPr>
                          <w:spacing w:before="40" w:after="40"/>
                          <w:rPr>
                            <w:rFonts w:asciiTheme="minorHAnsi" w:hAnsiTheme="minorHAnsi" w:cstheme="minorHAnsi"/>
                            <w:sz w:val="18"/>
                            <w:szCs w:val="18"/>
                            <w:lang w:val="en-US"/>
                          </w:rPr>
                        </w:pPr>
                      </w:p>
                    </w:sdtContent>
                  </w:sdt>
                </w:sdtContent>
              </w:sdt>
            </w:tc>
            <w:tc>
              <w:tcPr>
                <w:tcW w:w="588" w:type="pct"/>
                <w:tcMar>
                  <w:top w:w="0" w:type="dxa"/>
                  <w:left w:w="180" w:type="dxa"/>
                  <w:bottom w:w="0" w:type="dxa"/>
                  <w:right w:w="180" w:type="dxa"/>
                </w:tcMar>
              </w:tcPr>
              <w:sdt>
                <w:sdtPr>
                  <w:rPr>
                    <w:rFonts w:asciiTheme="minorHAnsi" w:hAnsiTheme="minorHAnsi" w:cstheme="minorHAnsi"/>
                    <w:sz w:val="18"/>
                    <w:szCs w:val="18"/>
                  </w:rPr>
                  <w:tag w:val="goog_rdk_106"/>
                  <w:id w:val="765577720"/>
                </w:sdtPr>
                <w:sdtContent>
                  <w:sdt>
                    <w:sdtPr>
                      <w:rPr>
                        <w:rFonts w:asciiTheme="minorHAnsi" w:hAnsiTheme="minorHAnsi" w:cstheme="minorHAnsi"/>
                        <w:sz w:val="18"/>
                        <w:szCs w:val="18"/>
                      </w:rPr>
                      <w:tag w:val="goog_rdk_105"/>
                      <w:id w:val="2081328888"/>
                    </w:sdtPr>
                    <w:sdtContent>
                      <w:p w14:paraId="49B30E60" w14:textId="20CEC702" w:rsidR="000231CD" w:rsidRPr="000231CD" w:rsidRDefault="000231CD" w:rsidP="000231CD">
                        <w:pPr>
                          <w:spacing w:after="140"/>
                          <w:rPr>
                            <w:rFonts w:asciiTheme="minorHAnsi" w:hAnsiTheme="minorHAnsi" w:cstheme="minorHAnsi"/>
                            <w:sz w:val="18"/>
                            <w:szCs w:val="18"/>
                            <w:lang w:val="es-EC"/>
                          </w:rPr>
                        </w:pPr>
                        <w:r w:rsidRPr="000231CD">
                          <w:rPr>
                            <w:rFonts w:ascii="inherit" w:hAnsi="inherit" w:cs="Courier New"/>
                            <w:color w:val="1F1F1F"/>
                            <w:sz w:val="42"/>
                            <w:szCs w:val="42"/>
                            <w:lang w:eastAsia="es-EC"/>
                          </w:rPr>
                          <w:t xml:space="preserve"> </w:t>
                        </w:r>
                        <w:r w:rsidRPr="000231CD">
                          <w:rPr>
                            <w:rFonts w:asciiTheme="minorHAnsi" w:hAnsiTheme="minorHAnsi" w:cstheme="minorHAnsi"/>
                            <w:sz w:val="18"/>
                            <w:szCs w:val="18"/>
                            <w:lang w:val="es-ES_tradnl"/>
                          </w:rPr>
                          <w:t>6. REGLAMENTARIO (6.3. Desviación de las normas y reglamentos internos del PNUD) - Apetito de riesgo del PNUD: CAUTELA</w:t>
                        </w:r>
                      </w:p>
                      <w:p w14:paraId="45710019" w14:textId="753B618C" w:rsidR="00E77E71" w:rsidRPr="00A51E75" w:rsidRDefault="00000000" w:rsidP="008907C1">
                        <w:pPr>
                          <w:spacing w:after="140"/>
                          <w:rPr>
                            <w:rFonts w:asciiTheme="minorHAnsi" w:hAnsiTheme="minorHAnsi" w:cstheme="minorHAnsi"/>
                            <w:sz w:val="18"/>
                            <w:szCs w:val="18"/>
                            <w:lang w:val="en-US"/>
                          </w:rPr>
                        </w:pPr>
                      </w:p>
                    </w:sdtContent>
                  </w:sdt>
                </w:sdtContent>
              </w:sdt>
            </w:tc>
            <w:tc>
              <w:tcPr>
                <w:tcW w:w="503" w:type="pct"/>
              </w:tcPr>
              <w:p w14:paraId="1D586754" w14:textId="77777777" w:rsidR="00EB22C6" w:rsidRPr="00EB22C6" w:rsidRDefault="00EB22C6" w:rsidP="00EB22C6">
                <w:pPr>
                  <w:spacing w:after="140"/>
                  <w:rPr>
                    <w:rFonts w:asciiTheme="minorHAnsi" w:hAnsiTheme="minorHAnsi" w:cstheme="minorHAnsi"/>
                    <w:sz w:val="18"/>
                    <w:szCs w:val="18"/>
                  </w:rPr>
                </w:pPr>
                <w:r w:rsidRPr="00EB22C6">
                  <w:rPr>
                    <w:rFonts w:asciiTheme="minorHAnsi" w:hAnsiTheme="minorHAnsi" w:cstheme="minorHAnsi"/>
                    <w:sz w:val="18"/>
                    <w:szCs w:val="18"/>
                  </w:rPr>
                  <w:t>Probabilidad:</w:t>
                </w:r>
              </w:p>
              <w:p w14:paraId="6380C852" w14:textId="77777777" w:rsidR="00EB22C6" w:rsidRPr="00EB22C6" w:rsidRDefault="00EB22C6" w:rsidP="00EB22C6">
                <w:pPr>
                  <w:spacing w:after="140"/>
                  <w:rPr>
                    <w:rFonts w:asciiTheme="minorHAnsi" w:hAnsiTheme="minorHAnsi" w:cstheme="minorHAnsi"/>
                    <w:sz w:val="18"/>
                    <w:szCs w:val="18"/>
                  </w:rPr>
                </w:pPr>
                <w:r w:rsidRPr="00EB22C6">
                  <w:rPr>
                    <w:rFonts w:asciiTheme="minorHAnsi" w:hAnsiTheme="minorHAnsi" w:cstheme="minorHAnsi"/>
                    <w:sz w:val="18"/>
                    <w:szCs w:val="18"/>
                  </w:rPr>
                  <w:t>4 - Altamente probable</w:t>
                </w:r>
              </w:p>
              <w:p w14:paraId="5E91E494" w14:textId="77777777" w:rsidR="00EB22C6" w:rsidRPr="00EB22C6" w:rsidRDefault="00EB22C6" w:rsidP="00EB22C6">
                <w:pPr>
                  <w:spacing w:after="140"/>
                  <w:rPr>
                    <w:rFonts w:asciiTheme="minorHAnsi" w:hAnsiTheme="minorHAnsi" w:cstheme="minorHAnsi"/>
                    <w:sz w:val="18"/>
                    <w:szCs w:val="18"/>
                  </w:rPr>
                </w:pPr>
              </w:p>
              <w:p w14:paraId="1DFAE619" w14:textId="77777777" w:rsidR="00EB22C6" w:rsidRPr="00EB22C6" w:rsidRDefault="00EB22C6" w:rsidP="00EB22C6">
                <w:pPr>
                  <w:spacing w:after="140"/>
                  <w:rPr>
                    <w:rFonts w:asciiTheme="minorHAnsi" w:hAnsiTheme="minorHAnsi" w:cstheme="minorHAnsi"/>
                    <w:sz w:val="18"/>
                    <w:szCs w:val="18"/>
                  </w:rPr>
                </w:pPr>
                <w:r w:rsidRPr="00EB22C6">
                  <w:rPr>
                    <w:rFonts w:asciiTheme="minorHAnsi" w:hAnsiTheme="minorHAnsi" w:cstheme="minorHAnsi"/>
                    <w:sz w:val="18"/>
                    <w:szCs w:val="18"/>
                  </w:rPr>
                  <w:t>Impacto:</w:t>
                </w:r>
              </w:p>
              <w:p w14:paraId="3D5A08E0" w14:textId="77777777" w:rsidR="00EB22C6" w:rsidRPr="00EB22C6" w:rsidRDefault="00EB22C6" w:rsidP="00EB22C6">
                <w:pPr>
                  <w:spacing w:after="140"/>
                  <w:rPr>
                    <w:rFonts w:asciiTheme="minorHAnsi" w:hAnsiTheme="minorHAnsi" w:cstheme="minorHAnsi"/>
                    <w:sz w:val="18"/>
                    <w:szCs w:val="18"/>
                  </w:rPr>
                </w:pPr>
                <w:r w:rsidRPr="00EB22C6">
                  <w:rPr>
                    <w:rFonts w:asciiTheme="minorHAnsi" w:hAnsiTheme="minorHAnsi" w:cstheme="minorHAnsi"/>
                    <w:sz w:val="18"/>
                    <w:szCs w:val="18"/>
                  </w:rPr>
                  <w:t>3 - Intermedio</w:t>
                </w:r>
              </w:p>
              <w:p w14:paraId="42135144" w14:textId="77777777" w:rsidR="00EB22C6" w:rsidRPr="00EB22C6" w:rsidRDefault="00EB22C6" w:rsidP="00EB22C6">
                <w:pPr>
                  <w:spacing w:after="140"/>
                  <w:rPr>
                    <w:rFonts w:asciiTheme="minorHAnsi" w:hAnsiTheme="minorHAnsi" w:cstheme="minorHAnsi"/>
                    <w:sz w:val="18"/>
                    <w:szCs w:val="18"/>
                  </w:rPr>
                </w:pPr>
              </w:p>
              <w:p w14:paraId="7A217A03" w14:textId="77777777" w:rsidR="00EB22C6" w:rsidRPr="00EB22C6" w:rsidRDefault="00EB22C6" w:rsidP="00EB22C6">
                <w:pPr>
                  <w:spacing w:after="140"/>
                  <w:rPr>
                    <w:rFonts w:asciiTheme="minorHAnsi" w:hAnsiTheme="minorHAnsi" w:cstheme="minorHAnsi"/>
                    <w:sz w:val="18"/>
                    <w:szCs w:val="18"/>
                  </w:rPr>
                </w:pPr>
                <w:r w:rsidRPr="00EB22C6">
                  <w:rPr>
                    <w:rFonts w:asciiTheme="minorHAnsi" w:hAnsiTheme="minorHAnsi" w:cstheme="minorHAnsi"/>
                    <w:sz w:val="18"/>
                    <w:szCs w:val="18"/>
                  </w:rPr>
                  <w:t>Nivel de riesgo:</w:t>
                </w:r>
              </w:p>
              <w:p w14:paraId="7152BCE6" w14:textId="77777777" w:rsidR="00EB22C6" w:rsidRPr="00EB22C6" w:rsidRDefault="00EB22C6" w:rsidP="00EB22C6">
                <w:pPr>
                  <w:spacing w:after="140"/>
                  <w:rPr>
                    <w:rFonts w:asciiTheme="minorHAnsi" w:hAnsiTheme="minorHAnsi" w:cstheme="minorHAnsi"/>
                    <w:sz w:val="18"/>
                    <w:szCs w:val="18"/>
                    <w:lang w:val="es-EC"/>
                  </w:rPr>
                </w:pPr>
                <w:r w:rsidRPr="00EB22C6">
                  <w:rPr>
                    <w:rFonts w:asciiTheme="minorHAnsi" w:hAnsiTheme="minorHAnsi" w:cstheme="minorHAnsi"/>
                    <w:sz w:val="18"/>
                    <w:szCs w:val="18"/>
                  </w:rPr>
                  <w:t>MODERADO (equivale a un nivel de tolerancia al riesgo EXPLORATORIO)</w:t>
                </w:r>
              </w:p>
              <w:p w14:paraId="7E129AB6" w14:textId="628EDA45" w:rsidR="00E77E71" w:rsidRPr="00EB22C6" w:rsidRDefault="00E77E71" w:rsidP="008907C1">
                <w:pPr>
                  <w:spacing w:after="144"/>
                  <w:rPr>
                    <w:rFonts w:asciiTheme="minorHAnsi" w:hAnsiTheme="minorHAnsi" w:cstheme="minorHAnsi"/>
                    <w:sz w:val="18"/>
                    <w:szCs w:val="18"/>
                    <w:lang w:val="es-EC"/>
                  </w:rPr>
                </w:pPr>
              </w:p>
            </w:tc>
            <w:tc>
              <w:tcPr>
                <w:tcW w:w="442" w:type="pct"/>
              </w:tcPr>
              <w:p w14:paraId="793D366F" w14:textId="2B7DFAF3" w:rsidR="00FB36A9" w:rsidRPr="00A51E75" w:rsidRDefault="00000000" w:rsidP="00FB36A9">
                <w:pPr>
                  <w:spacing w:before="144"/>
                  <w:rPr>
                    <w:rFonts w:asciiTheme="minorHAnsi" w:hAnsiTheme="minorHAnsi" w:cstheme="minorHAnsi"/>
                    <w:sz w:val="18"/>
                    <w:szCs w:val="18"/>
                  </w:rPr>
                </w:pPr>
                <w:sdt>
                  <w:sdtPr>
                    <w:rPr>
                      <w:rFonts w:asciiTheme="minorHAnsi" w:hAnsiTheme="minorHAnsi" w:cstheme="minorHAnsi"/>
                      <w:sz w:val="18"/>
                      <w:szCs w:val="18"/>
                    </w:rPr>
                    <w:tag w:val="goog_rdk_124"/>
                    <w:id w:val="-1168632587"/>
                  </w:sdtPr>
                  <w:sdtEndPr>
                    <w:rPr>
                      <w:rFonts w:cstheme="minorBidi"/>
                    </w:rPr>
                  </w:sdtEndPr>
                  <w:sdtContent/>
                </w:sdt>
                <w:r w:rsidR="00FB36A9">
                  <w:rPr>
                    <w:rFonts w:asciiTheme="minorHAnsi" w:hAnsiTheme="minorHAnsi" w:cstheme="minorBidi"/>
                    <w:sz w:val="18"/>
                    <w:szCs w:val="18"/>
                  </w:rPr>
                  <w:t xml:space="preserve"> </w:t>
                </w:r>
                <w:sdt>
                  <w:sdtPr>
                    <w:rPr>
                      <w:rFonts w:asciiTheme="minorHAnsi" w:hAnsiTheme="minorHAnsi" w:cstheme="minorBidi"/>
                      <w:sz w:val="18"/>
                      <w:szCs w:val="18"/>
                    </w:rPr>
                    <w:tag w:val="goog_rdk_85"/>
                    <w:id w:val="-638803186"/>
                  </w:sdtPr>
                  <w:sdtContent>
                    <w:sdt>
                      <w:sdtPr>
                        <w:rPr>
                          <w:rFonts w:asciiTheme="minorHAnsi" w:hAnsiTheme="minorHAnsi" w:cstheme="minorHAnsi"/>
                          <w:sz w:val="18"/>
                          <w:szCs w:val="18"/>
                        </w:rPr>
                        <w:tag w:val="goog_rdk_84"/>
                        <w:id w:val="-1136491226"/>
                      </w:sdtPr>
                      <w:sdtContent>
                        <w:r w:rsidR="00FB36A9">
                          <w:rPr>
                            <w:rFonts w:asciiTheme="minorHAnsi" w:hAnsiTheme="minorHAnsi" w:cstheme="minorHAnsi"/>
                            <w:sz w:val="18"/>
                            <w:szCs w:val="18"/>
                          </w:rPr>
                          <w:t>Desde</w:t>
                        </w:r>
                        <w:r w:rsidR="00FB36A9" w:rsidRPr="00A51E75">
                          <w:rPr>
                            <w:rFonts w:asciiTheme="minorHAnsi" w:hAnsiTheme="minorHAnsi" w:cstheme="minorHAnsi"/>
                            <w:sz w:val="18"/>
                            <w:szCs w:val="18"/>
                          </w:rPr>
                          <w:t>: 01-Jun-26</w:t>
                        </w:r>
                      </w:sdtContent>
                    </w:sdt>
                  </w:sdtContent>
                </w:sdt>
              </w:p>
              <w:sdt>
                <w:sdtPr>
                  <w:rPr>
                    <w:rFonts w:asciiTheme="minorHAnsi" w:hAnsiTheme="minorHAnsi" w:cstheme="minorBidi"/>
                    <w:sz w:val="18"/>
                    <w:szCs w:val="18"/>
                  </w:rPr>
                  <w:tag w:val="goog_rdk_87"/>
                  <w:id w:val="1341279866"/>
                </w:sdtPr>
                <w:sdtContent>
                  <w:p w14:paraId="3C5E3789" w14:textId="77777777" w:rsidR="00FB36A9" w:rsidRPr="00A51E75" w:rsidRDefault="00000000" w:rsidP="00FB36A9">
                    <w:pPr>
                      <w:rPr>
                        <w:rFonts w:asciiTheme="minorHAnsi" w:hAnsiTheme="minorHAnsi" w:cstheme="minorHAnsi"/>
                        <w:sz w:val="18"/>
                        <w:szCs w:val="18"/>
                      </w:rPr>
                    </w:pPr>
                    <w:sdt>
                      <w:sdtPr>
                        <w:rPr>
                          <w:rFonts w:asciiTheme="minorHAnsi" w:hAnsiTheme="minorHAnsi" w:cstheme="minorHAnsi"/>
                          <w:sz w:val="18"/>
                          <w:szCs w:val="18"/>
                        </w:rPr>
                        <w:tag w:val="goog_rdk_86"/>
                        <w:id w:val="105402141"/>
                      </w:sdtPr>
                      <w:sdtContent/>
                    </w:sdt>
                  </w:p>
                </w:sdtContent>
              </w:sdt>
              <w:p w14:paraId="58B9BACF" w14:textId="21D60B58" w:rsidR="00E77E71" w:rsidRPr="00A51E75" w:rsidRDefault="00000000" w:rsidP="00FB36A9">
                <w:pPr>
                  <w:spacing w:after="144"/>
                  <w:rPr>
                    <w:rFonts w:asciiTheme="minorHAnsi" w:hAnsiTheme="minorHAnsi" w:cstheme="minorHAnsi"/>
                    <w:sz w:val="18"/>
                    <w:szCs w:val="18"/>
                  </w:rPr>
                </w:pPr>
                <w:sdt>
                  <w:sdtPr>
                    <w:rPr>
                      <w:rFonts w:asciiTheme="minorHAnsi" w:hAnsiTheme="minorHAnsi" w:cstheme="minorBidi"/>
                      <w:sz w:val="18"/>
                      <w:szCs w:val="18"/>
                    </w:rPr>
                    <w:tag w:val="goog_rdk_89"/>
                    <w:id w:val="1836955356"/>
                  </w:sdtPr>
                  <w:sdtContent>
                    <w:sdt>
                      <w:sdtPr>
                        <w:rPr>
                          <w:rFonts w:asciiTheme="minorHAnsi" w:hAnsiTheme="minorHAnsi" w:cstheme="minorHAnsi"/>
                          <w:sz w:val="18"/>
                          <w:szCs w:val="18"/>
                        </w:rPr>
                        <w:tag w:val="goog_rdk_88"/>
                        <w:id w:val="1846197703"/>
                      </w:sdtPr>
                      <w:sdtContent>
                        <w:r w:rsidR="00FB36A9">
                          <w:rPr>
                            <w:rFonts w:asciiTheme="minorHAnsi" w:hAnsiTheme="minorHAnsi" w:cstheme="minorHAnsi"/>
                            <w:sz w:val="18"/>
                            <w:szCs w:val="18"/>
                          </w:rPr>
                          <w:t>Hasta</w:t>
                        </w:r>
                        <w:r w:rsidR="00FB36A9" w:rsidRPr="00A51E75">
                          <w:rPr>
                            <w:rFonts w:asciiTheme="minorHAnsi" w:hAnsiTheme="minorHAnsi" w:cstheme="minorHAnsi"/>
                            <w:sz w:val="18"/>
                            <w:szCs w:val="18"/>
                          </w:rPr>
                          <w:t>: 01-Jun-31</w:t>
                        </w:r>
                      </w:sdtContent>
                    </w:sdt>
                  </w:sdtContent>
                </w:sdt>
                <w:r w:rsidR="00FB36A9">
                  <w:rPr>
                    <w:rFonts w:asciiTheme="minorHAnsi" w:hAnsiTheme="minorHAnsi" w:cstheme="minorHAnsi"/>
                    <w:sz w:val="18"/>
                    <w:szCs w:val="18"/>
                  </w:rPr>
                  <w:t xml:space="preserve"> </w:t>
                </w:r>
                <w:sdt>
                  <w:sdtPr>
                    <w:rPr>
                      <w:rFonts w:asciiTheme="minorHAnsi" w:hAnsiTheme="minorHAnsi" w:cstheme="minorHAnsi"/>
                      <w:sz w:val="18"/>
                      <w:szCs w:val="18"/>
                    </w:rPr>
                    <w:tag w:val="goog_rdk_128"/>
                    <w:id w:val="-343019248"/>
                  </w:sdtPr>
                  <w:sdtContent/>
                </w:sdt>
              </w:p>
            </w:tc>
            <w:tc>
              <w:tcPr>
                <w:tcW w:w="559" w:type="pct"/>
              </w:tcPr>
              <w:sdt>
                <w:sdtPr>
                  <w:rPr>
                    <w:rFonts w:asciiTheme="minorHAnsi" w:hAnsiTheme="minorHAnsi" w:cstheme="minorHAnsi"/>
                    <w:sz w:val="18"/>
                    <w:szCs w:val="18"/>
                  </w:rPr>
                  <w:tag w:val="goog_rdk_130"/>
                  <w:id w:val="-227542549"/>
                </w:sdtPr>
                <w:sdtContent>
                  <w:p w14:paraId="68406A98" w14:textId="177FD152"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129"/>
                        <w:id w:val="1549182653"/>
                      </w:sdtPr>
                      <w:sdtContent>
                        <w:r w:rsidR="004319ED">
                          <w:t xml:space="preserve"> </w:t>
                        </w:r>
                        <w:r w:rsidR="004319ED" w:rsidRPr="004319ED">
                          <w:rPr>
                            <w:rFonts w:asciiTheme="minorHAnsi" w:hAnsiTheme="minorHAnsi" w:cstheme="minorHAnsi"/>
                            <w:sz w:val="18"/>
                            <w:szCs w:val="18"/>
                            <w:lang w:val="es-EC"/>
                          </w:rPr>
                          <w:t xml:space="preserve">Socio implementador, MAE y UGP </w:t>
                        </w:r>
                      </w:sdtContent>
                    </w:sdt>
                  </w:p>
                </w:sdtContent>
              </w:sdt>
              <w:sdt>
                <w:sdtPr>
                  <w:rPr>
                    <w:rFonts w:asciiTheme="minorHAnsi" w:hAnsiTheme="minorHAnsi" w:cstheme="minorHAnsi"/>
                    <w:sz w:val="18"/>
                    <w:szCs w:val="18"/>
                  </w:rPr>
                  <w:tag w:val="goog_rdk_132"/>
                  <w:id w:val="-1295056352"/>
                </w:sdtPr>
                <w:sdtContent>
                  <w:p w14:paraId="0A46296E" w14:textId="77777777"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131"/>
                        <w:id w:val="166370775"/>
                      </w:sdtPr>
                      <w:sdtContent/>
                    </w:sdt>
                  </w:p>
                </w:sdtContent>
              </w:sdt>
            </w:tc>
            <w:tc>
              <w:tcPr>
                <w:tcW w:w="787" w:type="pct"/>
              </w:tcPr>
              <w:p w14:paraId="59D3B27A" w14:textId="77777777" w:rsidR="00BB3DE9" w:rsidRPr="00BB3DE9" w:rsidRDefault="00BB3DE9" w:rsidP="00BB3DE9">
                <w:pPr>
                  <w:spacing w:before="144"/>
                  <w:rPr>
                    <w:rFonts w:asciiTheme="minorHAnsi" w:hAnsiTheme="minorHAnsi" w:cstheme="minorHAnsi"/>
                    <w:sz w:val="18"/>
                    <w:szCs w:val="18"/>
                  </w:rPr>
                </w:pPr>
                <w:r w:rsidRPr="00BB3DE9">
                  <w:rPr>
                    <w:rFonts w:asciiTheme="minorHAnsi" w:hAnsiTheme="minorHAnsi" w:cstheme="minorHAnsi"/>
                    <w:sz w:val="18"/>
                    <w:szCs w:val="18"/>
                  </w:rPr>
                  <w:t>El proyecto mitiga estos riesgos mediante: monitoreo participativo con las comunidades y organizaciones de transparencia; inclusión de cláusulas anticorrupción en acuerdos y contratos locales; auditorías financieras periódicas y verificaciones independientes; desarrollo de capacidades en gestión financiera y transparencia para los socios implementadores; y divulgación pública de información financiera y operativa.</w:t>
                </w:r>
              </w:p>
              <w:p w14:paraId="06A34422" w14:textId="2972E650" w:rsidR="00E77E71" w:rsidRPr="00A51E75" w:rsidRDefault="00BB3DE9" w:rsidP="00BB3DE9">
                <w:pPr>
                  <w:spacing w:before="40"/>
                  <w:rPr>
                    <w:rFonts w:asciiTheme="minorHAnsi" w:hAnsiTheme="minorHAnsi" w:cstheme="minorHAnsi"/>
                    <w:sz w:val="18"/>
                    <w:szCs w:val="18"/>
                  </w:rPr>
                </w:pPr>
                <w:r w:rsidRPr="00BB3DE9">
                  <w:rPr>
                    <w:rFonts w:asciiTheme="minorHAnsi" w:hAnsiTheme="minorHAnsi" w:cstheme="minorHAnsi"/>
                    <w:sz w:val="18"/>
                    <w:szCs w:val="18"/>
                  </w:rPr>
                  <w:t>El riesgo se gestionará a través del Marco de Gestión de Riesgos del proyecto y será revisado periódicamente por la UGP.</w:t>
                </w:r>
              </w:p>
            </w:tc>
          </w:tr>
        </w:sdtContent>
      </w:sdt>
      <w:sdt>
        <w:sdtPr>
          <w:rPr>
            <w:rFonts w:asciiTheme="minorHAnsi" w:hAnsiTheme="minorHAnsi" w:cstheme="minorHAnsi"/>
            <w:sz w:val="18"/>
            <w:szCs w:val="18"/>
          </w:rPr>
          <w:tag w:val="goog_rdk_139"/>
          <w:id w:val="-1709484897"/>
        </w:sdtPr>
        <w:sdtContent>
          <w:tr w:rsidR="00A6422E" w:rsidRPr="007E49E0" w14:paraId="07E27EAF" w14:textId="77777777" w:rsidTr="00A6422E">
            <w:trPr>
              <w:trHeight w:val="4793"/>
            </w:trPr>
            <w:tc>
              <w:tcPr>
                <w:tcW w:w="167" w:type="pct"/>
              </w:tcPr>
              <w:sdt>
                <w:sdtPr>
                  <w:rPr>
                    <w:rFonts w:asciiTheme="minorHAnsi" w:hAnsiTheme="minorHAnsi" w:cstheme="minorHAnsi"/>
                    <w:sz w:val="18"/>
                    <w:szCs w:val="18"/>
                  </w:rPr>
                  <w:tag w:val="goog_rdk_141"/>
                  <w:id w:val="736283911"/>
                </w:sdtPr>
                <w:sdtContent>
                  <w:p w14:paraId="0F2FA4F1" w14:textId="7CB1181F"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140"/>
                        <w:id w:val="-1351951368"/>
                      </w:sdtPr>
                      <w:sdtContent>
                        <w:r w:rsidR="00A6422E" w:rsidRPr="00A51E75">
                          <w:rPr>
                            <w:rFonts w:asciiTheme="minorHAnsi" w:hAnsiTheme="minorHAnsi" w:cstheme="minorHAnsi"/>
                            <w:sz w:val="18"/>
                            <w:szCs w:val="18"/>
                          </w:rPr>
                          <w:t>3</w:t>
                        </w:r>
                      </w:sdtContent>
                    </w:sdt>
                  </w:p>
                </w:sdtContent>
              </w:sdt>
            </w:tc>
            <w:tc>
              <w:tcPr>
                <w:tcW w:w="651" w:type="pct"/>
              </w:tcPr>
              <w:sdt>
                <w:sdtPr>
                  <w:rPr>
                    <w:rFonts w:asciiTheme="minorHAnsi" w:hAnsiTheme="minorHAnsi" w:cstheme="minorHAnsi"/>
                    <w:sz w:val="18"/>
                    <w:szCs w:val="18"/>
                  </w:rPr>
                  <w:tag w:val="goog_rdk_143"/>
                  <w:id w:val="-1269391414"/>
                </w:sdtPr>
                <w:sdtContent>
                  <w:p w14:paraId="31D771D7" w14:textId="51AD18A4"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142"/>
                        <w:id w:val="-341246958"/>
                      </w:sdtPr>
                      <w:sdtContent>
                        <w:r w:rsidR="00EB22C6">
                          <w:rPr>
                            <w:rFonts w:asciiTheme="minorHAnsi" w:hAnsiTheme="minorHAnsi" w:cstheme="minorHAnsi"/>
                            <w:sz w:val="18"/>
                            <w:szCs w:val="18"/>
                          </w:rPr>
                          <w:t>Institucional y político</w:t>
                        </w:r>
                      </w:sdtContent>
                    </w:sdt>
                  </w:p>
                </w:sdtContent>
              </w:sdt>
            </w:tc>
            <w:tc>
              <w:tcPr>
                <w:tcW w:w="651" w:type="pct"/>
              </w:tcPr>
              <w:sdt>
                <w:sdtPr>
                  <w:rPr>
                    <w:rFonts w:asciiTheme="minorHAnsi" w:hAnsiTheme="minorHAnsi" w:cstheme="minorHAnsi"/>
                    <w:sz w:val="18"/>
                    <w:szCs w:val="18"/>
                  </w:rPr>
                  <w:tag w:val="goog_rdk_145"/>
                  <w:id w:val="-393510955"/>
                </w:sdtPr>
                <w:sdtContent>
                  <w:p w14:paraId="3137191A" w14:textId="7A9E2F85"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144"/>
                        <w:id w:val="1754239651"/>
                      </w:sdtPr>
                      <w:sdtContent>
                        <w:r w:rsidR="0053304E" w:rsidRPr="0053304E">
                          <w:rPr>
                            <w:rFonts w:asciiTheme="minorHAnsi" w:hAnsiTheme="minorHAnsi" w:cstheme="minorHAnsi"/>
                            <w:sz w:val="18"/>
                            <w:szCs w:val="18"/>
                            <w:lang w:val="es-EC"/>
                          </w:rPr>
                          <w:t xml:space="preserve"> El riesgo es transversal a todos los componentes del proyecto.</w:t>
                        </w:r>
                        <w:r w:rsidR="0053304E">
                          <w:rPr>
                            <w:rFonts w:asciiTheme="minorHAnsi" w:hAnsiTheme="minorHAnsi" w:cstheme="minorHAnsi"/>
                            <w:sz w:val="18"/>
                            <w:szCs w:val="18"/>
                          </w:rPr>
                          <w:t xml:space="preserve"> </w:t>
                        </w:r>
                      </w:sdtContent>
                    </w:sdt>
                  </w:p>
                </w:sdtContent>
              </w:sdt>
            </w:tc>
            <w:tc>
              <w:tcPr>
                <w:tcW w:w="652" w:type="pct"/>
              </w:tcPr>
              <w:sdt>
                <w:sdtPr>
                  <w:rPr>
                    <w:rFonts w:asciiTheme="minorHAnsi" w:hAnsiTheme="minorHAnsi" w:cstheme="minorHAnsi"/>
                    <w:sz w:val="18"/>
                    <w:szCs w:val="18"/>
                  </w:rPr>
                  <w:tag w:val="goog_rdk_147"/>
                  <w:id w:val="1148626345"/>
                </w:sdtPr>
                <w:sdtContent>
                  <w:sdt>
                    <w:sdtPr>
                      <w:rPr>
                        <w:rFonts w:asciiTheme="minorHAnsi" w:hAnsiTheme="minorHAnsi" w:cstheme="minorHAnsi"/>
                        <w:sz w:val="18"/>
                        <w:szCs w:val="18"/>
                      </w:rPr>
                      <w:tag w:val="goog_rdk_146"/>
                      <w:id w:val="1727804336"/>
                    </w:sdtPr>
                    <w:sdtContent>
                      <w:p w14:paraId="43D30CAF" w14:textId="445354EA" w:rsidR="00D37E8B" w:rsidRPr="00D37E8B" w:rsidRDefault="00D37E8B" w:rsidP="00D37E8B">
                        <w:pPr>
                          <w:spacing w:before="40" w:after="40"/>
                          <w:rPr>
                            <w:rFonts w:asciiTheme="minorHAnsi" w:hAnsiTheme="minorHAnsi" w:cstheme="minorHAnsi"/>
                            <w:sz w:val="18"/>
                            <w:szCs w:val="18"/>
                            <w:lang w:val="es-EC"/>
                          </w:rPr>
                        </w:pPr>
                        <w:r w:rsidRPr="00D37E8B">
                          <w:rPr>
                            <w:rFonts w:asciiTheme="minorHAnsi" w:hAnsiTheme="minorHAnsi" w:cstheme="minorHAnsi"/>
                            <w:sz w:val="18"/>
                            <w:szCs w:val="18"/>
                            <w:lang w:val="es-ES_tradnl"/>
                          </w:rPr>
                          <w:t>El proyecto introduce innovación al integrar la gestión integrada de</w:t>
                        </w:r>
                        <w:r>
                          <w:rPr>
                            <w:rFonts w:asciiTheme="minorHAnsi" w:hAnsiTheme="minorHAnsi" w:cstheme="minorHAnsi"/>
                            <w:sz w:val="18"/>
                            <w:szCs w:val="18"/>
                            <w:lang w:val="es-ES_tradnl"/>
                          </w:rPr>
                          <w:t>l paisaje</w:t>
                        </w:r>
                        <w:r w:rsidRPr="00D37E8B">
                          <w:rPr>
                            <w:rFonts w:asciiTheme="minorHAnsi" w:hAnsiTheme="minorHAnsi" w:cstheme="minorHAnsi"/>
                            <w:sz w:val="18"/>
                            <w:szCs w:val="18"/>
                            <w:lang w:val="es-ES_tradnl"/>
                          </w:rPr>
                          <w:t xml:space="preserve"> y la </w:t>
                        </w:r>
                        <w:r w:rsidR="00C420E3">
                          <w:rPr>
                            <w:rFonts w:asciiTheme="minorHAnsi" w:hAnsiTheme="minorHAnsi" w:cstheme="minorHAnsi"/>
                            <w:sz w:val="18"/>
                            <w:szCs w:val="18"/>
                            <w:lang w:val="es-ES_tradnl"/>
                          </w:rPr>
                          <w:t xml:space="preserve">neutralidad de </w:t>
                        </w:r>
                        <w:r w:rsidRPr="00D37E8B">
                          <w:rPr>
                            <w:rFonts w:asciiTheme="minorHAnsi" w:hAnsiTheme="minorHAnsi" w:cstheme="minorHAnsi"/>
                            <w:sz w:val="18"/>
                            <w:szCs w:val="18"/>
                            <w:lang w:val="es-ES_tradnl"/>
                          </w:rPr>
                          <w:t>la</w:t>
                        </w:r>
                        <w:r w:rsidR="00C420E3">
                          <w:rPr>
                            <w:rFonts w:asciiTheme="minorHAnsi" w:hAnsiTheme="minorHAnsi" w:cstheme="minorHAnsi"/>
                            <w:sz w:val="18"/>
                            <w:szCs w:val="18"/>
                            <w:lang w:val="es-ES_tradnl"/>
                          </w:rPr>
                          <w:t xml:space="preserve"> degradación de la</w:t>
                        </w:r>
                        <w:r w:rsidRPr="00D37E8B">
                          <w:rPr>
                            <w:rFonts w:asciiTheme="minorHAnsi" w:hAnsiTheme="minorHAnsi" w:cstheme="minorHAnsi"/>
                            <w:sz w:val="18"/>
                            <w:szCs w:val="18"/>
                            <w:lang w:val="es-ES_tradnl"/>
                          </w:rPr>
                          <w:t xml:space="preserve"> tierra en la planificación local (PDOT y Planes de vida), lo que requiere la coordinación entre múltiples instituciones con diferentes mandatos y capacidades. Esto presenta un riesgo moderado debido a la posible debilidad de la articulación interinstitucional y la limitada capacidad local.</w:t>
                        </w:r>
                      </w:p>
                      <w:p w14:paraId="29CAC5AD" w14:textId="129A68F9" w:rsidR="00E77E71" w:rsidRPr="00A51E75" w:rsidRDefault="00000000" w:rsidP="008907C1">
                        <w:pPr>
                          <w:spacing w:before="40" w:after="40"/>
                          <w:rPr>
                            <w:rFonts w:asciiTheme="minorHAnsi" w:hAnsiTheme="minorHAnsi" w:cstheme="minorHAnsi"/>
                            <w:sz w:val="18"/>
                            <w:szCs w:val="18"/>
                            <w:lang w:val="en-US"/>
                          </w:rPr>
                        </w:pPr>
                      </w:p>
                    </w:sdtContent>
                  </w:sdt>
                </w:sdtContent>
              </w:sdt>
            </w:tc>
            <w:tc>
              <w:tcPr>
                <w:tcW w:w="588" w:type="pct"/>
                <w:tcMar>
                  <w:top w:w="0" w:type="dxa"/>
                  <w:left w:w="180" w:type="dxa"/>
                  <w:bottom w:w="0" w:type="dxa"/>
                  <w:right w:w="180" w:type="dxa"/>
                </w:tcMar>
              </w:tcPr>
              <w:sdt>
                <w:sdtPr>
                  <w:rPr>
                    <w:rFonts w:asciiTheme="minorHAnsi" w:hAnsiTheme="minorHAnsi" w:cstheme="minorHAnsi"/>
                    <w:sz w:val="18"/>
                    <w:szCs w:val="18"/>
                  </w:rPr>
                  <w:tag w:val="goog_rdk_149"/>
                  <w:id w:val="-27494505"/>
                </w:sdtPr>
                <w:sdtContent>
                  <w:sdt>
                    <w:sdtPr>
                      <w:rPr>
                        <w:rFonts w:asciiTheme="minorHAnsi" w:hAnsiTheme="minorHAnsi" w:cstheme="minorHAnsi"/>
                        <w:sz w:val="18"/>
                        <w:szCs w:val="18"/>
                      </w:rPr>
                      <w:tag w:val="goog_rdk_148"/>
                      <w:id w:val="-1654213597"/>
                    </w:sdtPr>
                    <w:sdtContent>
                      <w:p w14:paraId="27D7B071" w14:textId="17B2B96C" w:rsidR="00D344E2" w:rsidRPr="00D344E2" w:rsidRDefault="00D344E2" w:rsidP="00D344E2">
                        <w:pPr>
                          <w:spacing w:before="40" w:after="40"/>
                          <w:rPr>
                            <w:rFonts w:asciiTheme="minorHAnsi" w:hAnsiTheme="minorHAnsi" w:cstheme="minorHAnsi"/>
                            <w:sz w:val="18"/>
                            <w:szCs w:val="18"/>
                            <w:lang w:val="es-EC"/>
                          </w:rPr>
                        </w:pPr>
                        <w:r w:rsidRPr="00D344E2">
                          <w:rPr>
                            <w:rFonts w:ascii="inherit" w:hAnsi="inherit" w:cs="Courier New"/>
                            <w:color w:val="1F1F1F"/>
                            <w:sz w:val="42"/>
                            <w:szCs w:val="42"/>
                            <w:lang w:eastAsia="es-EC"/>
                          </w:rPr>
                          <w:t xml:space="preserve"> </w:t>
                        </w:r>
                        <w:r w:rsidRPr="00D344E2">
                          <w:rPr>
                            <w:rFonts w:asciiTheme="minorHAnsi" w:hAnsiTheme="minorHAnsi" w:cstheme="minorHAnsi"/>
                            <w:sz w:val="18"/>
                            <w:szCs w:val="18"/>
                            <w:lang w:val="es-ES_tradnl"/>
                          </w:rPr>
                          <w:t>4. ORGANIZATIVO (4.3. Disposiciones de implementación) - Apetito de riesgo del PNUD: EXPLORATORIO A ABIERTO</w:t>
                        </w:r>
                      </w:p>
                      <w:p w14:paraId="630E3F68" w14:textId="1898B958" w:rsidR="00E77E71" w:rsidRPr="00A51E75" w:rsidRDefault="00000000" w:rsidP="008907C1">
                        <w:pPr>
                          <w:spacing w:after="140"/>
                          <w:rPr>
                            <w:rFonts w:asciiTheme="minorHAnsi" w:hAnsiTheme="minorHAnsi" w:cstheme="minorHAnsi"/>
                            <w:sz w:val="18"/>
                            <w:szCs w:val="18"/>
                            <w:lang w:val="en-US"/>
                          </w:rPr>
                        </w:pPr>
                      </w:p>
                    </w:sdtContent>
                  </w:sdt>
                </w:sdtContent>
              </w:sdt>
            </w:tc>
            <w:tc>
              <w:tcPr>
                <w:tcW w:w="503" w:type="pct"/>
              </w:tcPr>
              <w:p w14:paraId="75D8924E" w14:textId="77777777" w:rsidR="00D344E2" w:rsidRPr="00D344E2" w:rsidRDefault="00D344E2" w:rsidP="00D344E2">
                <w:pPr>
                  <w:spacing w:after="140"/>
                  <w:rPr>
                    <w:rFonts w:asciiTheme="minorHAnsi" w:hAnsiTheme="minorHAnsi" w:cstheme="minorHAnsi"/>
                    <w:sz w:val="18"/>
                    <w:szCs w:val="18"/>
                  </w:rPr>
                </w:pPr>
                <w:r w:rsidRPr="00D344E2">
                  <w:rPr>
                    <w:rFonts w:asciiTheme="minorHAnsi" w:hAnsiTheme="minorHAnsi" w:cstheme="minorHAnsi"/>
                    <w:sz w:val="18"/>
                    <w:szCs w:val="18"/>
                  </w:rPr>
                  <w:t>Probabilidad:</w:t>
                </w:r>
              </w:p>
              <w:p w14:paraId="1071A377" w14:textId="77777777" w:rsidR="00D344E2" w:rsidRPr="00D344E2" w:rsidRDefault="00D344E2" w:rsidP="00D344E2">
                <w:pPr>
                  <w:spacing w:after="140"/>
                  <w:rPr>
                    <w:rFonts w:asciiTheme="minorHAnsi" w:hAnsiTheme="minorHAnsi" w:cstheme="minorHAnsi"/>
                    <w:sz w:val="18"/>
                    <w:szCs w:val="18"/>
                  </w:rPr>
                </w:pPr>
                <w:r w:rsidRPr="00D344E2">
                  <w:rPr>
                    <w:rFonts w:asciiTheme="minorHAnsi" w:hAnsiTheme="minorHAnsi" w:cstheme="minorHAnsi"/>
                    <w:sz w:val="18"/>
                    <w:szCs w:val="18"/>
                  </w:rPr>
                  <w:t>4 - Altamente probable</w:t>
                </w:r>
              </w:p>
              <w:p w14:paraId="7298B9B6" w14:textId="77777777" w:rsidR="00D344E2" w:rsidRPr="00D344E2" w:rsidRDefault="00D344E2" w:rsidP="00D344E2">
                <w:pPr>
                  <w:spacing w:after="140"/>
                  <w:rPr>
                    <w:rFonts w:asciiTheme="minorHAnsi" w:hAnsiTheme="minorHAnsi" w:cstheme="minorHAnsi"/>
                    <w:sz w:val="18"/>
                    <w:szCs w:val="18"/>
                  </w:rPr>
                </w:pPr>
              </w:p>
              <w:p w14:paraId="68195EC5" w14:textId="77777777" w:rsidR="00D344E2" w:rsidRPr="00D344E2" w:rsidRDefault="00D344E2" w:rsidP="00D344E2">
                <w:pPr>
                  <w:spacing w:after="140"/>
                  <w:rPr>
                    <w:rFonts w:asciiTheme="minorHAnsi" w:hAnsiTheme="minorHAnsi" w:cstheme="minorHAnsi"/>
                    <w:sz w:val="18"/>
                    <w:szCs w:val="18"/>
                  </w:rPr>
                </w:pPr>
                <w:r w:rsidRPr="00D344E2">
                  <w:rPr>
                    <w:rFonts w:asciiTheme="minorHAnsi" w:hAnsiTheme="minorHAnsi" w:cstheme="minorHAnsi"/>
                    <w:sz w:val="18"/>
                    <w:szCs w:val="18"/>
                  </w:rPr>
                  <w:t>Impacto:</w:t>
                </w:r>
              </w:p>
              <w:p w14:paraId="30559BE3" w14:textId="77777777" w:rsidR="00D344E2" w:rsidRPr="00D344E2" w:rsidRDefault="00D344E2" w:rsidP="00D344E2">
                <w:pPr>
                  <w:spacing w:after="140"/>
                  <w:rPr>
                    <w:rFonts w:asciiTheme="minorHAnsi" w:hAnsiTheme="minorHAnsi" w:cstheme="minorHAnsi"/>
                    <w:sz w:val="18"/>
                    <w:szCs w:val="18"/>
                  </w:rPr>
                </w:pPr>
                <w:r w:rsidRPr="00D344E2">
                  <w:rPr>
                    <w:rFonts w:asciiTheme="minorHAnsi" w:hAnsiTheme="minorHAnsi" w:cstheme="minorHAnsi"/>
                    <w:sz w:val="18"/>
                    <w:szCs w:val="18"/>
                  </w:rPr>
                  <w:t>3 - Intermedio</w:t>
                </w:r>
              </w:p>
              <w:p w14:paraId="5F4A11A7" w14:textId="77777777" w:rsidR="00D344E2" w:rsidRPr="00D344E2" w:rsidRDefault="00D344E2" w:rsidP="00D344E2">
                <w:pPr>
                  <w:spacing w:after="140"/>
                  <w:rPr>
                    <w:rFonts w:asciiTheme="minorHAnsi" w:hAnsiTheme="minorHAnsi" w:cstheme="minorHAnsi"/>
                    <w:sz w:val="18"/>
                    <w:szCs w:val="18"/>
                  </w:rPr>
                </w:pPr>
              </w:p>
              <w:p w14:paraId="37942ABB" w14:textId="77777777" w:rsidR="00D344E2" w:rsidRPr="00D344E2" w:rsidRDefault="00D344E2" w:rsidP="00D344E2">
                <w:pPr>
                  <w:spacing w:after="140"/>
                  <w:rPr>
                    <w:rFonts w:asciiTheme="minorHAnsi" w:hAnsiTheme="minorHAnsi" w:cstheme="minorHAnsi"/>
                    <w:sz w:val="18"/>
                    <w:szCs w:val="18"/>
                  </w:rPr>
                </w:pPr>
                <w:r w:rsidRPr="00D344E2">
                  <w:rPr>
                    <w:rFonts w:asciiTheme="minorHAnsi" w:hAnsiTheme="minorHAnsi" w:cstheme="minorHAnsi"/>
                    <w:sz w:val="18"/>
                    <w:szCs w:val="18"/>
                  </w:rPr>
                  <w:t>Nivel de riesgo:</w:t>
                </w:r>
              </w:p>
              <w:p w14:paraId="4A381376" w14:textId="77777777" w:rsidR="00D344E2" w:rsidRPr="00D344E2" w:rsidRDefault="00D344E2" w:rsidP="00D344E2">
                <w:pPr>
                  <w:spacing w:after="140"/>
                  <w:rPr>
                    <w:rFonts w:asciiTheme="minorHAnsi" w:hAnsiTheme="minorHAnsi" w:cstheme="minorHAnsi"/>
                    <w:sz w:val="18"/>
                    <w:szCs w:val="18"/>
                    <w:lang w:val="es-EC"/>
                  </w:rPr>
                </w:pPr>
                <w:r w:rsidRPr="00D344E2">
                  <w:rPr>
                    <w:rFonts w:asciiTheme="minorHAnsi" w:hAnsiTheme="minorHAnsi" w:cstheme="minorHAnsi"/>
                    <w:sz w:val="18"/>
                    <w:szCs w:val="18"/>
                  </w:rPr>
                  <w:t>MODERADO (equivale a un nivel de tolerancia al riesgo EXPLORATORIO)</w:t>
                </w:r>
              </w:p>
              <w:p w14:paraId="4AA9939D" w14:textId="7714D913" w:rsidR="00E77E71" w:rsidRPr="00D344E2" w:rsidRDefault="00E77E71" w:rsidP="008907C1">
                <w:pPr>
                  <w:spacing w:after="144"/>
                  <w:rPr>
                    <w:rFonts w:asciiTheme="minorHAnsi" w:hAnsiTheme="minorHAnsi" w:cstheme="minorHAnsi"/>
                    <w:sz w:val="18"/>
                    <w:szCs w:val="18"/>
                    <w:lang w:val="es-EC"/>
                  </w:rPr>
                </w:pPr>
              </w:p>
            </w:tc>
            <w:tc>
              <w:tcPr>
                <w:tcW w:w="442" w:type="pct"/>
              </w:tcPr>
              <w:p w14:paraId="26E0DAD6" w14:textId="41C240C7" w:rsidR="00FB36A9" w:rsidRPr="00A51E75" w:rsidRDefault="00000000" w:rsidP="00FB36A9">
                <w:pPr>
                  <w:spacing w:before="144"/>
                  <w:rPr>
                    <w:rFonts w:asciiTheme="minorHAnsi" w:hAnsiTheme="minorHAnsi" w:cstheme="minorHAnsi"/>
                    <w:sz w:val="18"/>
                    <w:szCs w:val="18"/>
                  </w:rPr>
                </w:pPr>
                <w:sdt>
                  <w:sdtPr>
                    <w:rPr>
                      <w:rFonts w:asciiTheme="minorHAnsi" w:hAnsiTheme="minorHAnsi" w:cstheme="minorHAnsi"/>
                      <w:sz w:val="18"/>
                      <w:szCs w:val="18"/>
                    </w:rPr>
                    <w:tag w:val="goog_rdk_167"/>
                    <w:id w:val="-966041232"/>
                  </w:sdtPr>
                  <w:sdtEndPr>
                    <w:rPr>
                      <w:rFonts w:cstheme="minorBidi"/>
                    </w:rPr>
                  </w:sdtEndPr>
                  <w:sdtContent/>
                </w:sdt>
                <w:r w:rsidR="00FB36A9">
                  <w:rPr>
                    <w:rFonts w:asciiTheme="minorHAnsi" w:hAnsiTheme="minorHAnsi" w:cstheme="minorBidi"/>
                    <w:sz w:val="18"/>
                    <w:szCs w:val="18"/>
                  </w:rPr>
                  <w:t xml:space="preserve"> </w:t>
                </w:r>
                <w:sdt>
                  <w:sdtPr>
                    <w:rPr>
                      <w:rFonts w:asciiTheme="minorHAnsi" w:hAnsiTheme="minorHAnsi" w:cstheme="minorBidi"/>
                      <w:sz w:val="18"/>
                      <w:szCs w:val="18"/>
                    </w:rPr>
                    <w:tag w:val="goog_rdk_85"/>
                    <w:id w:val="-1405597959"/>
                  </w:sdtPr>
                  <w:sdtContent>
                    <w:sdt>
                      <w:sdtPr>
                        <w:rPr>
                          <w:rFonts w:asciiTheme="minorHAnsi" w:hAnsiTheme="minorHAnsi" w:cstheme="minorHAnsi"/>
                          <w:sz w:val="18"/>
                          <w:szCs w:val="18"/>
                        </w:rPr>
                        <w:tag w:val="goog_rdk_84"/>
                        <w:id w:val="293564512"/>
                      </w:sdtPr>
                      <w:sdtContent>
                        <w:r w:rsidR="00FB36A9">
                          <w:rPr>
                            <w:rFonts w:asciiTheme="minorHAnsi" w:hAnsiTheme="minorHAnsi" w:cstheme="minorHAnsi"/>
                            <w:sz w:val="18"/>
                            <w:szCs w:val="18"/>
                          </w:rPr>
                          <w:t>Desde</w:t>
                        </w:r>
                        <w:r w:rsidR="00FB36A9" w:rsidRPr="00A51E75">
                          <w:rPr>
                            <w:rFonts w:asciiTheme="minorHAnsi" w:hAnsiTheme="minorHAnsi" w:cstheme="minorHAnsi"/>
                            <w:sz w:val="18"/>
                            <w:szCs w:val="18"/>
                          </w:rPr>
                          <w:t>: 01-Jun-26</w:t>
                        </w:r>
                      </w:sdtContent>
                    </w:sdt>
                  </w:sdtContent>
                </w:sdt>
              </w:p>
              <w:sdt>
                <w:sdtPr>
                  <w:rPr>
                    <w:rFonts w:asciiTheme="minorHAnsi" w:hAnsiTheme="minorHAnsi" w:cstheme="minorBidi"/>
                    <w:sz w:val="18"/>
                    <w:szCs w:val="18"/>
                  </w:rPr>
                  <w:tag w:val="goog_rdk_87"/>
                  <w:id w:val="2074622193"/>
                </w:sdtPr>
                <w:sdtContent>
                  <w:p w14:paraId="1B3803CF" w14:textId="77777777" w:rsidR="00FB36A9" w:rsidRPr="00A51E75" w:rsidRDefault="00000000" w:rsidP="00FB36A9">
                    <w:pPr>
                      <w:rPr>
                        <w:rFonts w:asciiTheme="minorHAnsi" w:hAnsiTheme="minorHAnsi" w:cstheme="minorHAnsi"/>
                        <w:sz w:val="18"/>
                        <w:szCs w:val="18"/>
                      </w:rPr>
                    </w:pPr>
                    <w:sdt>
                      <w:sdtPr>
                        <w:rPr>
                          <w:rFonts w:asciiTheme="minorHAnsi" w:hAnsiTheme="minorHAnsi" w:cstheme="minorHAnsi"/>
                          <w:sz w:val="18"/>
                          <w:szCs w:val="18"/>
                        </w:rPr>
                        <w:tag w:val="goog_rdk_86"/>
                        <w:id w:val="-1147124393"/>
                      </w:sdtPr>
                      <w:sdtContent/>
                    </w:sdt>
                  </w:p>
                </w:sdtContent>
              </w:sdt>
              <w:p w14:paraId="79CF0EE1" w14:textId="31C08530" w:rsidR="00E77E71" w:rsidRPr="00A51E75" w:rsidRDefault="00000000" w:rsidP="00FB36A9">
                <w:pPr>
                  <w:spacing w:after="144"/>
                  <w:rPr>
                    <w:rFonts w:asciiTheme="minorHAnsi" w:hAnsiTheme="minorHAnsi" w:cstheme="minorHAnsi"/>
                    <w:sz w:val="18"/>
                    <w:szCs w:val="18"/>
                  </w:rPr>
                </w:pPr>
                <w:sdt>
                  <w:sdtPr>
                    <w:rPr>
                      <w:rFonts w:asciiTheme="minorHAnsi" w:hAnsiTheme="minorHAnsi" w:cstheme="minorBidi"/>
                      <w:sz w:val="18"/>
                      <w:szCs w:val="18"/>
                    </w:rPr>
                    <w:tag w:val="goog_rdk_89"/>
                    <w:id w:val="1621873123"/>
                  </w:sdtPr>
                  <w:sdtContent>
                    <w:sdt>
                      <w:sdtPr>
                        <w:rPr>
                          <w:rFonts w:asciiTheme="minorHAnsi" w:hAnsiTheme="minorHAnsi" w:cstheme="minorHAnsi"/>
                          <w:sz w:val="18"/>
                          <w:szCs w:val="18"/>
                        </w:rPr>
                        <w:tag w:val="goog_rdk_88"/>
                        <w:id w:val="1670443627"/>
                      </w:sdtPr>
                      <w:sdtContent>
                        <w:r w:rsidR="00FB36A9">
                          <w:rPr>
                            <w:rFonts w:asciiTheme="minorHAnsi" w:hAnsiTheme="minorHAnsi" w:cstheme="minorHAnsi"/>
                            <w:sz w:val="18"/>
                            <w:szCs w:val="18"/>
                          </w:rPr>
                          <w:t>Hasta</w:t>
                        </w:r>
                        <w:r w:rsidR="00FB36A9" w:rsidRPr="00A51E75">
                          <w:rPr>
                            <w:rFonts w:asciiTheme="minorHAnsi" w:hAnsiTheme="minorHAnsi" w:cstheme="minorHAnsi"/>
                            <w:sz w:val="18"/>
                            <w:szCs w:val="18"/>
                          </w:rPr>
                          <w:t>: 01-Jun-31</w:t>
                        </w:r>
                      </w:sdtContent>
                    </w:sdt>
                  </w:sdtContent>
                </w:sdt>
                <w:r w:rsidR="00FB36A9">
                  <w:rPr>
                    <w:rFonts w:asciiTheme="minorHAnsi" w:hAnsiTheme="minorHAnsi" w:cstheme="minorHAnsi"/>
                    <w:sz w:val="18"/>
                    <w:szCs w:val="18"/>
                  </w:rPr>
                  <w:t xml:space="preserve"> </w:t>
                </w:r>
                <w:sdt>
                  <w:sdtPr>
                    <w:rPr>
                      <w:rFonts w:asciiTheme="minorHAnsi" w:hAnsiTheme="minorHAnsi" w:cstheme="minorHAnsi"/>
                      <w:sz w:val="18"/>
                      <w:szCs w:val="18"/>
                    </w:rPr>
                    <w:tag w:val="goog_rdk_171"/>
                    <w:id w:val="1777981910"/>
                  </w:sdtPr>
                  <w:sdtContent/>
                </w:sdt>
              </w:p>
            </w:tc>
            <w:tc>
              <w:tcPr>
                <w:tcW w:w="559" w:type="pct"/>
              </w:tcPr>
              <w:sdt>
                <w:sdtPr>
                  <w:rPr>
                    <w:rFonts w:asciiTheme="minorHAnsi" w:hAnsiTheme="minorHAnsi" w:cstheme="minorHAnsi"/>
                    <w:sz w:val="18"/>
                    <w:szCs w:val="18"/>
                  </w:rPr>
                  <w:tag w:val="goog_rdk_173"/>
                  <w:id w:val="-1935121760"/>
                </w:sdtPr>
                <w:sdtContent>
                  <w:p w14:paraId="177AD882" w14:textId="01FC4E9F"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172"/>
                        <w:id w:val="1629435536"/>
                      </w:sdtPr>
                      <w:sdtContent>
                        <w:r w:rsidR="004319ED" w:rsidRPr="004319ED">
                          <w:rPr>
                            <w:rFonts w:asciiTheme="minorHAnsi" w:hAnsiTheme="minorHAnsi" w:cstheme="minorHAnsi"/>
                            <w:sz w:val="18"/>
                            <w:szCs w:val="18"/>
                            <w:lang w:val="es-EC"/>
                          </w:rPr>
                          <w:t xml:space="preserve"> Socio implementador, MAE y UGP </w:t>
                        </w:r>
                      </w:sdtContent>
                    </w:sdt>
                  </w:p>
                </w:sdtContent>
              </w:sdt>
            </w:tc>
            <w:tc>
              <w:tcPr>
                <w:tcW w:w="787" w:type="pct"/>
              </w:tcPr>
              <w:sdt>
                <w:sdtPr>
                  <w:rPr>
                    <w:rFonts w:asciiTheme="minorHAnsi" w:hAnsiTheme="minorHAnsi" w:cstheme="minorHAnsi"/>
                    <w:sz w:val="18"/>
                    <w:szCs w:val="18"/>
                  </w:rPr>
                  <w:tag w:val="goog_rdk_175"/>
                  <w:id w:val="-525566001"/>
                </w:sdtPr>
                <w:sdtContent>
                  <w:sdt>
                    <w:sdtPr>
                      <w:rPr>
                        <w:rFonts w:asciiTheme="minorHAnsi" w:hAnsiTheme="minorHAnsi" w:cstheme="minorHAnsi"/>
                        <w:sz w:val="18"/>
                        <w:szCs w:val="18"/>
                      </w:rPr>
                      <w:tag w:val="goog_rdk_174"/>
                      <w:id w:val="-197937662"/>
                    </w:sdtPr>
                    <w:sdtContent>
                      <w:p w14:paraId="5ED0B5FC" w14:textId="11A6A1EC" w:rsidR="00E77E71" w:rsidRPr="00DE1C8C" w:rsidRDefault="00DE1C8C" w:rsidP="008907C1">
                        <w:pPr>
                          <w:spacing w:after="240" w:line="276" w:lineRule="auto"/>
                          <w:rPr>
                            <w:rFonts w:asciiTheme="minorHAnsi" w:hAnsiTheme="minorHAnsi" w:cstheme="minorHAnsi"/>
                            <w:sz w:val="18"/>
                            <w:szCs w:val="18"/>
                            <w:lang w:val="es-EC"/>
                          </w:rPr>
                        </w:pPr>
                        <w:r w:rsidRPr="00DE1C8C">
                          <w:rPr>
                            <w:rFonts w:asciiTheme="minorHAnsi" w:hAnsiTheme="minorHAnsi" w:cstheme="minorHAnsi"/>
                            <w:sz w:val="18"/>
                            <w:szCs w:val="18"/>
                            <w:lang w:val="es-ES_tradnl"/>
                          </w:rPr>
                          <w:t>Para mitigar esto, el proyecto se alinea con los marcos nacionales (p. ej., ENBPA, REDD+, Plan NDT), con el apoyo de acuerdos formales con el Ministerio de Medio Ambiente y los Gobiernos Locales (GAD). Se establecerán plataformas interinstitucionales y mecanismos de coordinación territorial, junto con iniciativas de desarrollo de capacidades, para garantizar la alineación de políticas y la apropiación institucional</w:t>
                        </w:r>
                      </w:p>
                    </w:sdtContent>
                  </w:sdt>
                </w:sdtContent>
              </w:sdt>
            </w:tc>
          </w:tr>
        </w:sdtContent>
      </w:sdt>
      <w:sdt>
        <w:sdtPr>
          <w:rPr>
            <w:rFonts w:asciiTheme="minorHAnsi" w:hAnsiTheme="minorHAnsi" w:cstheme="minorHAnsi"/>
            <w:sz w:val="18"/>
            <w:szCs w:val="18"/>
          </w:rPr>
          <w:tag w:val="goog_rdk_176"/>
          <w:id w:val="-495803015"/>
        </w:sdtPr>
        <w:sdtContent>
          <w:tr w:rsidR="00A6422E" w:rsidRPr="00A51E75" w14:paraId="309AAD61" w14:textId="77777777" w:rsidTr="00A6422E">
            <w:trPr>
              <w:trHeight w:val="4793"/>
            </w:trPr>
            <w:tc>
              <w:tcPr>
                <w:tcW w:w="167" w:type="pct"/>
              </w:tcPr>
              <w:sdt>
                <w:sdtPr>
                  <w:rPr>
                    <w:rFonts w:asciiTheme="minorHAnsi" w:hAnsiTheme="minorHAnsi" w:cstheme="minorHAnsi"/>
                    <w:sz w:val="18"/>
                    <w:szCs w:val="18"/>
                  </w:rPr>
                  <w:tag w:val="goog_rdk_178"/>
                  <w:id w:val="-2061546855"/>
                </w:sdtPr>
                <w:sdtContent>
                  <w:p w14:paraId="1722B5E6" w14:textId="68EAFC53"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177"/>
                        <w:id w:val="-1176877389"/>
                      </w:sdtPr>
                      <w:sdtContent>
                        <w:r w:rsidR="00A6422E" w:rsidRPr="00A51E75">
                          <w:rPr>
                            <w:rFonts w:asciiTheme="minorHAnsi" w:hAnsiTheme="minorHAnsi" w:cstheme="minorHAnsi"/>
                            <w:sz w:val="18"/>
                            <w:szCs w:val="18"/>
                          </w:rPr>
                          <w:t>4</w:t>
                        </w:r>
                      </w:sdtContent>
                    </w:sdt>
                  </w:p>
                </w:sdtContent>
              </w:sdt>
            </w:tc>
            <w:tc>
              <w:tcPr>
                <w:tcW w:w="651" w:type="pct"/>
              </w:tcPr>
              <w:sdt>
                <w:sdtPr>
                  <w:rPr>
                    <w:rFonts w:asciiTheme="minorHAnsi" w:hAnsiTheme="minorHAnsi" w:cstheme="minorHAnsi"/>
                    <w:sz w:val="18"/>
                    <w:szCs w:val="18"/>
                  </w:rPr>
                  <w:tag w:val="goog_rdk_180"/>
                  <w:id w:val="1402254769"/>
                </w:sdtPr>
                <w:sdtContent>
                  <w:p w14:paraId="29A9067B" w14:textId="2D0A2C7B"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179"/>
                        <w:id w:val="481662080"/>
                      </w:sdtPr>
                      <w:sdtContent>
                        <w:r w:rsidR="00E77E71" w:rsidRPr="00A51E75">
                          <w:rPr>
                            <w:rFonts w:asciiTheme="minorHAnsi" w:hAnsiTheme="minorHAnsi" w:cstheme="minorHAnsi"/>
                            <w:sz w:val="18"/>
                            <w:szCs w:val="18"/>
                          </w:rPr>
                          <w:t>Tec</w:t>
                        </w:r>
                        <w:r w:rsidR="00D344E2">
                          <w:rPr>
                            <w:rFonts w:asciiTheme="minorHAnsi" w:hAnsiTheme="minorHAnsi" w:cstheme="minorHAnsi"/>
                            <w:sz w:val="18"/>
                            <w:szCs w:val="18"/>
                          </w:rPr>
                          <w:t>nológico</w:t>
                        </w:r>
                      </w:sdtContent>
                    </w:sdt>
                  </w:p>
                </w:sdtContent>
              </w:sdt>
            </w:tc>
            <w:tc>
              <w:tcPr>
                <w:tcW w:w="651" w:type="pct"/>
              </w:tcPr>
              <w:sdt>
                <w:sdtPr>
                  <w:rPr>
                    <w:rFonts w:asciiTheme="minorHAnsi" w:hAnsiTheme="minorHAnsi" w:cstheme="minorHAnsi"/>
                    <w:sz w:val="18"/>
                    <w:szCs w:val="18"/>
                  </w:rPr>
                  <w:tag w:val="goog_rdk_182"/>
                  <w:id w:val="165376664"/>
                </w:sdtPr>
                <w:sdtContent>
                  <w:p w14:paraId="546A72ED" w14:textId="57E10365"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181"/>
                        <w:id w:val="-1452000050"/>
                      </w:sdtPr>
                      <w:sdtContent>
                        <w:r w:rsidR="0053304E" w:rsidRPr="0053304E">
                          <w:rPr>
                            <w:rFonts w:asciiTheme="minorHAnsi" w:hAnsiTheme="minorHAnsi" w:cstheme="minorHAnsi"/>
                            <w:sz w:val="18"/>
                            <w:szCs w:val="18"/>
                            <w:lang w:val="es-EC"/>
                          </w:rPr>
                          <w:t xml:space="preserve"> El riesgo es transversal a todos los componentes del proyecto.</w:t>
                        </w:r>
                        <w:r w:rsidR="0053304E">
                          <w:rPr>
                            <w:rFonts w:asciiTheme="minorHAnsi" w:hAnsiTheme="minorHAnsi" w:cstheme="minorHAnsi"/>
                            <w:sz w:val="18"/>
                            <w:szCs w:val="18"/>
                          </w:rPr>
                          <w:t xml:space="preserve"> </w:t>
                        </w:r>
                      </w:sdtContent>
                    </w:sdt>
                  </w:p>
                </w:sdtContent>
              </w:sdt>
            </w:tc>
            <w:tc>
              <w:tcPr>
                <w:tcW w:w="652" w:type="pct"/>
              </w:tcPr>
              <w:sdt>
                <w:sdtPr>
                  <w:rPr>
                    <w:rFonts w:asciiTheme="minorHAnsi" w:hAnsiTheme="minorHAnsi" w:cstheme="minorHAnsi"/>
                    <w:sz w:val="18"/>
                    <w:szCs w:val="18"/>
                  </w:rPr>
                  <w:tag w:val="goog_rdk_184"/>
                  <w:id w:val="-2071181311"/>
                </w:sdtPr>
                <w:sdtContent>
                  <w:sdt>
                    <w:sdtPr>
                      <w:rPr>
                        <w:rFonts w:asciiTheme="minorHAnsi" w:hAnsiTheme="minorHAnsi" w:cstheme="minorHAnsi"/>
                        <w:sz w:val="18"/>
                        <w:szCs w:val="18"/>
                      </w:rPr>
                      <w:tag w:val="goog_rdk_183"/>
                      <w:id w:val="-1938516142"/>
                    </w:sdtPr>
                    <w:sdtContent>
                      <w:p w14:paraId="12C7CA90" w14:textId="33DA8560" w:rsidR="00E77E71" w:rsidRPr="00CB4738" w:rsidRDefault="00CB4738" w:rsidP="008907C1">
                        <w:pPr>
                          <w:spacing w:before="40" w:after="40"/>
                          <w:rPr>
                            <w:rFonts w:asciiTheme="minorHAnsi" w:hAnsiTheme="minorHAnsi" w:cstheme="minorHAnsi"/>
                            <w:sz w:val="18"/>
                            <w:szCs w:val="18"/>
                            <w:lang w:val="es-EC"/>
                          </w:rPr>
                        </w:pPr>
                        <w:r w:rsidRPr="00CB4738">
                          <w:rPr>
                            <w:rFonts w:asciiTheme="minorHAnsi" w:hAnsiTheme="minorHAnsi" w:cstheme="minorHAnsi"/>
                            <w:sz w:val="18"/>
                            <w:szCs w:val="18"/>
                            <w:lang w:val="es-ES_tradnl"/>
                          </w:rPr>
                          <w:t>Los riesgos tecnológicos, como la capacidad técnica limitada, el acceso inadecuado a herramientas o los desafíos en la adopción de tecnologías de restauración y monitoreo, podrían obstaculizar la eficacia y la sostenibilidad de las actividades de gestión del paisaje.</w:t>
                        </w:r>
                      </w:p>
                    </w:sdtContent>
                  </w:sdt>
                </w:sdtContent>
              </w:sdt>
            </w:tc>
            <w:tc>
              <w:tcPr>
                <w:tcW w:w="588" w:type="pct"/>
                <w:tcMar>
                  <w:top w:w="0" w:type="dxa"/>
                  <w:left w:w="180" w:type="dxa"/>
                  <w:bottom w:w="0" w:type="dxa"/>
                  <w:right w:w="180" w:type="dxa"/>
                </w:tcMar>
              </w:tcPr>
              <w:sdt>
                <w:sdtPr>
                  <w:rPr>
                    <w:rFonts w:asciiTheme="minorHAnsi" w:hAnsiTheme="minorHAnsi" w:cstheme="minorHAnsi"/>
                    <w:sz w:val="18"/>
                    <w:szCs w:val="18"/>
                  </w:rPr>
                  <w:tag w:val="goog_rdk_186"/>
                  <w:id w:val="-621227697"/>
                </w:sdtPr>
                <w:sdtContent>
                  <w:sdt>
                    <w:sdtPr>
                      <w:rPr>
                        <w:rFonts w:asciiTheme="minorHAnsi" w:hAnsiTheme="minorHAnsi" w:cstheme="minorHAnsi"/>
                        <w:sz w:val="18"/>
                        <w:szCs w:val="18"/>
                      </w:rPr>
                      <w:tag w:val="goog_rdk_185"/>
                      <w:id w:val="-1503039002"/>
                    </w:sdtPr>
                    <w:sdtContent>
                      <w:p w14:paraId="00A562FC" w14:textId="7D3E91E8" w:rsidR="00854B08" w:rsidRPr="00854B08" w:rsidRDefault="00854B08" w:rsidP="00854B08">
                        <w:pPr>
                          <w:spacing w:after="140"/>
                          <w:rPr>
                            <w:rFonts w:asciiTheme="minorHAnsi" w:hAnsiTheme="minorHAnsi" w:cstheme="minorHAnsi"/>
                            <w:sz w:val="18"/>
                            <w:szCs w:val="18"/>
                            <w:lang w:val="es-EC"/>
                          </w:rPr>
                        </w:pPr>
                        <w:r w:rsidRPr="00854B08">
                          <w:rPr>
                            <w:rFonts w:ascii="inherit" w:hAnsi="inherit" w:cs="Courier New"/>
                            <w:color w:val="1F1F1F"/>
                            <w:sz w:val="42"/>
                            <w:szCs w:val="42"/>
                            <w:lang w:eastAsia="es-EC"/>
                          </w:rPr>
                          <w:t xml:space="preserve"> </w:t>
                        </w:r>
                        <w:r w:rsidRPr="00854B08">
                          <w:rPr>
                            <w:rFonts w:asciiTheme="minorHAnsi" w:hAnsiTheme="minorHAnsi" w:cstheme="minorHAnsi"/>
                            <w:sz w:val="18"/>
                            <w:szCs w:val="18"/>
                            <w:lang w:val="es-ES_tradnl"/>
                          </w:rPr>
                          <w:t>3. OPERACIONAL (3.8. Capacidades de los socios) - Apetito de Riesgo del PNUD: EXPLORATORIO A ABRIR</w:t>
                        </w:r>
                      </w:p>
                      <w:p w14:paraId="15B2AF56" w14:textId="63D2FE10" w:rsidR="00E77E71" w:rsidRPr="00A51E75" w:rsidRDefault="00000000" w:rsidP="008907C1">
                        <w:pPr>
                          <w:spacing w:after="140"/>
                          <w:rPr>
                            <w:rFonts w:asciiTheme="minorHAnsi" w:hAnsiTheme="minorHAnsi" w:cstheme="minorHAnsi"/>
                            <w:sz w:val="18"/>
                            <w:szCs w:val="18"/>
                            <w:lang w:val="en-US"/>
                          </w:rPr>
                        </w:pPr>
                      </w:p>
                    </w:sdtContent>
                  </w:sdt>
                </w:sdtContent>
              </w:sdt>
            </w:tc>
            <w:tc>
              <w:tcPr>
                <w:tcW w:w="503" w:type="pct"/>
              </w:tcPr>
              <w:p w14:paraId="4A3A55FF" w14:textId="6BC31EDD" w:rsidR="00854B08" w:rsidRPr="00854B08" w:rsidRDefault="00000000" w:rsidP="00854B08">
                <w:pPr>
                  <w:spacing w:before="144"/>
                  <w:rPr>
                    <w:rFonts w:asciiTheme="minorHAnsi" w:hAnsiTheme="minorHAnsi" w:cstheme="minorHAnsi"/>
                    <w:sz w:val="18"/>
                    <w:szCs w:val="18"/>
                    <w:lang w:val="es-ES_tradnl"/>
                  </w:rPr>
                </w:pPr>
                <w:sdt>
                  <w:sdtPr>
                    <w:rPr>
                      <w:rFonts w:asciiTheme="minorHAnsi" w:hAnsiTheme="minorHAnsi" w:cstheme="minorHAnsi"/>
                      <w:sz w:val="18"/>
                      <w:szCs w:val="18"/>
                    </w:rPr>
                    <w:tag w:val="goog_rdk_188"/>
                    <w:id w:val="45110770"/>
                  </w:sdtPr>
                  <w:sdtEndPr>
                    <w:rPr>
                      <w:rFonts w:ascii="inherit" w:hAnsi="inherit" w:cs="Courier New"/>
                      <w:color w:val="1F1F1F"/>
                      <w:sz w:val="42"/>
                      <w:szCs w:val="42"/>
                      <w:lang w:eastAsia="es-EC"/>
                    </w:rPr>
                  </w:sdtEndPr>
                  <w:sdtContent/>
                </w:sdt>
                <w:r w:rsidR="00854B08" w:rsidRPr="00854B08">
                  <w:rPr>
                    <w:rFonts w:ascii="inherit" w:hAnsi="inherit" w:cs="Courier New"/>
                    <w:color w:val="1F1F1F"/>
                    <w:sz w:val="42"/>
                    <w:szCs w:val="42"/>
                    <w:lang w:eastAsia="es-EC"/>
                  </w:rPr>
                  <w:t xml:space="preserve"> </w:t>
                </w:r>
                <w:r w:rsidR="00854B08" w:rsidRPr="00854B08">
                  <w:rPr>
                    <w:rFonts w:asciiTheme="minorHAnsi" w:hAnsiTheme="minorHAnsi" w:cstheme="minorHAnsi"/>
                    <w:sz w:val="18"/>
                    <w:szCs w:val="18"/>
                    <w:lang w:val="es-ES_tradnl"/>
                  </w:rPr>
                  <w:t>Probabilidad:</w:t>
                </w:r>
              </w:p>
              <w:p w14:paraId="3B01FC6A" w14:textId="77777777" w:rsidR="00854B08" w:rsidRPr="00854B08" w:rsidRDefault="00854B08" w:rsidP="00854B08">
                <w:pPr>
                  <w:spacing w:before="144"/>
                  <w:rPr>
                    <w:rFonts w:asciiTheme="minorHAnsi" w:hAnsiTheme="minorHAnsi" w:cstheme="minorHAnsi"/>
                    <w:sz w:val="18"/>
                    <w:szCs w:val="18"/>
                  </w:rPr>
                </w:pPr>
                <w:r w:rsidRPr="00854B08">
                  <w:rPr>
                    <w:rFonts w:asciiTheme="minorHAnsi" w:hAnsiTheme="minorHAnsi" w:cstheme="minorHAnsi"/>
                    <w:sz w:val="18"/>
                    <w:szCs w:val="18"/>
                  </w:rPr>
                  <w:t>3 - Moderadamente probable</w:t>
                </w:r>
              </w:p>
              <w:p w14:paraId="563D541C" w14:textId="77777777" w:rsidR="00854B08" w:rsidRPr="00854B08" w:rsidRDefault="00854B08" w:rsidP="00854B08">
                <w:pPr>
                  <w:spacing w:before="144"/>
                  <w:rPr>
                    <w:rFonts w:asciiTheme="minorHAnsi" w:hAnsiTheme="minorHAnsi" w:cstheme="minorHAnsi"/>
                    <w:sz w:val="18"/>
                    <w:szCs w:val="18"/>
                  </w:rPr>
                </w:pPr>
              </w:p>
              <w:p w14:paraId="09D09BB4" w14:textId="77777777" w:rsidR="00854B08" w:rsidRPr="00854B08" w:rsidRDefault="00854B08" w:rsidP="00854B08">
                <w:pPr>
                  <w:spacing w:before="144"/>
                  <w:rPr>
                    <w:rFonts w:asciiTheme="minorHAnsi" w:hAnsiTheme="minorHAnsi" w:cstheme="minorHAnsi"/>
                    <w:sz w:val="18"/>
                    <w:szCs w:val="18"/>
                  </w:rPr>
                </w:pPr>
                <w:r w:rsidRPr="00854B08">
                  <w:rPr>
                    <w:rFonts w:asciiTheme="minorHAnsi" w:hAnsiTheme="minorHAnsi" w:cstheme="minorHAnsi"/>
                    <w:sz w:val="18"/>
                    <w:szCs w:val="18"/>
                  </w:rPr>
                  <w:t>Impacto:</w:t>
                </w:r>
              </w:p>
              <w:p w14:paraId="22F20097" w14:textId="77777777" w:rsidR="00854B08" w:rsidRPr="00854B08" w:rsidRDefault="00854B08" w:rsidP="00854B08">
                <w:pPr>
                  <w:spacing w:before="144"/>
                  <w:rPr>
                    <w:rFonts w:asciiTheme="minorHAnsi" w:hAnsiTheme="minorHAnsi" w:cstheme="minorHAnsi"/>
                    <w:sz w:val="18"/>
                    <w:szCs w:val="18"/>
                  </w:rPr>
                </w:pPr>
                <w:r w:rsidRPr="00854B08">
                  <w:rPr>
                    <w:rFonts w:asciiTheme="minorHAnsi" w:hAnsiTheme="minorHAnsi" w:cstheme="minorHAnsi"/>
                    <w:sz w:val="18"/>
                    <w:szCs w:val="18"/>
                  </w:rPr>
                  <w:t>3 - Intermedio</w:t>
                </w:r>
              </w:p>
              <w:p w14:paraId="390D5D2C" w14:textId="77777777" w:rsidR="00854B08" w:rsidRPr="00854B08" w:rsidRDefault="00854B08" w:rsidP="00854B08">
                <w:pPr>
                  <w:spacing w:before="144"/>
                  <w:rPr>
                    <w:rFonts w:asciiTheme="minorHAnsi" w:hAnsiTheme="minorHAnsi" w:cstheme="minorHAnsi"/>
                    <w:sz w:val="18"/>
                    <w:szCs w:val="18"/>
                  </w:rPr>
                </w:pPr>
              </w:p>
              <w:p w14:paraId="50BC434A" w14:textId="77777777" w:rsidR="00854B08" w:rsidRPr="00854B08" w:rsidRDefault="00854B08" w:rsidP="00854B08">
                <w:pPr>
                  <w:spacing w:before="144"/>
                  <w:rPr>
                    <w:rFonts w:asciiTheme="minorHAnsi" w:hAnsiTheme="minorHAnsi" w:cstheme="minorHAnsi"/>
                    <w:sz w:val="18"/>
                    <w:szCs w:val="18"/>
                  </w:rPr>
                </w:pPr>
                <w:r w:rsidRPr="00854B08">
                  <w:rPr>
                    <w:rFonts w:asciiTheme="minorHAnsi" w:hAnsiTheme="minorHAnsi" w:cstheme="minorHAnsi"/>
                    <w:sz w:val="18"/>
                    <w:szCs w:val="18"/>
                  </w:rPr>
                  <w:t>Nivel de riesgo:</w:t>
                </w:r>
              </w:p>
              <w:p w14:paraId="616E53B5" w14:textId="77777777" w:rsidR="00854B08" w:rsidRPr="00854B08" w:rsidRDefault="00854B08" w:rsidP="00854B08">
                <w:pPr>
                  <w:spacing w:before="144"/>
                  <w:rPr>
                    <w:rFonts w:asciiTheme="minorHAnsi" w:hAnsiTheme="minorHAnsi" w:cstheme="minorHAnsi"/>
                    <w:sz w:val="18"/>
                    <w:szCs w:val="18"/>
                    <w:lang w:val="es-EC"/>
                  </w:rPr>
                </w:pPr>
                <w:r w:rsidRPr="00854B08">
                  <w:rPr>
                    <w:rFonts w:asciiTheme="minorHAnsi" w:hAnsiTheme="minorHAnsi" w:cstheme="minorHAnsi"/>
                    <w:sz w:val="18"/>
                    <w:szCs w:val="18"/>
                  </w:rPr>
                  <w:t>BAJO (equivale a un nivel de tolerancia al riesgo CAUTELOSO)</w:t>
                </w:r>
              </w:p>
              <w:p w14:paraId="4DA0AFDC" w14:textId="608E412F" w:rsidR="00E77E71" w:rsidRPr="005165D1" w:rsidRDefault="00E77E71" w:rsidP="008907C1">
                <w:pPr>
                  <w:spacing w:after="40"/>
                  <w:rPr>
                    <w:rFonts w:asciiTheme="minorHAnsi" w:hAnsiTheme="minorHAnsi" w:cstheme="minorHAnsi"/>
                    <w:sz w:val="18"/>
                    <w:szCs w:val="18"/>
                    <w:lang w:val="es-EC"/>
                  </w:rPr>
                </w:pPr>
              </w:p>
            </w:tc>
            <w:tc>
              <w:tcPr>
                <w:tcW w:w="442" w:type="pct"/>
              </w:tcPr>
              <w:p w14:paraId="358A7C9F" w14:textId="2FC9FC2B" w:rsidR="00FB36A9" w:rsidRPr="00A51E75" w:rsidRDefault="00000000" w:rsidP="00FB36A9">
                <w:pPr>
                  <w:spacing w:before="144"/>
                  <w:rPr>
                    <w:rFonts w:asciiTheme="minorHAnsi" w:hAnsiTheme="minorHAnsi" w:cstheme="minorHAnsi"/>
                    <w:sz w:val="18"/>
                    <w:szCs w:val="18"/>
                  </w:rPr>
                </w:pPr>
                <w:sdt>
                  <w:sdtPr>
                    <w:rPr>
                      <w:rFonts w:asciiTheme="minorHAnsi" w:hAnsiTheme="minorHAnsi" w:cstheme="minorHAnsi"/>
                      <w:sz w:val="18"/>
                      <w:szCs w:val="18"/>
                    </w:rPr>
                    <w:tag w:val="goog_rdk_204"/>
                    <w:id w:val="-1875387855"/>
                  </w:sdtPr>
                  <w:sdtEndPr>
                    <w:rPr>
                      <w:rFonts w:cstheme="minorBidi"/>
                    </w:rPr>
                  </w:sdtEndPr>
                  <w:sdtContent/>
                </w:sdt>
                <w:r w:rsidR="00FB36A9">
                  <w:rPr>
                    <w:rFonts w:asciiTheme="minorHAnsi" w:hAnsiTheme="minorHAnsi" w:cstheme="minorBidi"/>
                    <w:sz w:val="18"/>
                    <w:szCs w:val="18"/>
                  </w:rPr>
                  <w:t xml:space="preserve"> </w:t>
                </w:r>
                <w:sdt>
                  <w:sdtPr>
                    <w:rPr>
                      <w:rFonts w:asciiTheme="minorHAnsi" w:hAnsiTheme="minorHAnsi" w:cstheme="minorBidi"/>
                      <w:sz w:val="18"/>
                      <w:szCs w:val="18"/>
                    </w:rPr>
                    <w:tag w:val="goog_rdk_85"/>
                    <w:id w:val="701907141"/>
                  </w:sdtPr>
                  <w:sdtContent>
                    <w:sdt>
                      <w:sdtPr>
                        <w:rPr>
                          <w:rFonts w:asciiTheme="minorHAnsi" w:hAnsiTheme="minorHAnsi" w:cstheme="minorHAnsi"/>
                          <w:sz w:val="18"/>
                          <w:szCs w:val="18"/>
                        </w:rPr>
                        <w:tag w:val="goog_rdk_84"/>
                        <w:id w:val="257114398"/>
                      </w:sdtPr>
                      <w:sdtContent>
                        <w:r w:rsidR="00FB36A9">
                          <w:rPr>
                            <w:rFonts w:asciiTheme="minorHAnsi" w:hAnsiTheme="minorHAnsi" w:cstheme="minorHAnsi"/>
                            <w:sz w:val="18"/>
                            <w:szCs w:val="18"/>
                          </w:rPr>
                          <w:t>Desde</w:t>
                        </w:r>
                        <w:r w:rsidR="00FB36A9" w:rsidRPr="00A51E75">
                          <w:rPr>
                            <w:rFonts w:asciiTheme="minorHAnsi" w:hAnsiTheme="minorHAnsi" w:cstheme="minorHAnsi"/>
                            <w:sz w:val="18"/>
                            <w:szCs w:val="18"/>
                          </w:rPr>
                          <w:t>: 01-Jun-26</w:t>
                        </w:r>
                      </w:sdtContent>
                    </w:sdt>
                  </w:sdtContent>
                </w:sdt>
              </w:p>
              <w:sdt>
                <w:sdtPr>
                  <w:rPr>
                    <w:rFonts w:asciiTheme="minorHAnsi" w:hAnsiTheme="minorHAnsi" w:cstheme="minorBidi"/>
                    <w:sz w:val="18"/>
                    <w:szCs w:val="18"/>
                  </w:rPr>
                  <w:tag w:val="goog_rdk_87"/>
                  <w:id w:val="1680624966"/>
                </w:sdtPr>
                <w:sdtContent>
                  <w:p w14:paraId="1CDBBBA0" w14:textId="77777777" w:rsidR="00FB36A9" w:rsidRPr="00A51E75" w:rsidRDefault="00000000" w:rsidP="00FB36A9">
                    <w:pPr>
                      <w:rPr>
                        <w:rFonts w:asciiTheme="minorHAnsi" w:hAnsiTheme="minorHAnsi" w:cstheme="minorHAnsi"/>
                        <w:sz w:val="18"/>
                        <w:szCs w:val="18"/>
                      </w:rPr>
                    </w:pPr>
                    <w:sdt>
                      <w:sdtPr>
                        <w:rPr>
                          <w:rFonts w:asciiTheme="minorHAnsi" w:hAnsiTheme="minorHAnsi" w:cstheme="minorHAnsi"/>
                          <w:sz w:val="18"/>
                          <w:szCs w:val="18"/>
                        </w:rPr>
                        <w:tag w:val="goog_rdk_86"/>
                        <w:id w:val="-948315874"/>
                      </w:sdtPr>
                      <w:sdtContent/>
                    </w:sdt>
                  </w:p>
                </w:sdtContent>
              </w:sdt>
              <w:p w14:paraId="23E36C9F" w14:textId="7AE7F5B4" w:rsidR="00E77E71" w:rsidRPr="00A51E75" w:rsidRDefault="00000000" w:rsidP="00FB36A9">
                <w:pPr>
                  <w:spacing w:after="144"/>
                  <w:rPr>
                    <w:rFonts w:asciiTheme="minorHAnsi" w:hAnsiTheme="minorHAnsi" w:cstheme="minorHAnsi"/>
                    <w:sz w:val="18"/>
                    <w:szCs w:val="18"/>
                  </w:rPr>
                </w:pPr>
                <w:sdt>
                  <w:sdtPr>
                    <w:rPr>
                      <w:rFonts w:asciiTheme="minorHAnsi" w:hAnsiTheme="minorHAnsi" w:cstheme="minorBidi"/>
                      <w:sz w:val="18"/>
                      <w:szCs w:val="18"/>
                    </w:rPr>
                    <w:tag w:val="goog_rdk_89"/>
                    <w:id w:val="-1430197249"/>
                  </w:sdtPr>
                  <w:sdtContent>
                    <w:sdt>
                      <w:sdtPr>
                        <w:rPr>
                          <w:rFonts w:asciiTheme="minorHAnsi" w:hAnsiTheme="minorHAnsi" w:cstheme="minorHAnsi"/>
                          <w:sz w:val="18"/>
                          <w:szCs w:val="18"/>
                        </w:rPr>
                        <w:tag w:val="goog_rdk_88"/>
                        <w:id w:val="-133574746"/>
                      </w:sdtPr>
                      <w:sdtContent>
                        <w:r w:rsidR="00FB36A9">
                          <w:rPr>
                            <w:rFonts w:asciiTheme="minorHAnsi" w:hAnsiTheme="minorHAnsi" w:cstheme="minorHAnsi"/>
                            <w:sz w:val="18"/>
                            <w:szCs w:val="18"/>
                          </w:rPr>
                          <w:t>Hasta</w:t>
                        </w:r>
                        <w:r w:rsidR="00FB36A9" w:rsidRPr="00A51E75">
                          <w:rPr>
                            <w:rFonts w:asciiTheme="minorHAnsi" w:hAnsiTheme="minorHAnsi" w:cstheme="minorHAnsi"/>
                            <w:sz w:val="18"/>
                            <w:szCs w:val="18"/>
                          </w:rPr>
                          <w:t>: 01-Jun-31</w:t>
                        </w:r>
                      </w:sdtContent>
                    </w:sdt>
                  </w:sdtContent>
                </w:sdt>
                <w:r w:rsidR="00FB36A9">
                  <w:rPr>
                    <w:rFonts w:asciiTheme="minorHAnsi" w:hAnsiTheme="minorHAnsi" w:cstheme="minorHAnsi"/>
                    <w:sz w:val="18"/>
                    <w:szCs w:val="18"/>
                  </w:rPr>
                  <w:t xml:space="preserve"> </w:t>
                </w:r>
                <w:sdt>
                  <w:sdtPr>
                    <w:rPr>
                      <w:rFonts w:asciiTheme="minorHAnsi" w:hAnsiTheme="minorHAnsi" w:cstheme="minorHAnsi"/>
                      <w:sz w:val="18"/>
                      <w:szCs w:val="18"/>
                    </w:rPr>
                    <w:tag w:val="goog_rdk_208"/>
                    <w:id w:val="1890831249"/>
                  </w:sdtPr>
                  <w:sdtContent/>
                </w:sdt>
              </w:p>
            </w:tc>
            <w:tc>
              <w:tcPr>
                <w:tcW w:w="559" w:type="pct"/>
              </w:tcPr>
              <w:sdt>
                <w:sdtPr>
                  <w:rPr>
                    <w:rFonts w:asciiTheme="minorHAnsi" w:hAnsiTheme="minorHAnsi" w:cstheme="minorHAnsi"/>
                    <w:sz w:val="18"/>
                    <w:szCs w:val="18"/>
                  </w:rPr>
                  <w:tag w:val="goog_rdk_210"/>
                  <w:id w:val="1784532895"/>
                </w:sdtPr>
                <w:sdtContent>
                  <w:p w14:paraId="66CAD884" w14:textId="50AB0123"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209"/>
                        <w:id w:val="-612059722"/>
                      </w:sdtPr>
                      <w:sdtContent>
                        <w:r w:rsidR="004319ED" w:rsidRPr="004319ED">
                          <w:rPr>
                            <w:rFonts w:asciiTheme="minorHAnsi" w:hAnsiTheme="minorHAnsi" w:cstheme="minorHAnsi"/>
                            <w:sz w:val="18"/>
                            <w:szCs w:val="18"/>
                            <w:lang w:val="es-EC"/>
                          </w:rPr>
                          <w:t xml:space="preserve"> Socio implementador, MAE y UGP </w:t>
                        </w:r>
                      </w:sdtContent>
                    </w:sdt>
                  </w:p>
                </w:sdtContent>
              </w:sdt>
              <w:sdt>
                <w:sdtPr>
                  <w:rPr>
                    <w:rFonts w:asciiTheme="minorHAnsi" w:hAnsiTheme="minorHAnsi" w:cstheme="minorHAnsi"/>
                    <w:sz w:val="18"/>
                    <w:szCs w:val="18"/>
                  </w:rPr>
                  <w:tag w:val="goog_rdk_212"/>
                  <w:id w:val="-1800829632"/>
                </w:sdtPr>
                <w:sdtContent>
                  <w:p w14:paraId="0EE1281B" w14:textId="77777777"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211"/>
                        <w:id w:val="1735578298"/>
                      </w:sdtPr>
                      <w:sdtContent/>
                    </w:sdt>
                  </w:p>
                </w:sdtContent>
              </w:sdt>
            </w:tc>
            <w:tc>
              <w:tcPr>
                <w:tcW w:w="787" w:type="pct"/>
              </w:tcPr>
              <w:sdt>
                <w:sdtPr>
                  <w:rPr>
                    <w:rFonts w:asciiTheme="minorHAnsi" w:hAnsiTheme="minorHAnsi" w:cstheme="minorHAnsi"/>
                    <w:sz w:val="18"/>
                    <w:szCs w:val="18"/>
                  </w:rPr>
                  <w:tag w:val="goog_rdk_214"/>
                  <w:id w:val="2090739272"/>
                </w:sdtPr>
                <w:sdtContent>
                  <w:p w14:paraId="6ECC59B7" w14:textId="2E623FFB" w:rsidR="00E77E71" w:rsidRPr="00A51E75" w:rsidRDefault="00000000" w:rsidP="008907C1">
                    <w:pPr>
                      <w:spacing w:before="40"/>
                      <w:rPr>
                        <w:rFonts w:asciiTheme="minorHAnsi" w:hAnsiTheme="minorHAnsi" w:cstheme="minorHAnsi"/>
                        <w:sz w:val="18"/>
                        <w:szCs w:val="18"/>
                      </w:rPr>
                    </w:pPr>
                    <w:sdt>
                      <w:sdtPr>
                        <w:rPr>
                          <w:rFonts w:asciiTheme="minorHAnsi" w:hAnsiTheme="minorHAnsi" w:cstheme="minorHAnsi"/>
                          <w:sz w:val="18"/>
                          <w:szCs w:val="18"/>
                        </w:rPr>
                        <w:tag w:val="goog_rdk_213"/>
                        <w:id w:val="889462020"/>
                      </w:sdtPr>
                      <w:sdtContent>
                        <w:r w:rsidR="00772137">
                          <w:t xml:space="preserve"> </w:t>
                        </w:r>
                        <w:r w:rsidR="00772137" w:rsidRPr="00772137">
                          <w:rPr>
                            <w:rFonts w:asciiTheme="minorHAnsi" w:hAnsiTheme="minorHAnsi" w:cstheme="minorHAnsi"/>
                            <w:sz w:val="18"/>
                            <w:szCs w:val="18"/>
                          </w:rPr>
                          <w:t xml:space="preserve">Se basa en técnicas adaptadas localmente, sistemas de alerta temprana y herramientas de restauración con un riesgo técnico mínimo. Se prevé capacitación y asistencia técnica. </w:t>
                        </w:r>
                      </w:sdtContent>
                    </w:sdt>
                  </w:p>
                </w:sdtContent>
              </w:sdt>
            </w:tc>
          </w:tr>
        </w:sdtContent>
      </w:sdt>
      <w:sdt>
        <w:sdtPr>
          <w:rPr>
            <w:rFonts w:asciiTheme="minorHAnsi" w:hAnsiTheme="minorHAnsi" w:cstheme="minorHAnsi"/>
            <w:sz w:val="18"/>
            <w:szCs w:val="18"/>
          </w:rPr>
          <w:tag w:val="goog_rdk_215"/>
          <w:id w:val="404962493"/>
        </w:sdtPr>
        <w:sdtContent>
          <w:tr w:rsidR="00A6422E" w:rsidRPr="00004288" w14:paraId="7AF19227" w14:textId="77777777" w:rsidTr="00A6422E">
            <w:trPr>
              <w:trHeight w:val="4793"/>
            </w:trPr>
            <w:tc>
              <w:tcPr>
                <w:tcW w:w="167" w:type="pct"/>
              </w:tcPr>
              <w:sdt>
                <w:sdtPr>
                  <w:rPr>
                    <w:rFonts w:asciiTheme="minorHAnsi" w:hAnsiTheme="minorHAnsi" w:cstheme="minorHAnsi"/>
                    <w:sz w:val="18"/>
                    <w:szCs w:val="18"/>
                  </w:rPr>
                  <w:tag w:val="goog_rdk_217"/>
                  <w:id w:val="1051038473"/>
                </w:sdtPr>
                <w:sdtContent>
                  <w:p w14:paraId="38FA2B4B" w14:textId="3E0BF458"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216"/>
                        <w:id w:val="-2098777949"/>
                      </w:sdtPr>
                      <w:sdtContent>
                        <w:r w:rsidR="00A6422E" w:rsidRPr="00A51E75">
                          <w:rPr>
                            <w:rFonts w:asciiTheme="minorHAnsi" w:hAnsiTheme="minorHAnsi" w:cstheme="minorHAnsi"/>
                            <w:sz w:val="18"/>
                            <w:szCs w:val="18"/>
                          </w:rPr>
                          <w:t>5</w:t>
                        </w:r>
                      </w:sdtContent>
                    </w:sdt>
                  </w:p>
                </w:sdtContent>
              </w:sdt>
            </w:tc>
            <w:tc>
              <w:tcPr>
                <w:tcW w:w="651" w:type="pct"/>
              </w:tcPr>
              <w:sdt>
                <w:sdtPr>
                  <w:rPr>
                    <w:rFonts w:asciiTheme="minorHAnsi" w:hAnsiTheme="minorHAnsi" w:cstheme="minorHAnsi"/>
                    <w:sz w:val="18"/>
                    <w:szCs w:val="18"/>
                  </w:rPr>
                  <w:tag w:val="goog_rdk_219"/>
                  <w:id w:val="-227068686"/>
                </w:sdtPr>
                <w:sdtContent>
                  <w:sdt>
                    <w:sdtPr>
                      <w:rPr>
                        <w:rFonts w:asciiTheme="minorHAnsi" w:hAnsiTheme="minorHAnsi" w:cstheme="minorHAnsi"/>
                        <w:sz w:val="18"/>
                        <w:szCs w:val="18"/>
                      </w:rPr>
                      <w:tag w:val="goog_rdk_218"/>
                      <w:id w:val="276917431"/>
                    </w:sdtPr>
                    <w:sdtContent>
                      <w:p w14:paraId="35120B65" w14:textId="4FF4C7F1" w:rsidR="00A3768A" w:rsidRPr="00A3768A" w:rsidRDefault="00A3768A" w:rsidP="00A3768A">
                        <w:pPr>
                          <w:spacing w:before="40" w:after="40"/>
                          <w:rPr>
                            <w:rFonts w:asciiTheme="minorHAnsi" w:hAnsiTheme="minorHAnsi" w:cstheme="minorHAnsi"/>
                            <w:sz w:val="18"/>
                            <w:szCs w:val="18"/>
                            <w:lang w:val="es-EC"/>
                          </w:rPr>
                        </w:pPr>
                        <w:r w:rsidRPr="00A3768A">
                          <w:rPr>
                            <w:rFonts w:ascii="inherit" w:hAnsi="inherit" w:cs="Courier New"/>
                            <w:color w:val="1F1F1F"/>
                            <w:sz w:val="42"/>
                            <w:szCs w:val="42"/>
                            <w:lang w:eastAsia="es-EC"/>
                          </w:rPr>
                          <w:t xml:space="preserve"> </w:t>
                        </w:r>
                        <w:r w:rsidRPr="00A3768A">
                          <w:rPr>
                            <w:rFonts w:asciiTheme="minorHAnsi" w:hAnsiTheme="minorHAnsi" w:cstheme="minorHAnsi"/>
                            <w:sz w:val="18"/>
                            <w:szCs w:val="18"/>
                            <w:lang w:val="es-ES_tradnl"/>
                          </w:rPr>
                          <w:t>Modelo Financiero y de Negocios</w:t>
                        </w:r>
                      </w:p>
                      <w:p w14:paraId="705BB9E7" w14:textId="104BF7A3" w:rsidR="00E77E71" w:rsidRPr="00A51E75" w:rsidRDefault="00000000" w:rsidP="008907C1">
                        <w:pPr>
                          <w:spacing w:before="40" w:after="40"/>
                          <w:rPr>
                            <w:rFonts w:asciiTheme="minorHAnsi" w:hAnsiTheme="minorHAnsi" w:cstheme="minorHAnsi"/>
                            <w:sz w:val="18"/>
                            <w:szCs w:val="18"/>
                          </w:rPr>
                        </w:pPr>
                      </w:p>
                    </w:sdtContent>
                  </w:sdt>
                </w:sdtContent>
              </w:sdt>
            </w:tc>
            <w:tc>
              <w:tcPr>
                <w:tcW w:w="651" w:type="pct"/>
              </w:tcPr>
              <w:sdt>
                <w:sdtPr>
                  <w:rPr>
                    <w:rFonts w:asciiTheme="minorHAnsi" w:hAnsiTheme="minorHAnsi" w:cstheme="minorHAnsi"/>
                    <w:sz w:val="18"/>
                    <w:szCs w:val="18"/>
                  </w:rPr>
                  <w:tag w:val="goog_rdk_221"/>
                  <w:id w:val="1407343134"/>
                </w:sdtPr>
                <w:sdtContent>
                  <w:p w14:paraId="09F7D512" w14:textId="73D835EB"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220"/>
                        <w:id w:val="1929692281"/>
                      </w:sdtPr>
                      <w:sdtContent>
                        <w:r w:rsidR="0053304E" w:rsidRPr="0053304E">
                          <w:rPr>
                            <w:rFonts w:asciiTheme="minorHAnsi" w:hAnsiTheme="minorHAnsi" w:cstheme="minorHAnsi"/>
                            <w:sz w:val="18"/>
                            <w:szCs w:val="18"/>
                            <w:lang w:val="es-EC"/>
                          </w:rPr>
                          <w:t xml:space="preserve"> El riesgo es transversal a todos los componentes del proyecto.</w:t>
                        </w:r>
                        <w:r w:rsidR="0053304E">
                          <w:rPr>
                            <w:rFonts w:asciiTheme="minorHAnsi" w:hAnsiTheme="minorHAnsi" w:cstheme="minorHAnsi"/>
                            <w:sz w:val="18"/>
                            <w:szCs w:val="18"/>
                          </w:rPr>
                          <w:t xml:space="preserve"> </w:t>
                        </w:r>
                      </w:sdtContent>
                    </w:sdt>
                  </w:p>
                </w:sdtContent>
              </w:sdt>
            </w:tc>
            <w:tc>
              <w:tcPr>
                <w:tcW w:w="652" w:type="pct"/>
              </w:tcPr>
              <w:sdt>
                <w:sdtPr>
                  <w:rPr>
                    <w:rFonts w:asciiTheme="minorHAnsi" w:hAnsiTheme="minorHAnsi" w:cstheme="minorHAnsi"/>
                    <w:sz w:val="18"/>
                    <w:szCs w:val="18"/>
                  </w:rPr>
                  <w:tag w:val="goog_rdk_223"/>
                  <w:id w:val="584643656"/>
                </w:sdtPr>
                <w:sdtContent>
                  <w:sdt>
                    <w:sdtPr>
                      <w:rPr>
                        <w:rFonts w:asciiTheme="minorHAnsi" w:hAnsiTheme="minorHAnsi" w:cstheme="minorHAnsi"/>
                        <w:sz w:val="18"/>
                        <w:szCs w:val="18"/>
                      </w:rPr>
                      <w:tag w:val="goog_rdk_222"/>
                      <w:id w:val="2123647981"/>
                    </w:sdtPr>
                    <w:sdtContent>
                      <w:p w14:paraId="1E4280A9" w14:textId="77777777" w:rsidR="00CB4738" w:rsidRPr="00CB4738" w:rsidRDefault="00CB4738" w:rsidP="00CB4738">
                        <w:pPr>
                          <w:spacing w:before="40" w:after="40"/>
                          <w:rPr>
                            <w:rFonts w:asciiTheme="minorHAnsi" w:hAnsiTheme="minorHAnsi" w:cstheme="minorHAnsi"/>
                            <w:sz w:val="18"/>
                            <w:szCs w:val="18"/>
                            <w:lang w:val="es-EC"/>
                          </w:rPr>
                        </w:pPr>
                        <w:r w:rsidRPr="00CB4738">
                          <w:rPr>
                            <w:rFonts w:asciiTheme="minorHAnsi" w:hAnsiTheme="minorHAnsi" w:cstheme="minorHAnsi"/>
                            <w:sz w:val="18"/>
                            <w:szCs w:val="18"/>
                            <w:lang w:val="es-ES_tradnl"/>
                          </w:rPr>
                          <w:t>La dependencia del cofinanciamiento en especie y de instituciones como BanEcuador presenta riesgos significativos. Estos riesgos incluyen posibles retrasos o incumplimientos en la entrega de los recursos comprometidos, desajustes con los plazos o estándares del proyecto, y dificultades para garantizar la sostenibilidad a largo plazo de los resultados.</w:t>
                        </w:r>
                      </w:p>
                      <w:p w14:paraId="03B5DAA6" w14:textId="784EA8A9" w:rsidR="00E77E71" w:rsidRPr="00A51E75" w:rsidRDefault="00000000" w:rsidP="008907C1">
                        <w:pPr>
                          <w:spacing w:before="40" w:after="40"/>
                          <w:rPr>
                            <w:rFonts w:asciiTheme="minorHAnsi" w:hAnsiTheme="minorHAnsi" w:cstheme="minorHAnsi"/>
                            <w:sz w:val="18"/>
                            <w:szCs w:val="18"/>
                            <w:lang w:val="en-US"/>
                          </w:rPr>
                        </w:pPr>
                      </w:p>
                    </w:sdtContent>
                  </w:sdt>
                </w:sdtContent>
              </w:sdt>
            </w:tc>
            <w:tc>
              <w:tcPr>
                <w:tcW w:w="588" w:type="pct"/>
                <w:tcMar>
                  <w:top w:w="0" w:type="dxa"/>
                  <w:left w:w="180" w:type="dxa"/>
                  <w:bottom w:w="0" w:type="dxa"/>
                  <w:right w:w="180" w:type="dxa"/>
                </w:tcMar>
              </w:tcPr>
              <w:sdt>
                <w:sdtPr>
                  <w:rPr>
                    <w:rFonts w:asciiTheme="minorHAnsi" w:hAnsiTheme="minorHAnsi" w:cstheme="minorHAnsi"/>
                    <w:sz w:val="18"/>
                    <w:szCs w:val="18"/>
                  </w:rPr>
                  <w:tag w:val="goog_rdk_225"/>
                  <w:id w:val="-579289303"/>
                </w:sdtPr>
                <w:sdtContent>
                  <w:sdt>
                    <w:sdtPr>
                      <w:rPr>
                        <w:rFonts w:asciiTheme="minorHAnsi" w:hAnsiTheme="minorHAnsi" w:cstheme="minorHAnsi"/>
                        <w:sz w:val="18"/>
                        <w:szCs w:val="18"/>
                      </w:rPr>
                      <w:tag w:val="goog_rdk_224"/>
                      <w:id w:val="-810250933"/>
                    </w:sdtPr>
                    <w:sdtContent>
                      <w:p w14:paraId="2B469923" w14:textId="13FE0CF8" w:rsidR="00A3768A" w:rsidRPr="00A3768A" w:rsidRDefault="00A3768A" w:rsidP="00A3768A">
                        <w:pPr>
                          <w:spacing w:before="40" w:after="40"/>
                          <w:rPr>
                            <w:rFonts w:asciiTheme="minorHAnsi" w:hAnsiTheme="minorHAnsi" w:cstheme="minorHAnsi"/>
                            <w:sz w:val="18"/>
                            <w:szCs w:val="18"/>
                            <w:lang w:val="es-EC"/>
                          </w:rPr>
                        </w:pPr>
                        <w:r w:rsidRPr="00A3768A">
                          <w:rPr>
                            <w:rFonts w:ascii="inherit" w:hAnsi="inherit" w:cs="Courier New"/>
                            <w:color w:val="1F1F1F"/>
                            <w:sz w:val="42"/>
                            <w:szCs w:val="42"/>
                            <w:lang w:eastAsia="es-EC"/>
                          </w:rPr>
                          <w:t xml:space="preserve"> </w:t>
                        </w:r>
                        <w:r w:rsidRPr="00A3768A">
                          <w:rPr>
                            <w:rFonts w:asciiTheme="minorHAnsi" w:hAnsiTheme="minorHAnsi" w:cstheme="minorHAnsi"/>
                            <w:sz w:val="18"/>
                            <w:szCs w:val="18"/>
                            <w:lang w:val="es-ES_tradnl"/>
                          </w:rPr>
                          <w:t>2. FINANCIERO (2.6. Disponibilidad presupuestaria y flujo de caja) - Apetito de riesgo del PNUD: MÍNIMO A CAUTELOSO</w:t>
                        </w:r>
                      </w:p>
                      <w:p w14:paraId="7291D43D" w14:textId="4E6D8CA9" w:rsidR="00E77E71" w:rsidRPr="00A51E75" w:rsidRDefault="00000000" w:rsidP="008907C1">
                        <w:pPr>
                          <w:spacing w:after="140"/>
                          <w:rPr>
                            <w:rFonts w:asciiTheme="minorHAnsi" w:hAnsiTheme="minorHAnsi" w:cstheme="minorHAnsi"/>
                            <w:sz w:val="18"/>
                            <w:szCs w:val="18"/>
                            <w:lang w:val="en-US"/>
                          </w:rPr>
                        </w:pPr>
                      </w:p>
                    </w:sdtContent>
                  </w:sdt>
                </w:sdtContent>
              </w:sdt>
            </w:tc>
            <w:tc>
              <w:tcPr>
                <w:tcW w:w="503" w:type="pct"/>
              </w:tcPr>
              <w:p w14:paraId="6A21A610" w14:textId="77777777" w:rsidR="005165D1" w:rsidRPr="005165D1" w:rsidRDefault="005165D1" w:rsidP="005165D1">
                <w:pPr>
                  <w:spacing w:after="140"/>
                  <w:rPr>
                    <w:rFonts w:asciiTheme="minorHAnsi" w:hAnsiTheme="minorHAnsi" w:cstheme="minorHAnsi"/>
                    <w:sz w:val="18"/>
                    <w:szCs w:val="18"/>
                  </w:rPr>
                </w:pPr>
                <w:r w:rsidRPr="005165D1">
                  <w:rPr>
                    <w:rFonts w:asciiTheme="minorHAnsi" w:hAnsiTheme="minorHAnsi" w:cstheme="minorHAnsi"/>
                    <w:sz w:val="18"/>
                    <w:szCs w:val="18"/>
                  </w:rPr>
                  <w:t>Probabilidad:</w:t>
                </w:r>
              </w:p>
              <w:p w14:paraId="27ECB238" w14:textId="77777777" w:rsidR="005165D1" w:rsidRPr="005165D1" w:rsidRDefault="005165D1" w:rsidP="005165D1">
                <w:pPr>
                  <w:spacing w:after="140"/>
                  <w:rPr>
                    <w:rFonts w:asciiTheme="minorHAnsi" w:hAnsiTheme="minorHAnsi" w:cstheme="minorHAnsi"/>
                    <w:sz w:val="18"/>
                    <w:szCs w:val="18"/>
                  </w:rPr>
                </w:pPr>
                <w:r w:rsidRPr="005165D1">
                  <w:rPr>
                    <w:rFonts w:asciiTheme="minorHAnsi" w:hAnsiTheme="minorHAnsi" w:cstheme="minorHAnsi"/>
                    <w:sz w:val="18"/>
                    <w:szCs w:val="18"/>
                  </w:rPr>
                  <w:t>3 - Moderadamente probable</w:t>
                </w:r>
              </w:p>
              <w:p w14:paraId="3E7DD23B" w14:textId="77777777" w:rsidR="005165D1" w:rsidRPr="005165D1" w:rsidRDefault="005165D1" w:rsidP="005165D1">
                <w:pPr>
                  <w:spacing w:after="140"/>
                  <w:rPr>
                    <w:rFonts w:asciiTheme="minorHAnsi" w:hAnsiTheme="minorHAnsi" w:cstheme="minorHAnsi"/>
                    <w:sz w:val="18"/>
                    <w:szCs w:val="18"/>
                  </w:rPr>
                </w:pPr>
              </w:p>
              <w:p w14:paraId="7BF6EAA3" w14:textId="77777777" w:rsidR="005165D1" w:rsidRPr="005165D1" w:rsidRDefault="005165D1" w:rsidP="005165D1">
                <w:pPr>
                  <w:spacing w:after="140"/>
                  <w:rPr>
                    <w:rFonts w:asciiTheme="minorHAnsi" w:hAnsiTheme="minorHAnsi" w:cstheme="minorHAnsi"/>
                    <w:sz w:val="18"/>
                    <w:szCs w:val="18"/>
                  </w:rPr>
                </w:pPr>
                <w:r w:rsidRPr="005165D1">
                  <w:rPr>
                    <w:rFonts w:asciiTheme="minorHAnsi" w:hAnsiTheme="minorHAnsi" w:cstheme="minorHAnsi"/>
                    <w:sz w:val="18"/>
                    <w:szCs w:val="18"/>
                  </w:rPr>
                  <w:t>Impacto:</w:t>
                </w:r>
              </w:p>
              <w:p w14:paraId="4A945AD0" w14:textId="77777777" w:rsidR="005165D1" w:rsidRPr="005165D1" w:rsidRDefault="005165D1" w:rsidP="005165D1">
                <w:pPr>
                  <w:spacing w:after="140"/>
                  <w:rPr>
                    <w:rFonts w:asciiTheme="minorHAnsi" w:hAnsiTheme="minorHAnsi" w:cstheme="minorHAnsi"/>
                    <w:sz w:val="18"/>
                    <w:szCs w:val="18"/>
                  </w:rPr>
                </w:pPr>
                <w:r w:rsidRPr="005165D1">
                  <w:rPr>
                    <w:rFonts w:asciiTheme="minorHAnsi" w:hAnsiTheme="minorHAnsi" w:cstheme="minorHAnsi"/>
                    <w:sz w:val="18"/>
                    <w:szCs w:val="18"/>
                  </w:rPr>
                  <w:t>4 - Extenso</w:t>
                </w:r>
              </w:p>
              <w:p w14:paraId="386CB11C" w14:textId="77777777" w:rsidR="005165D1" w:rsidRPr="005165D1" w:rsidRDefault="005165D1" w:rsidP="005165D1">
                <w:pPr>
                  <w:spacing w:after="140"/>
                  <w:rPr>
                    <w:rFonts w:asciiTheme="minorHAnsi" w:hAnsiTheme="minorHAnsi" w:cstheme="minorHAnsi"/>
                    <w:sz w:val="18"/>
                    <w:szCs w:val="18"/>
                  </w:rPr>
                </w:pPr>
              </w:p>
              <w:p w14:paraId="3CD346F4" w14:textId="77777777" w:rsidR="005165D1" w:rsidRPr="005165D1" w:rsidRDefault="005165D1" w:rsidP="005165D1">
                <w:pPr>
                  <w:spacing w:after="140"/>
                  <w:rPr>
                    <w:rFonts w:asciiTheme="minorHAnsi" w:hAnsiTheme="minorHAnsi" w:cstheme="minorHAnsi"/>
                    <w:sz w:val="18"/>
                    <w:szCs w:val="18"/>
                  </w:rPr>
                </w:pPr>
                <w:r w:rsidRPr="005165D1">
                  <w:rPr>
                    <w:rFonts w:asciiTheme="minorHAnsi" w:hAnsiTheme="minorHAnsi" w:cstheme="minorHAnsi"/>
                    <w:sz w:val="18"/>
                    <w:szCs w:val="18"/>
                  </w:rPr>
                  <w:t>Nivel de riesgo:</w:t>
                </w:r>
              </w:p>
              <w:p w14:paraId="1055D8EF" w14:textId="77777777" w:rsidR="005165D1" w:rsidRPr="005165D1" w:rsidRDefault="005165D1" w:rsidP="005165D1">
                <w:pPr>
                  <w:spacing w:after="140"/>
                  <w:rPr>
                    <w:rFonts w:asciiTheme="minorHAnsi" w:hAnsiTheme="minorHAnsi" w:cstheme="minorHAnsi"/>
                    <w:sz w:val="18"/>
                    <w:szCs w:val="18"/>
                    <w:lang w:val="es-EC"/>
                  </w:rPr>
                </w:pPr>
                <w:r w:rsidRPr="005165D1">
                  <w:rPr>
                    <w:rFonts w:asciiTheme="minorHAnsi" w:hAnsiTheme="minorHAnsi" w:cstheme="minorHAnsi"/>
                    <w:sz w:val="18"/>
                    <w:szCs w:val="18"/>
                  </w:rPr>
                  <w:t>SUSTANCIAL (equivale a un apetito de riesgo ABIERTO)</w:t>
                </w:r>
              </w:p>
              <w:p w14:paraId="4E3EE657" w14:textId="79F293EB" w:rsidR="00E77E71" w:rsidRPr="005165D1" w:rsidRDefault="00E77E71" w:rsidP="008907C1">
                <w:pPr>
                  <w:spacing w:after="40"/>
                  <w:rPr>
                    <w:rFonts w:asciiTheme="minorHAnsi" w:hAnsiTheme="minorHAnsi" w:cstheme="minorHAnsi"/>
                    <w:sz w:val="18"/>
                    <w:szCs w:val="18"/>
                    <w:lang w:val="es-EC"/>
                  </w:rPr>
                </w:pPr>
              </w:p>
            </w:tc>
            <w:tc>
              <w:tcPr>
                <w:tcW w:w="442" w:type="pct"/>
              </w:tcPr>
              <w:p w14:paraId="1E51E5B6" w14:textId="6A837B14" w:rsidR="00FB36A9" w:rsidRPr="00A51E75" w:rsidRDefault="00000000" w:rsidP="00FB36A9">
                <w:pPr>
                  <w:spacing w:before="144"/>
                  <w:rPr>
                    <w:rFonts w:asciiTheme="minorHAnsi" w:hAnsiTheme="minorHAnsi" w:cstheme="minorHAnsi"/>
                    <w:sz w:val="18"/>
                    <w:szCs w:val="18"/>
                  </w:rPr>
                </w:pPr>
                <w:sdt>
                  <w:sdtPr>
                    <w:rPr>
                      <w:rFonts w:asciiTheme="minorHAnsi" w:hAnsiTheme="minorHAnsi" w:cstheme="minorHAnsi"/>
                      <w:sz w:val="18"/>
                      <w:szCs w:val="18"/>
                    </w:rPr>
                    <w:tag w:val="goog_rdk_243"/>
                    <w:id w:val="-133556949"/>
                  </w:sdtPr>
                  <w:sdtEndPr>
                    <w:rPr>
                      <w:rFonts w:cstheme="minorBidi"/>
                    </w:rPr>
                  </w:sdtEndPr>
                  <w:sdtContent/>
                </w:sdt>
                <w:r w:rsidR="00FB36A9">
                  <w:rPr>
                    <w:rFonts w:asciiTheme="minorHAnsi" w:hAnsiTheme="minorHAnsi" w:cstheme="minorBidi"/>
                    <w:sz w:val="18"/>
                    <w:szCs w:val="18"/>
                  </w:rPr>
                  <w:t xml:space="preserve"> </w:t>
                </w:r>
                <w:sdt>
                  <w:sdtPr>
                    <w:rPr>
                      <w:rFonts w:asciiTheme="minorHAnsi" w:hAnsiTheme="minorHAnsi" w:cstheme="minorBidi"/>
                      <w:sz w:val="18"/>
                      <w:szCs w:val="18"/>
                    </w:rPr>
                    <w:tag w:val="goog_rdk_85"/>
                    <w:id w:val="-1587154742"/>
                  </w:sdtPr>
                  <w:sdtContent>
                    <w:sdt>
                      <w:sdtPr>
                        <w:rPr>
                          <w:rFonts w:asciiTheme="minorHAnsi" w:hAnsiTheme="minorHAnsi" w:cstheme="minorHAnsi"/>
                          <w:sz w:val="18"/>
                          <w:szCs w:val="18"/>
                        </w:rPr>
                        <w:tag w:val="goog_rdk_84"/>
                        <w:id w:val="-621457786"/>
                      </w:sdtPr>
                      <w:sdtContent>
                        <w:r w:rsidR="00FB36A9">
                          <w:rPr>
                            <w:rFonts w:asciiTheme="minorHAnsi" w:hAnsiTheme="minorHAnsi" w:cstheme="minorHAnsi"/>
                            <w:sz w:val="18"/>
                            <w:szCs w:val="18"/>
                          </w:rPr>
                          <w:t>Desde</w:t>
                        </w:r>
                        <w:r w:rsidR="00FB36A9" w:rsidRPr="00A51E75">
                          <w:rPr>
                            <w:rFonts w:asciiTheme="minorHAnsi" w:hAnsiTheme="minorHAnsi" w:cstheme="minorHAnsi"/>
                            <w:sz w:val="18"/>
                            <w:szCs w:val="18"/>
                          </w:rPr>
                          <w:t>: 01-Jun-26</w:t>
                        </w:r>
                      </w:sdtContent>
                    </w:sdt>
                  </w:sdtContent>
                </w:sdt>
              </w:p>
              <w:sdt>
                <w:sdtPr>
                  <w:rPr>
                    <w:rFonts w:asciiTheme="minorHAnsi" w:hAnsiTheme="minorHAnsi" w:cstheme="minorBidi"/>
                    <w:sz w:val="18"/>
                    <w:szCs w:val="18"/>
                  </w:rPr>
                  <w:tag w:val="goog_rdk_87"/>
                  <w:id w:val="-1068964667"/>
                </w:sdtPr>
                <w:sdtContent>
                  <w:p w14:paraId="46E62965" w14:textId="77777777" w:rsidR="00FB36A9" w:rsidRPr="00A51E75" w:rsidRDefault="00000000" w:rsidP="00FB36A9">
                    <w:pPr>
                      <w:rPr>
                        <w:rFonts w:asciiTheme="minorHAnsi" w:hAnsiTheme="minorHAnsi" w:cstheme="minorHAnsi"/>
                        <w:sz w:val="18"/>
                        <w:szCs w:val="18"/>
                      </w:rPr>
                    </w:pPr>
                    <w:sdt>
                      <w:sdtPr>
                        <w:rPr>
                          <w:rFonts w:asciiTheme="minorHAnsi" w:hAnsiTheme="minorHAnsi" w:cstheme="minorHAnsi"/>
                          <w:sz w:val="18"/>
                          <w:szCs w:val="18"/>
                        </w:rPr>
                        <w:tag w:val="goog_rdk_86"/>
                        <w:id w:val="-1140254516"/>
                      </w:sdtPr>
                      <w:sdtContent/>
                    </w:sdt>
                  </w:p>
                </w:sdtContent>
              </w:sdt>
              <w:p w14:paraId="1FD41BF8" w14:textId="56969949" w:rsidR="00E77E71" w:rsidRPr="00A51E75" w:rsidRDefault="00000000" w:rsidP="00FB36A9">
                <w:pPr>
                  <w:spacing w:after="144"/>
                  <w:rPr>
                    <w:rFonts w:asciiTheme="minorHAnsi" w:hAnsiTheme="minorHAnsi" w:cstheme="minorHAnsi"/>
                    <w:sz w:val="18"/>
                    <w:szCs w:val="18"/>
                  </w:rPr>
                </w:pPr>
                <w:sdt>
                  <w:sdtPr>
                    <w:rPr>
                      <w:rFonts w:asciiTheme="minorHAnsi" w:hAnsiTheme="minorHAnsi" w:cstheme="minorBidi"/>
                      <w:sz w:val="18"/>
                      <w:szCs w:val="18"/>
                    </w:rPr>
                    <w:tag w:val="goog_rdk_89"/>
                    <w:id w:val="-2074496797"/>
                  </w:sdtPr>
                  <w:sdtContent>
                    <w:sdt>
                      <w:sdtPr>
                        <w:rPr>
                          <w:rFonts w:asciiTheme="minorHAnsi" w:hAnsiTheme="minorHAnsi" w:cstheme="minorHAnsi"/>
                          <w:sz w:val="18"/>
                          <w:szCs w:val="18"/>
                        </w:rPr>
                        <w:tag w:val="goog_rdk_88"/>
                        <w:id w:val="1336333658"/>
                      </w:sdtPr>
                      <w:sdtContent>
                        <w:r w:rsidR="00FB36A9">
                          <w:rPr>
                            <w:rFonts w:asciiTheme="minorHAnsi" w:hAnsiTheme="minorHAnsi" w:cstheme="minorHAnsi"/>
                            <w:sz w:val="18"/>
                            <w:szCs w:val="18"/>
                          </w:rPr>
                          <w:t>Hasta</w:t>
                        </w:r>
                        <w:r w:rsidR="00FB36A9" w:rsidRPr="00A51E75">
                          <w:rPr>
                            <w:rFonts w:asciiTheme="minorHAnsi" w:hAnsiTheme="minorHAnsi" w:cstheme="minorHAnsi"/>
                            <w:sz w:val="18"/>
                            <w:szCs w:val="18"/>
                          </w:rPr>
                          <w:t>: 01-Jun-31</w:t>
                        </w:r>
                      </w:sdtContent>
                    </w:sdt>
                  </w:sdtContent>
                </w:sdt>
                <w:r w:rsidR="00FB36A9">
                  <w:rPr>
                    <w:rFonts w:asciiTheme="minorHAnsi" w:hAnsiTheme="minorHAnsi" w:cstheme="minorHAnsi"/>
                    <w:sz w:val="18"/>
                    <w:szCs w:val="18"/>
                  </w:rPr>
                  <w:t xml:space="preserve"> </w:t>
                </w:r>
                <w:sdt>
                  <w:sdtPr>
                    <w:rPr>
                      <w:rFonts w:asciiTheme="minorHAnsi" w:hAnsiTheme="minorHAnsi" w:cstheme="minorHAnsi"/>
                      <w:sz w:val="18"/>
                      <w:szCs w:val="18"/>
                    </w:rPr>
                    <w:tag w:val="goog_rdk_247"/>
                    <w:id w:val="-1418093194"/>
                  </w:sdtPr>
                  <w:sdtContent/>
                </w:sdt>
              </w:p>
            </w:tc>
            <w:tc>
              <w:tcPr>
                <w:tcW w:w="559" w:type="pct"/>
              </w:tcPr>
              <w:sdt>
                <w:sdtPr>
                  <w:rPr>
                    <w:rFonts w:asciiTheme="minorHAnsi" w:hAnsiTheme="minorHAnsi" w:cstheme="minorHAnsi"/>
                    <w:sz w:val="18"/>
                    <w:szCs w:val="18"/>
                  </w:rPr>
                  <w:tag w:val="goog_rdk_249"/>
                  <w:id w:val="-370459220"/>
                </w:sdtPr>
                <w:sdtContent>
                  <w:p w14:paraId="2741AF6B" w14:textId="5E724440"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248"/>
                        <w:id w:val="552653801"/>
                      </w:sdtPr>
                      <w:sdtContent>
                        <w:r w:rsidR="004319ED" w:rsidRPr="004319ED">
                          <w:rPr>
                            <w:rFonts w:asciiTheme="minorHAnsi" w:hAnsiTheme="minorHAnsi" w:cstheme="minorHAnsi"/>
                            <w:sz w:val="18"/>
                            <w:szCs w:val="18"/>
                            <w:lang w:val="es-EC"/>
                          </w:rPr>
                          <w:t xml:space="preserve"> Socio implementador, MAE y UGP </w:t>
                        </w:r>
                      </w:sdtContent>
                    </w:sdt>
                  </w:p>
                </w:sdtContent>
              </w:sdt>
              <w:sdt>
                <w:sdtPr>
                  <w:rPr>
                    <w:rFonts w:asciiTheme="minorHAnsi" w:hAnsiTheme="minorHAnsi" w:cstheme="minorHAnsi"/>
                    <w:sz w:val="18"/>
                    <w:szCs w:val="18"/>
                  </w:rPr>
                  <w:tag w:val="goog_rdk_251"/>
                  <w:id w:val="-803619940"/>
                </w:sdtPr>
                <w:sdtContent>
                  <w:p w14:paraId="1DF369CD" w14:textId="77777777"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250"/>
                        <w:id w:val="968553083"/>
                      </w:sdtPr>
                      <w:sdtContent/>
                    </w:sdt>
                  </w:p>
                </w:sdtContent>
              </w:sdt>
            </w:tc>
            <w:tc>
              <w:tcPr>
                <w:tcW w:w="787" w:type="pct"/>
              </w:tcPr>
              <w:sdt>
                <w:sdtPr>
                  <w:rPr>
                    <w:rFonts w:asciiTheme="minorHAnsi" w:hAnsiTheme="minorHAnsi" w:cstheme="minorHAnsi"/>
                    <w:sz w:val="18"/>
                    <w:szCs w:val="18"/>
                  </w:rPr>
                  <w:tag w:val="goog_rdk_253"/>
                  <w:id w:val="1601218012"/>
                </w:sdtPr>
                <w:sdtContent>
                  <w:p w14:paraId="1E2E8D5B" w14:textId="309709FF" w:rsidR="00E77E71" w:rsidRPr="00004288" w:rsidRDefault="00000000" w:rsidP="008907C1">
                    <w:pPr>
                      <w:spacing w:before="40"/>
                      <w:rPr>
                        <w:rFonts w:asciiTheme="minorHAnsi" w:hAnsiTheme="minorHAnsi" w:cstheme="minorHAnsi"/>
                        <w:sz w:val="18"/>
                        <w:szCs w:val="18"/>
                        <w:lang w:val="es-EC"/>
                      </w:rPr>
                    </w:pPr>
                    <w:sdt>
                      <w:sdtPr>
                        <w:rPr>
                          <w:rFonts w:asciiTheme="minorHAnsi" w:hAnsiTheme="minorHAnsi" w:cstheme="minorHAnsi"/>
                          <w:sz w:val="18"/>
                          <w:szCs w:val="18"/>
                        </w:rPr>
                        <w:tag w:val="goog_rdk_252"/>
                        <w:id w:val="-1319577503"/>
                      </w:sdtPr>
                      <w:sdtContent>
                        <w:r w:rsidR="00772137" w:rsidRPr="00772137">
                          <w:rPr>
                            <w:rFonts w:asciiTheme="minorHAnsi" w:hAnsiTheme="minorHAnsi" w:cstheme="minorHAnsi"/>
                            <w:sz w:val="18"/>
                            <w:szCs w:val="18"/>
                          </w:rPr>
                          <w:t>Para mitigar estos riesgos, el proyecto formalizará acuerdos de cooperación específicos e implementará programas específicos de capacitación financiera y la provisión de herramientas financieras adaptadas, con un enfoque particular en las mujeres y los productores indígenas, para fortalecer su resiliencia y autonomía financiera.</w:t>
                        </w:r>
                      </w:sdtContent>
                    </w:sdt>
                  </w:p>
                </w:sdtContent>
              </w:sdt>
            </w:tc>
          </w:tr>
        </w:sdtContent>
      </w:sdt>
      <w:sdt>
        <w:sdtPr>
          <w:rPr>
            <w:rFonts w:asciiTheme="minorHAnsi" w:hAnsiTheme="minorHAnsi" w:cstheme="minorHAnsi"/>
            <w:sz w:val="18"/>
            <w:szCs w:val="18"/>
          </w:rPr>
          <w:tag w:val="goog_rdk_254"/>
          <w:id w:val="1896625355"/>
        </w:sdtPr>
        <w:sdtContent>
          <w:tr w:rsidR="00A6422E" w:rsidRPr="00004288" w14:paraId="6C6B663A" w14:textId="77777777" w:rsidTr="00A6422E">
            <w:trPr>
              <w:trHeight w:val="4793"/>
            </w:trPr>
            <w:tc>
              <w:tcPr>
                <w:tcW w:w="167" w:type="pct"/>
              </w:tcPr>
              <w:sdt>
                <w:sdtPr>
                  <w:rPr>
                    <w:rFonts w:asciiTheme="minorHAnsi" w:hAnsiTheme="minorHAnsi" w:cstheme="minorHAnsi"/>
                    <w:sz w:val="18"/>
                    <w:szCs w:val="18"/>
                  </w:rPr>
                  <w:tag w:val="goog_rdk_256"/>
                  <w:id w:val="232125224"/>
                </w:sdtPr>
                <w:sdtContent>
                  <w:p w14:paraId="2080E7EB" w14:textId="4A557B95"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255"/>
                        <w:id w:val="2033921977"/>
                      </w:sdtPr>
                      <w:sdtContent>
                        <w:r w:rsidR="00A6422E" w:rsidRPr="00A51E75">
                          <w:rPr>
                            <w:rFonts w:asciiTheme="minorHAnsi" w:hAnsiTheme="minorHAnsi" w:cstheme="minorHAnsi"/>
                            <w:sz w:val="18"/>
                            <w:szCs w:val="18"/>
                          </w:rPr>
                          <w:t>6</w:t>
                        </w:r>
                      </w:sdtContent>
                    </w:sdt>
                  </w:p>
                </w:sdtContent>
              </w:sdt>
            </w:tc>
            <w:tc>
              <w:tcPr>
                <w:tcW w:w="651" w:type="pct"/>
              </w:tcPr>
              <w:sdt>
                <w:sdtPr>
                  <w:rPr>
                    <w:rFonts w:asciiTheme="minorHAnsi" w:hAnsiTheme="minorHAnsi" w:cstheme="minorHAnsi"/>
                    <w:sz w:val="18"/>
                    <w:szCs w:val="18"/>
                  </w:rPr>
                  <w:tag w:val="goog_rdk_258"/>
                  <w:id w:val="-700167387"/>
                </w:sdtPr>
                <w:sdtContent>
                  <w:p w14:paraId="0C4DDEB1" w14:textId="7531409D"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257"/>
                        <w:id w:val="-979220277"/>
                      </w:sdtPr>
                      <w:sdtContent>
                        <w:r w:rsidR="005165D1">
                          <w:rPr>
                            <w:rFonts w:asciiTheme="minorHAnsi" w:hAnsiTheme="minorHAnsi" w:cstheme="minorHAnsi"/>
                            <w:sz w:val="18"/>
                            <w:szCs w:val="18"/>
                          </w:rPr>
                          <w:t>Capacidad para implementación</w:t>
                        </w:r>
                      </w:sdtContent>
                    </w:sdt>
                  </w:p>
                </w:sdtContent>
              </w:sdt>
            </w:tc>
            <w:tc>
              <w:tcPr>
                <w:tcW w:w="651" w:type="pct"/>
              </w:tcPr>
              <w:sdt>
                <w:sdtPr>
                  <w:rPr>
                    <w:rFonts w:asciiTheme="minorHAnsi" w:hAnsiTheme="minorHAnsi" w:cstheme="minorHAnsi"/>
                    <w:sz w:val="18"/>
                    <w:szCs w:val="18"/>
                  </w:rPr>
                  <w:tag w:val="goog_rdk_260"/>
                  <w:id w:val="1558435519"/>
                </w:sdtPr>
                <w:sdtContent>
                  <w:p w14:paraId="2264E83F" w14:textId="56DDE588"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259"/>
                        <w:id w:val="531464215"/>
                      </w:sdtPr>
                      <w:sdtContent>
                        <w:r w:rsidR="0053304E" w:rsidRPr="0053304E">
                          <w:rPr>
                            <w:rFonts w:asciiTheme="minorHAnsi" w:hAnsiTheme="minorHAnsi" w:cstheme="minorHAnsi"/>
                            <w:sz w:val="18"/>
                            <w:szCs w:val="18"/>
                            <w:lang w:val="es-EC"/>
                          </w:rPr>
                          <w:t xml:space="preserve"> El riesgo es transversal a todos los componentes del proyecto.</w:t>
                        </w:r>
                        <w:r w:rsidR="0053304E">
                          <w:rPr>
                            <w:rFonts w:asciiTheme="minorHAnsi" w:hAnsiTheme="minorHAnsi" w:cstheme="minorHAnsi"/>
                            <w:sz w:val="18"/>
                            <w:szCs w:val="18"/>
                          </w:rPr>
                          <w:t xml:space="preserve"> </w:t>
                        </w:r>
                      </w:sdtContent>
                    </w:sdt>
                  </w:p>
                </w:sdtContent>
              </w:sdt>
            </w:tc>
            <w:tc>
              <w:tcPr>
                <w:tcW w:w="652" w:type="pct"/>
              </w:tcPr>
              <w:sdt>
                <w:sdtPr>
                  <w:rPr>
                    <w:rFonts w:asciiTheme="minorHAnsi" w:hAnsiTheme="minorHAnsi" w:cstheme="minorHAnsi"/>
                    <w:sz w:val="18"/>
                    <w:szCs w:val="18"/>
                  </w:rPr>
                  <w:tag w:val="goog_rdk_262"/>
                  <w:id w:val="-873457995"/>
                </w:sdtPr>
                <w:sdtContent>
                  <w:sdt>
                    <w:sdtPr>
                      <w:rPr>
                        <w:rFonts w:asciiTheme="minorHAnsi" w:hAnsiTheme="minorHAnsi" w:cstheme="minorHAnsi"/>
                        <w:sz w:val="18"/>
                        <w:szCs w:val="18"/>
                      </w:rPr>
                      <w:tag w:val="goog_rdk_261"/>
                      <w:id w:val="-695010125"/>
                    </w:sdtPr>
                    <w:sdtContent>
                      <w:p w14:paraId="115D4C26" w14:textId="77777777" w:rsidR="00CC18A7" w:rsidRPr="00CC18A7" w:rsidRDefault="00CC18A7" w:rsidP="00CC18A7">
                        <w:pPr>
                          <w:spacing w:before="40" w:after="40"/>
                          <w:rPr>
                            <w:rFonts w:asciiTheme="minorHAnsi" w:hAnsiTheme="minorHAnsi" w:cstheme="minorHAnsi"/>
                            <w:sz w:val="18"/>
                            <w:szCs w:val="18"/>
                            <w:lang w:val="es-EC"/>
                          </w:rPr>
                        </w:pPr>
                        <w:r w:rsidRPr="00CC18A7">
                          <w:rPr>
                            <w:rFonts w:asciiTheme="minorHAnsi" w:hAnsiTheme="minorHAnsi" w:cstheme="minorHAnsi"/>
                            <w:sz w:val="18"/>
                            <w:szCs w:val="18"/>
                            <w:lang w:val="es-ES_tradnl"/>
                          </w:rPr>
                          <w:t>Si bien el MAE presenta bajo riesgo en control interno, adquisiciones y gestión financiera y programática (según la microevaluación HACT), su implementación multinivel en la cuenca del río Napo conlleva riesgos de coordinación debido a la diversidad sociocultural y territorial.</w:t>
                        </w:r>
                      </w:p>
                      <w:p w14:paraId="142E785B" w14:textId="433EFEFF" w:rsidR="00E77E71" w:rsidRPr="00A51E75" w:rsidRDefault="00000000" w:rsidP="008907C1">
                        <w:pPr>
                          <w:spacing w:before="40" w:after="40"/>
                          <w:rPr>
                            <w:rFonts w:asciiTheme="minorHAnsi" w:hAnsiTheme="minorHAnsi" w:cstheme="minorHAnsi"/>
                            <w:sz w:val="18"/>
                            <w:szCs w:val="18"/>
                            <w:lang w:val="en-US"/>
                          </w:rPr>
                        </w:pPr>
                      </w:p>
                    </w:sdtContent>
                  </w:sdt>
                </w:sdtContent>
              </w:sdt>
            </w:tc>
            <w:tc>
              <w:tcPr>
                <w:tcW w:w="588" w:type="pct"/>
                <w:tcMar>
                  <w:top w:w="0" w:type="dxa"/>
                  <w:left w:w="180" w:type="dxa"/>
                  <w:bottom w:w="0" w:type="dxa"/>
                  <w:right w:w="180" w:type="dxa"/>
                </w:tcMar>
              </w:tcPr>
              <w:sdt>
                <w:sdtPr>
                  <w:rPr>
                    <w:rFonts w:asciiTheme="minorHAnsi" w:hAnsiTheme="minorHAnsi" w:cstheme="minorHAnsi"/>
                    <w:sz w:val="18"/>
                    <w:szCs w:val="18"/>
                  </w:rPr>
                  <w:tag w:val="goog_rdk_264"/>
                  <w:id w:val="-1517995414"/>
                </w:sdtPr>
                <w:sdtContent>
                  <w:sdt>
                    <w:sdtPr>
                      <w:rPr>
                        <w:rFonts w:asciiTheme="minorHAnsi" w:hAnsiTheme="minorHAnsi" w:cstheme="minorHAnsi"/>
                        <w:sz w:val="18"/>
                        <w:szCs w:val="18"/>
                      </w:rPr>
                      <w:tag w:val="goog_rdk_263"/>
                      <w:id w:val="1649929353"/>
                    </w:sdtPr>
                    <w:sdtContent>
                      <w:p w14:paraId="5445EE94" w14:textId="0EE1777E" w:rsidR="005165D1" w:rsidRPr="005165D1" w:rsidRDefault="005165D1" w:rsidP="005165D1">
                        <w:pPr>
                          <w:spacing w:before="40" w:after="40"/>
                          <w:rPr>
                            <w:rFonts w:asciiTheme="minorHAnsi" w:hAnsiTheme="minorHAnsi" w:cstheme="minorHAnsi"/>
                            <w:sz w:val="18"/>
                            <w:szCs w:val="18"/>
                            <w:lang w:val="es-EC"/>
                          </w:rPr>
                        </w:pPr>
                        <w:r w:rsidRPr="005165D1">
                          <w:rPr>
                            <w:rFonts w:ascii="inherit" w:hAnsi="inherit" w:cs="Courier New"/>
                            <w:color w:val="1F1F1F"/>
                            <w:sz w:val="42"/>
                            <w:szCs w:val="42"/>
                            <w:lang w:eastAsia="es-EC"/>
                          </w:rPr>
                          <w:t xml:space="preserve"> </w:t>
                        </w:r>
                        <w:r w:rsidRPr="005165D1">
                          <w:rPr>
                            <w:rFonts w:asciiTheme="minorHAnsi" w:hAnsiTheme="minorHAnsi" w:cstheme="minorHAnsi"/>
                            <w:sz w:val="18"/>
                            <w:szCs w:val="18"/>
                            <w:lang w:val="es-ES_tradnl"/>
                          </w:rPr>
                          <w:t>3. OPERACIONAL (3.2. Liderazgo y gestión) - Apetito de riesgo del PNUD: EXPLORATORIO A ABIERTO</w:t>
                        </w:r>
                      </w:p>
                      <w:p w14:paraId="55CBE8C4" w14:textId="19DE98BB" w:rsidR="00E77E71" w:rsidRPr="00A51E75" w:rsidRDefault="00000000" w:rsidP="008907C1">
                        <w:pPr>
                          <w:spacing w:after="140"/>
                          <w:rPr>
                            <w:rFonts w:asciiTheme="minorHAnsi" w:hAnsiTheme="minorHAnsi" w:cstheme="minorHAnsi"/>
                            <w:sz w:val="18"/>
                            <w:szCs w:val="18"/>
                            <w:lang w:val="en-US"/>
                          </w:rPr>
                        </w:pPr>
                      </w:p>
                    </w:sdtContent>
                  </w:sdt>
                </w:sdtContent>
              </w:sdt>
            </w:tc>
            <w:tc>
              <w:tcPr>
                <w:tcW w:w="503" w:type="pct"/>
              </w:tcPr>
              <w:p w14:paraId="7EE1C0A9" w14:textId="77777777" w:rsidR="005E1217" w:rsidRPr="005E1217" w:rsidRDefault="005E1217" w:rsidP="005E1217">
                <w:pPr>
                  <w:spacing w:after="140"/>
                  <w:rPr>
                    <w:rFonts w:asciiTheme="minorHAnsi" w:hAnsiTheme="minorHAnsi" w:cstheme="minorHAnsi"/>
                    <w:sz w:val="18"/>
                    <w:szCs w:val="18"/>
                  </w:rPr>
                </w:pPr>
                <w:r w:rsidRPr="005E1217">
                  <w:rPr>
                    <w:rFonts w:asciiTheme="minorHAnsi" w:hAnsiTheme="minorHAnsi" w:cstheme="minorHAnsi"/>
                    <w:sz w:val="18"/>
                    <w:szCs w:val="18"/>
                  </w:rPr>
                  <w:t>Probabilidad:</w:t>
                </w:r>
              </w:p>
              <w:p w14:paraId="35A9147F" w14:textId="77777777" w:rsidR="005E1217" w:rsidRPr="005E1217" w:rsidRDefault="005E1217" w:rsidP="005E1217">
                <w:pPr>
                  <w:spacing w:after="140"/>
                  <w:rPr>
                    <w:rFonts w:asciiTheme="minorHAnsi" w:hAnsiTheme="minorHAnsi" w:cstheme="minorHAnsi"/>
                    <w:sz w:val="18"/>
                    <w:szCs w:val="18"/>
                  </w:rPr>
                </w:pPr>
                <w:r w:rsidRPr="005E1217">
                  <w:rPr>
                    <w:rFonts w:asciiTheme="minorHAnsi" w:hAnsiTheme="minorHAnsi" w:cstheme="minorHAnsi"/>
                    <w:sz w:val="18"/>
                    <w:szCs w:val="18"/>
                  </w:rPr>
                  <w:t>4 - Altamente probable</w:t>
                </w:r>
              </w:p>
              <w:p w14:paraId="328424C7" w14:textId="77777777" w:rsidR="005E1217" w:rsidRPr="005E1217" w:rsidRDefault="005E1217" w:rsidP="005E1217">
                <w:pPr>
                  <w:spacing w:after="140"/>
                  <w:rPr>
                    <w:rFonts w:asciiTheme="minorHAnsi" w:hAnsiTheme="minorHAnsi" w:cstheme="minorHAnsi"/>
                    <w:sz w:val="18"/>
                    <w:szCs w:val="18"/>
                  </w:rPr>
                </w:pPr>
              </w:p>
              <w:p w14:paraId="1283BB91" w14:textId="77777777" w:rsidR="005E1217" w:rsidRPr="005E1217" w:rsidRDefault="005E1217" w:rsidP="005E1217">
                <w:pPr>
                  <w:spacing w:after="140"/>
                  <w:rPr>
                    <w:rFonts w:asciiTheme="minorHAnsi" w:hAnsiTheme="minorHAnsi" w:cstheme="minorHAnsi"/>
                    <w:sz w:val="18"/>
                    <w:szCs w:val="18"/>
                  </w:rPr>
                </w:pPr>
                <w:r w:rsidRPr="005E1217">
                  <w:rPr>
                    <w:rFonts w:asciiTheme="minorHAnsi" w:hAnsiTheme="minorHAnsi" w:cstheme="minorHAnsi"/>
                    <w:sz w:val="18"/>
                    <w:szCs w:val="18"/>
                  </w:rPr>
                  <w:t>Impacto:</w:t>
                </w:r>
              </w:p>
              <w:p w14:paraId="62BF51E9" w14:textId="77777777" w:rsidR="005E1217" w:rsidRPr="005E1217" w:rsidRDefault="005E1217" w:rsidP="005E1217">
                <w:pPr>
                  <w:spacing w:after="140"/>
                  <w:rPr>
                    <w:rFonts w:asciiTheme="minorHAnsi" w:hAnsiTheme="minorHAnsi" w:cstheme="minorHAnsi"/>
                    <w:sz w:val="18"/>
                    <w:szCs w:val="18"/>
                  </w:rPr>
                </w:pPr>
                <w:r w:rsidRPr="005E1217">
                  <w:rPr>
                    <w:rFonts w:asciiTheme="minorHAnsi" w:hAnsiTheme="minorHAnsi" w:cstheme="minorHAnsi"/>
                    <w:sz w:val="18"/>
                    <w:szCs w:val="18"/>
                  </w:rPr>
                  <w:t>3 - Intermedio</w:t>
                </w:r>
              </w:p>
              <w:p w14:paraId="60B6463D" w14:textId="77777777" w:rsidR="005E1217" w:rsidRPr="005E1217" w:rsidRDefault="005E1217" w:rsidP="005E1217">
                <w:pPr>
                  <w:spacing w:after="140"/>
                  <w:rPr>
                    <w:rFonts w:asciiTheme="minorHAnsi" w:hAnsiTheme="minorHAnsi" w:cstheme="minorHAnsi"/>
                    <w:sz w:val="18"/>
                    <w:szCs w:val="18"/>
                  </w:rPr>
                </w:pPr>
              </w:p>
              <w:p w14:paraId="4BB16FE5" w14:textId="77777777" w:rsidR="005E1217" w:rsidRPr="005E1217" w:rsidRDefault="005E1217" w:rsidP="005E1217">
                <w:pPr>
                  <w:spacing w:after="140"/>
                  <w:rPr>
                    <w:rFonts w:asciiTheme="minorHAnsi" w:hAnsiTheme="minorHAnsi" w:cstheme="minorHAnsi"/>
                    <w:sz w:val="18"/>
                    <w:szCs w:val="18"/>
                  </w:rPr>
                </w:pPr>
                <w:r w:rsidRPr="005E1217">
                  <w:rPr>
                    <w:rFonts w:asciiTheme="minorHAnsi" w:hAnsiTheme="minorHAnsi" w:cstheme="minorHAnsi"/>
                    <w:sz w:val="18"/>
                    <w:szCs w:val="18"/>
                  </w:rPr>
                  <w:t>Nivel de riesgo:</w:t>
                </w:r>
              </w:p>
              <w:p w14:paraId="711E86F2" w14:textId="77777777" w:rsidR="005E1217" w:rsidRPr="005E1217" w:rsidRDefault="005E1217" w:rsidP="005E1217">
                <w:pPr>
                  <w:spacing w:after="140"/>
                  <w:rPr>
                    <w:rFonts w:asciiTheme="minorHAnsi" w:hAnsiTheme="minorHAnsi" w:cstheme="minorHAnsi"/>
                    <w:sz w:val="18"/>
                    <w:szCs w:val="18"/>
                    <w:lang w:val="es-EC"/>
                  </w:rPr>
                </w:pPr>
                <w:r w:rsidRPr="005E1217">
                  <w:rPr>
                    <w:rFonts w:asciiTheme="minorHAnsi" w:hAnsiTheme="minorHAnsi" w:cstheme="minorHAnsi"/>
                    <w:sz w:val="18"/>
                    <w:szCs w:val="18"/>
                  </w:rPr>
                  <w:t>MODERADO (equivale a un nivel de tolerancia al riesgo EXPLORATORIO)</w:t>
                </w:r>
              </w:p>
              <w:p w14:paraId="253F4227" w14:textId="76F70E05" w:rsidR="00E77E71" w:rsidRPr="005E1217" w:rsidRDefault="00E77E71" w:rsidP="008907C1">
                <w:pPr>
                  <w:spacing w:after="144"/>
                  <w:rPr>
                    <w:rFonts w:asciiTheme="minorHAnsi" w:hAnsiTheme="minorHAnsi" w:cstheme="minorHAnsi"/>
                    <w:sz w:val="18"/>
                    <w:szCs w:val="18"/>
                    <w:lang w:val="es-EC"/>
                  </w:rPr>
                </w:pPr>
              </w:p>
            </w:tc>
            <w:tc>
              <w:tcPr>
                <w:tcW w:w="442" w:type="pct"/>
              </w:tcPr>
              <w:p w14:paraId="126B4D87" w14:textId="0FF9B9ED" w:rsidR="00FB36A9" w:rsidRPr="00A51E75" w:rsidRDefault="00000000" w:rsidP="00FB36A9">
                <w:pPr>
                  <w:spacing w:before="144"/>
                  <w:rPr>
                    <w:rFonts w:asciiTheme="minorHAnsi" w:hAnsiTheme="minorHAnsi" w:cstheme="minorHAnsi"/>
                    <w:sz w:val="18"/>
                    <w:szCs w:val="18"/>
                  </w:rPr>
                </w:pPr>
                <w:sdt>
                  <w:sdtPr>
                    <w:rPr>
                      <w:rFonts w:asciiTheme="minorHAnsi" w:hAnsiTheme="minorHAnsi" w:cstheme="minorHAnsi"/>
                      <w:sz w:val="18"/>
                      <w:szCs w:val="18"/>
                    </w:rPr>
                    <w:tag w:val="goog_rdk_282"/>
                    <w:id w:val="-1262688657"/>
                  </w:sdtPr>
                  <w:sdtEndPr>
                    <w:rPr>
                      <w:rFonts w:cstheme="minorBidi"/>
                    </w:rPr>
                  </w:sdtEndPr>
                  <w:sdtContent/>
                </w:sdt>
                <w:r w:rsidR="00FB36A9">
                  <w:rPr>
                    <w:rFonts w:asciiTheme="minorHAnsi" w:hAnsiTheme="minorHAnsi" w:cstheme="minorBidi"/>
                    <w:sz w:val="18"/>
                    <w:szCs w:val="18"/>
                  </w:rPr>
                  <w:t xml:space="preserve"> </w:t>
                </w:r>
                <w:sdt>
                  <w:sdtPr>
                    <w:rPr>
                      <w:rFonts w:asciiTheme="minorHAnsi" w:hAnsiTheme="minorHAnsi" w:cstheme="minorBidi"/>
                      <w:sz w:val="18"/>
                      <w:szCs w:val="18"/>
                    </w:rPr>
                    <w:tag w:val="goog_rdk_85"/>
                    <w:id w:val="500633496"/>
                  </w:sdtPr>
                  <w:sdtContent>
                    <w:sdt>
                      <w:sdtPr>
                        <w:rPr>
                          <w:rFonts w:asciiTheme="minorHAnsi" w:hAnsiTheme="minorHAnsi" w:cstheme="minorHAnsi"/>
                          <w:sz w:val="18"/>
                          <w:szCs w:val="18"/>
                        </w:rPr>
                        <w:tag w:val="goog_rdk_84"/>
                        <w:id w:val="-2000798457"/>
                      </w:sdtPr>
                      <w:sdtContent>
                        <w:r w:rsidR="00FB36A9">
                          <w:rPr>
                            <w:rFonts w:asciiTheme="minorHAnsi" w:hAnsiTheme="minorHAnsi" w:cstheme="minorHAnsi"/>
                            <w:sz w:val="18"/>
                            <w:szCs w:val="18"/>
                          </w:rPr>
                          <w:t>Desde</w:t>
                        </w:r>
                        <w:r w:rsidR="00FB36A9" w:rsidRPr="00A51E75">
                          <w:rPr>
                            <w:rFonts w:asciiTheme="minorHAnsi" w:hAnsiTheme="minorHAnsi" w:cstheme="minorHAnsi"/>
                            <w:sz w:val="18"/>
                            <w:szCs w:val="18"/>
                          </w:rPr>
                          <w:t>: 01-Jun-26</w:t>
                        </w:r>
                      </w:sdtContent>
                    </w:sdt>
                  </w:sdtContent>
                </w:sdt>
              </w:p>
              <w:sdt>
                <w:sdtPr>
                  <w:rPr>
                    <w:rFonts w:asciiTheme="minorHAnsi" w:hAnsiTheme="minorHAnsi" w:cstheme="minorBidi"/>
                    <w:sz w:val="18"/>
                    <w:szCs w:val="18"/>
                  </w:rPr>
                  <w:tag w:val="goog_rdk_87"/>
                  <w:id w:val="-1782564461"/>
                </w:sdtPr>
                <w:sdtContent>
                  <w:p w14:paraId="3989E98B" w14:textId="77777777" w:rsidR="00FB36A9" w:rsidRPr="00A51E75" w:rsidRDefault="00000000" w:rsidP="00FB36A9">
                    <w:pPr>
                      <w:rPr>
                        <w:rFonts w:asciiTheme="minorHAnsi" w:hAnsiTheme="minorHAnsi" w:cstheme="minorHAnsi"/>
                        <w:sz w:val="18"/>
                        <w:szCs w:val="18"/>
                      </w:rPr>
                    </w:pPr>
                    <w:sdt>
                      <w:sdtPr>
                        <w:rPr>
                          <w:rFonts w:asciiTheme="minorHAnsi" w:hAnsiTheme="minorHAnsi" w:cstheme="minorHAnsi"/>
                          <w:sz w:val="18"/>
                          <w:szCs w:val="18"/>
                        </w:rPr>
                        <w:tag w:val="goog_rdk_86"/>
                        <w:id w:val="50280842"/>
                      </w:sdtPr>
                      <w:sdtContent/>
                    </w:sdt>
                  </w:p>
                </w:sdtContent>
              </w:sdt>
              <w:p w14:paraId="28EA0681" w14:textId="26DD39A8" w:rsidR="00E77E71" w:rsidRPr="00A51E75" w:rsidRDefault="00000000" w:rsidP="00FB36A9">
                <w:pPr>
                  <w:spacing w:after="144"/>
                  <w:rPr>
                    <w:rFonts w:asciiTheme="minorHAnsi" w:hAnsiTheme="minorHAnsi" w:cstheme="minorHAnsi"/>
                    <w:sz w:val="18"/>
                    <w:szCs w:val="18"/>
                  </w:rPr>
                </w:pPr>
                <w:sdt>
                  <w:sdtPr>
                    <w:rPr>
                      <w:rFonts w:asciiTheme="minorHAnsi" w:hAnsiTheme="minorHAnsi" w:cstheme="minorBidi"/>
                      <w:sz w:val="18"/>
                      <w:szCs w:val="18"/>
                    </w:rPr>
                    <w:tag w:val="goog_rdk_89"/>
                    <w:id w:val="-1255893531"/>
                  </w:sdtPr>
                  <w:sdtContent>
                    <w:sdt>
                      <w:sdtPr>
                        <w:rPr>
                          <w:rFonts w:asciiTheme="minorHAnsi" w:hAnsiTheme="minorHAnsi" w:cstheme="minorHAnsi"/>
                          <w:sz w:val="18"/>
                          <w:szCs w:val="18"/>
                        </w:rPr>
                        <w:tag w:val="goog_rdk_88"/>
                        <w:id w:val="-693846350"/>
                      </w:sdtPr>
                      <w:sdtContent>
                        <w:r w:rsidR="00FB36A9">
                          <w:rPr>
                            <w:rFonts w:asciiTheme="minorHAnsi" w:hAnsiTheme="minorHAnsi" w:cstheme="minorHAnsi"/>
                            <w:sz w:val="18"/>
                            <w:szCs w:val="18"/>
                          </w:rPr>
                          <w:t>Hasta</w:t>
                        </w:r>
                        <w:r w:rsidR="00FB36A9" w:rsidRPr="00A51E75">
                          <w:rPr>
                            <w:rFonts w:asciiTheme="minorHAnsi" w:hAnsiTheme="minorHAnsi" w:cstheme="minorHAnsi"/>
                            <w:sz w:val="18"/>
                            <w:szCs w:val="18"/>
                          </w:rPr>
                          <w:t>: 01-Jun-31</w:t>
                        </w:r>
                      </w:sdtContent>
                    </w:sdt>
                  </w:sdtContent>
                </w:sdt>
                <w:r w:rsidR="00FB36A9">
                  <w:rPr>
                    <w:rFonts w:asciiTheme="minorHAnsi" w:hAnsiTheme="minorHAnsi" w:cstheme="minorHAnsi"/>
                    <w:sz w:val="18"/>
                    <w:szCs w:val="18"/>
                  </w:rPr>
                  <w:t xml:space="preserve"> </w:t>
                </w:r>
                <w:sdt>
                  <w:sdtPr>
                    <w:rPr>
                      <w:rFonts w:asciiTheme="minorHAnsi" w:hAnsiTheme="minorHAnsi" w:cstheme="minorHAnsi"/>
                      <w:sz w:val="18"/>
                      <w:szCs w:val="18"/>
                    </w:rPr>
                    <w:tag w:val="goog_rdk_286"/>
                    <w:id w:val="-368684975"/>
                  </w:sdtPr>
                  <w:sdtContent/>
                </w:sdt>
              </w:p>
            </w:tc>
            <w:tc>
              <w:tcPr>
                <w:tcW w:w="559" w:type="pct"/>
              </w:tcPr>
              <w:sdt>
                <w:sdtPr>
                  <w:rPr>
                    <w:rFonts w:asciiTheme="minorHAnsi" w:hAnsiTheme="minorHAnsi" w:cstheme="minorHAnsi"/>
                    <w:sz w:val="18"/>
                    <w:szCs w:val="18"/>
                  </w:rPr>
                  <w:tag w:val="goog_rdk_288"/>
                  <w:id w:val="-1409614191"/>
                </w:sdtPr>
                <w:sdtContent>
                  <w:p w14:paraId="350854FC" w14:textId="5D834C27"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287"/>
                        <w:id w:val="-2089841254"/>
                      </w:sdtPr>
                      <w:sdtContent>
                        <w:r w:rsidR="004319ED" w:rsidRPr="004319ED">
                          <w:rPr>
                            <w:rFonts w:asciiTheme="minorHAnsi" w:hAnsiTheme="minorHAnsi" w:cstheme="minorHAnsi"/>
                            <w:sz w:val="18"/>
                            <w:szCs w:val="18"/>
                            <w:lang w:val="es-EC"/>
                          </w:rPr>
                          <w:t xml:space="preserve"> Socio implementador, MAE y UGP </w:t>
                        </w:r>
                      </w:sdtContent>
                    </w:sdt>
                  </w:p>
                </w:sdtContent>
              </w:sdt>
              <w:sdt>
                <w:sdtPr>
                  <w:rPr>
                    <w:rFonts w:asciiTheme="minorHAnsi" w:hAnsiTheme="minorHAnsi" w:cstheme="minorHAnsi"/>
                    <w:sz w:val="18"/>
                    <w:szCs w:val="18"/>
                  </w:rPr>
                  <w:tag w:val="goog_rdk_290"/>
                  <w:id w:val="-728384740"/>
                </w:sdtPr>
                <w:sdtContent>
                  <w:p w14:paraId="1BB12463" w14:textId="77777777"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289"/>
                        <w:id w:val="1863861460"/>
                      </w:sdtPr>
                      <w:sdtContent/>
                    </w:sdt>
                  </w:p>
                </w:sdtContent>
              </w:sdt>
            </w:tc>
            <w:tc>
              <w:tcPr>
                <w:tcW w:w="787" w:type="pct"/>
              </w:tcPr>
              <w:sdt>
                <w:sdtPr>
                  <w:rPr>
                    <w:rFonts w:asciiTheme="minorHAnsi" w:hAnsiTheme="minorHAnsi" w:cstheme="minorHAnsi"/>
                    <w:sz w:val="18"/>
                    <w:szCs w:val="18"/>
                  </w:rPr>
                  <w:tag w:val="goog_rdk_292"/>
                  <w:id w:val="833871258"/>
                </w:sdtPr>
                <w:sdtContent>
                  <w:p w14:paraId="75CD9F76" w14:textId="2ED9E5B7" w:rsidR="00E77E71" w:rsidRPr="00004288" w:rsidRDefault="00000000" w:rsidP="008907C1">
                    <w:pPr>
                      <w:spacing w:before="40"/>
                      <w:rPr>
                        <w:rFonts w:asciiTheme="minorHAnsi" w:hAnsiTheme="minorHAnsi" w:cstheme="minorHAnsi"/>
                        <w:sz w:val="18"/>
                        <w:szCs w:val="18"/>
                        <w:lang w:val="es-EC"/>
                      </w:rPr>
                    </w:pPr>
                    <w:sdt>
                      <w:sdtPr>
                        <w:rPr>
                          <w:rFonts w:asciiTheme="minorHAnsi" w:hAnsiTheme="minorHAnsi" w:cstheme="minorHAnsi"/>
                          <w:sz w:val="18"/>
                          <w:szCs w:val="18"/>
                        </w:rPr>
                        <w:tag w:val="goog_rdk_291"/>
                        <w:id w:val="-1906984346"/>
                      </w:sdtPr>
                      <w:sdtContent>
                        <w:r w:rsidR="00004288" w:rsidRPr="00004288">
                          <w:rPr>
                            <w:rFonts w:asciiTheme="minorHAnsi" w:hAnsiTheme="minorHAnsi" w:cstheme="minorHAnsi"/>
                            <w:sz w:val="18"/>
                            <w:szCs w:val="18"/>
                          </w:rPr>
                          <w:t>El proyecto mitiga estos riesgos mediante: una Unidad de Gestión del Proyecto (UGP) fortalecida en Quito y oficinas de coordinación territorial en Tena y Nueva Loja; protocolos de coordinación entre los niveles nacional y local; capacitación continua en gestión territorial, producción resiliente y monitoreo participativo; sistemas estandarizados de planificación y presentación de informes; y asistencia técnica para integrar los enfoques de Gestión Integral del Paisaje (</w:t>
                        </w:r>
                        <w:r w:rsidR="00004288">
                          <w:rPr>
                            <w:rFonts w:asciiTheme="minorHAnsi" w:hAnsiTheme="minorHAnsi" w:cstheme="minorHAnsi"/>
                            <w:sz w:val="18"/>
                            <w:szCs w:val="18"/>
                          </w:rPr>
                          <w:t>ILM</w:t>
                        </w:r>
                        <w:r w:rsidR="00004288" w:rsidRPr="00004288">
                          <w:rPr>
                            <w:rFonts w:asciiTheme="minorHAnsi" w:hAnsiTheme="minorHAnsi" w:cstheme="minorHAnsi"/>
                            <w:sz w:val="18"/>
                            <w:szCs w:val="18"/>
                          </w:rPr>
                          <w:t>) y Neutralidad de la Degradación de</w:t>
                        </w:r>
                        <w:r w:rsidR="00CB2AEC">
                          <w:rPr>
                            <w:rFonts w:asciiTheme="minorHAnsi" w:hAnsiTheme="minorHAnsi" w:cstheme="minorHAnsi"/>
                            <w:sz w:val="18"/>
                            <w:szCs w:val="18"/>
                          </w:rPr>
                          <w:t xml:space="preserve"> la tierra </w:t>
                        </w:r>
                        <w:r w:rsidR="00004288" w:rsidRPr="00004288">
                          <w:rPr>
                            <w:rFonts w:asciiTheme="minorHAnsi" w:hAnsiTheme="minorHAnsi" w:cstheme="minorHAnsi"/>
                            <w:sz w:val="18"/>
                            <w:szCs w:val="18"/>
                          </w:rPr>
                          <w:t>(NDT) en los instrumentos locales. La sólida capacidad administrativa del MAE, reforzada por estas medidas, permite el control de riesgos, aunque la complejidad territorial se mantiene como moderada.</w:t>
                        </w:r>
                      </w:sdtContent>
                    </w:sdt>
                  </w:p>
                </w:sdtContent>
              </w:sdt>
            </w:tc>
          </w:tr>
        </w:sdtContent>
      </w:sdt>
      <w:sdt>
        <w:sdtPr>
          <w:rPr>
            <w:rFonts w:asciiTheme="minorHAnsi" w:hAnsiTheme="minorHAnsi" w:cstheme="minorHAnsi"/>
            <w:sz w:val="18"/>
            <w:szCs w:val="18"/>
          </w:rPr>
          <w:tag w:val="goog_rdk_293"/>
          <w:id w:val="134845107"/>
        </w:sdtPr>
        <w:sdtContent>
          <w:tr w:rsidR="00A6422E" w:rsidRPr="00A51E75" w14:paraId="655E021C" w14:textId="77777777" w:rsidTr="00A6422E">
            <w:trPr>
              <w:trHeight w:val="4793"/>
            </w:trPr>
            <w:tc>
              <w:tcPr>
                <w:tcW w:w="167" w:type="pct"/>
              </w:tcPr>
              <w:sdt>
                <w:sdtPr>
                  <w:rPr>
                    <w:rFonts w:asciiTheme="minorHAnsi" w:hAnsiTheme="minorHAnsi" w:cstheme="minorHAnsi"/>
                    <w:sz w:val="18"/>
                    <w:szCs w:val="18"/>
                  </w:rPr>
                  <w:tag w:val="goog_rdk_295"/>
                  <w:id w:val="230364636"/>
                </w:sdtPr>
                <w:sdtContent>
                  <w:p w14:paraId="6F3DC2B7" w14:textId="5E8C7AE9"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294"/>
                        <w:id w:val="-1292516956"/>
                      </w:sdtPr>
                      <w:sdtContent>
                        <w:r w:rsidR="00A6422E" w:rsidRPr="00A51E75">
                          <w:rPr>
                            <w:rFonts w:asciiTheme="minorHAnsi" w:hAnsiTheme="minorHAnsi" w:cstheme="minorHAnsi"/>
                            <w:sz w:val="18"/>
                            <w:szCs w:val="18"/>
                          </w:rPr>
                          <w:t>7</w:t>
                        </w:r>
                      </w:sdtContent>
                    </w:sdt>
                  </w:p>
                </w:sdtContent>
              </w:sdt>
            </w:tc>
            <w:tc>
              <w:tcPr>
                <w:tcW w:w="651" w:type="pct"/>
              </w:tcPr>
              <w:sdt>
                <w:sdtPr>
                  <w:rPr>
                    <w:rFonts w:asciiTheme="minorHAnsi" w:hAnsiTheme="minorHAnsi" w:cstheme="minorHAnsi"/>
                    <w:sz w:val="18"/>
                    <w:szCs w:val="18"/>
                  </w:rPr>
                  <w:tag w:val="goog_rdk_297"/>
                  <w:id w:val="679471522"/>
                </w:sdtPr>
                <w:sdtContent>
                  <w:p w14:paraId="2F63EC3B" w14:textId="5A10A1CF" w:rsidR="00E77E71" w:rsidRPr="00A51E75" w:rsidRDefault="00000000" w:rsidP="008907C1">
                    <w:pPr>
                      <w:spacing w:before="40" w:after="40"/>
                      <w:rPr>
                        <w:rFonts w:asciiTheme="minorHAnsi" w:hAnsiTheme="minorHAnsi" w:cstheme="minorHAnsi"/>
                        <w:sz w:val="18"/>
                        <w:szCs w:val="18"/>
                      </w:rPr>
                    </w:pPr>
                    <w:sdt>
                      <w:sdtPr>
                        <w:rPr>
                          <w:rFonts w:asciiTheme="minorHAnsi" w:hAnsiTheme="minorHAnsi" w:cstheme="minorHAnsi"/>
                          <w:sz w:val="18"/>
                          <w:szCs w:val="18"/>
                        </w:rPr>
                        <w:tag w:val="goog_rdk_296"/>
                        <w:id w:val="-195082542"/>
                      </w:sdtPr>
                      <w:sdtContent>
                        <w:r w:rsidR="00E77E71" w:rsidRPr="00A51E75">
                          <w:rPr>
                            <w:rFonts w:asciiTheme="minorHAnsi" w:hAnsiTheme="minorHAnsi" w:cstheme="minorHAnsi"/>
                            <w:sz w:val="18"/>
                            <w:szCs w:val="18"/>
                          </w:rPr>
                          <w:t>Fiduciar</w:t>
                        </w:r>
                        <w:r w:rsidR="005E1217">
                          <w:rPr>
                            <w:rFonts w:asciiTheme="minorHAnsi" w:hAnsiTheme="minorHAnsi" w:cstheme="minorHAnsi"/>
                            <w:sz w:val="18"/>
                            <w:szCs w:val="18"/>
                          </w:rPr>
                          <w:t>io</w:t>
                        </w:r>
                      </w:sdtContent>
                    </w:sdt>
                  </w:p>
                </w:sdtContent>
              </w:sdt>
            </w:tc>
            <w:tc>
              <w:tcPr>
                <w:tcW w:w="651" w:type="pct"/>
              </w:tcPr>
              <w:sdt>
                <w:sdtPr>
                  <w:rPr>
                    <w:rFonts w:asciiTheme="minorHAnsi" w:hAnsiTheme="minorHAnsi" w:cstheme="minorHAnsi"/>
                    <w:sz w:val="18"/>
                    <w:szCs w:val="18"/>
                  </w:rPr>
                  <w:tag w:val="goog_rdk_299"/>
                  <w:id w:val="402658192"/>
                </w:sdtPr>
                <w:sdtContent>
                  <w:p w14:paraId="276A4FC1" w14:textId="7200A91F" w:rsidR="00E77E71" w:rsidRPr="0053304E" w:rsidRDefault="00000000" w:rsidP="008907C1">
                    <w:pPr>
                      <w:spacing w:before="40" w:after="40"/>
                      <w:rPr>
                        <w:rFonts w:asciiTheme="minorHAnsi" w:hAnsiTheme="minorHAnsi" w:cstheme="minorHAnsi"/>
                        <w:sz w:val="18"/>
                        <w:szCs w:val="18"/>
                        <w:lang w:val="es-EC"/>
                      </w:rPr>
                    </w:pPr>
                    <w:sdt>
                      <w:sdtPr>
                        <w:rPr>
                          <w:rFonts w:asciiTheme="minorHAnsi" w:hAnsiTheme="minorHAnsi" w:cstheme="minorHAnsi"/>
                          <w:sz w:val="18"/>
                          <w:szCs w:val="18"/>
                        </w:rPr>
                        <w:tag w:val="goog_rdk_298"/>
                        <w:id w:val="1711144431"/>
                      </w:sdtPr>
                      <w:sdtContent>
                        <w:r w:rsidR="0053304E" w:rsidRPr="0053304E">
                          <w:rPr>
                            <w:rFonts w:asciiTheme="minorHAnsi" w:hAnsiTheme="minorHAnsi" w:cstheme="minorHAnsi"/>
                            <w:sz w:val="18"/>
                            <w:szCs w:val="18"/>
                            <w:lang w:val="es-EC"/>
                          </w:rPr>
                          <w:t xml:space="preserve"> El riesgo es transversal a todos los componentes del proyecto.</w:t>
                        </w:r>
                        <w:r w:rsidR="0053304E">
                          <w:rPr>
                            <w:rFonts w:asciiTheme="minorHAnsi" w:hAnsiTheme="minorHAnsi" w:cstheme="minorHAnsi"/>
                            <w:sz w:val="18"/>
                            <w:szCs w:val="18"/>
                          </w:rPr>
                          <w:t xml:space="preserve"> </w:t>
                        </w:r>
                      </w:sdtContent>
                    </w:sdt>
                  </w:p>
                </w:sdtContent>
              </w:sdt>
            </w:tc>
            <w:tc>
              <w:tcPr>
                <w:tcW w:w="652" w:type="pct"/>
              </w:tcPr>
              <w:sdt>
                <w:sdtPr>
                  <w:rPr>
                    <w:rFonts w:asciiTheme="minorHAnsi" w:hAnsiTheme="minorHAnsi" w:cstheme="minorHAnsi"/>
                    <w:sz w:val="18"/>
                    <w:szCs w:val="18"/>
                  </w:rPr>
                  <w:tag w:val="goog_rdk_301"/>
                  <w:id w:val="-1220675397"/>
                </w:sdtPr>
                <w:sdtContent>
                  <w:sdt>
                    <w:sdtPr>
                      <w:rPr>
                        <w:rFonts w:asciiTheme="minorHAnsi" w:hAnsiTheme="minorHAnsi" w:cstheme="minorHAnsi"/>
                        <w:sz w:val="18"/>
                        <w:szCs w:val="18"/>
                      </w:rPr>
                      <w:tag w:val="goog_rdk_300"/>
                      <w:id w:val="-1122606847"/>
                    </w:sdtPr>
                    <w:sdtContent>
                      <w:p w14:paraId="1F695BB7" w14:textId="400D3A53" w:rsidR="00DB7676" w:rsidRPr="00DB7676" w:rsidRDefault="00DB7676" w:rsidP="00DB7676">
                        <w:pPr>
                          <w:spacing w:before="40" w:after="40"/>
                          <w:rPr>
                            <w:rFonts w:asciiTheme="minorHAnsi" w:hAnsiTheme="minorHAnsi" w:cstheme="minorHAnsi"/>
                            <w:sz w:val="18"/>
                            <w:szCs w:val="18"/>
                            <w:lang w:val="es-EC"/>
                          </w:rPr>
                        </w:pPr>
                        <w:r w:rsidRPr="00DB7676">
                          <w:rPr>
                            <w:rFonts w:asciiTheme="minorHAnsi" w:hAnsiTheme="minorHAnsi" w:cstheme="minorHAnsi"/>
                            <w:sz w:val="18"/>
                            <w:szCs w:val="18"/>
                            <w:lang w:val="es-ES_tradnl"/>
                          </w:rPr>
                          <w:t>El riesgo fiduciario se clasifica como Bajo. El Socio Implementador (MAE) demostró un bajo riesgo fiduciario en todas las áreas evaluadas (gestión financiera, adquisiciones, control interno y gestión de programas) según la microevaluación HACT del PNUD. En la modalidad</w:t>
                        </w:r>
                        <w:r w:rsidR="002C3F8A">
                          <w:rPr>
                            <w:rFonts w:asciiTheme="minorHAnsi" w:hAnsiTheme="minorHAnsi" w:cstheme="minorHAnsi"/>
                            <w:sz w:val="18"/>
                            <w:szCs w:val="18"/>
                            <w:lang w:val="es-ES_tradnl"/>
                          </w:rPr>
                          <w:t xml:space="preserve"> Full</w:t>
                        </w:r>
                        <w:r w:rsidRPr="00DB7676">
                          <w:rPr>
                            <w:rFonts w:asciiTheme="minorHAnsi" w:hAnsiTheme="minorHAnsi" w:cstheme="minorHAnsi"/>
                            <w:sz w:val="18"/>
                            <w:szCs w:val="18"/>
                            <w:lang w:val="es-ES_tradnl"/>
                          </w:rPr>
                          <w:t xml:space="preserve"> NIM, las responsabilidades de gestión financiera, adquisiciones y presentación de informes recaen en el Socio Implementador, pero están sujetas a supervisión regular y control de calidad por parte del PNUD.</w:t>
                        </w:r>
                      </w:p>
                      <w:p w14:paraId="34825B0F" w14:textId="27F02EE2" w:rsidR="00E77E71" w:rsidRPr="00A51E75" w:rsidRDefault="00000000" w:rsidP="008907C1">
                        <w:pPr>
                          <w:spacing w:before="40" w:after="40"/>
                          <w:rPr>
                            <w:rFonts w:asciiTheme="minorHAnsi" w:hAnsiTheme="minorHAnsi" w:cstheme="minorHAnsi"/>
                            <w:sz w:val="18"/>
                            <w:szCs w:val="18"/>
                            <w:lang w:val="en-US"/>
                          </w:rPr>
                        </w:pPr>
                      </w:p>
                    </w:sdtContent>
                  </w:sdt>
                </w:sdtContent>
              </w:sdt>
            </w:tc>
            <w:tc>
              <w:tcPr>
                <w:tcW w:w="588" w:type="pct"/>
                <w:tcMar>
                  <w:top w:w="0" w:type="dxa"/>
                  <w:left w:w="180" w:type="dxa"/>
                  <w:bottom w:w="0" w:type="dxa"/>
                  <w:right w:w="180" w:type="dxa"/>
                </w:tcMar>
              </w:tcPr>
              <w:sdt>
                <w:sdtPr>
                  <w:rPr>
                    <w:rFonts w:asciiTheme="minorHAnsi" w:hAnsiTheme="minorHAnsi" w:cstheme="minorHAnsi"/>
                    <w:sz w:val="18"/>
                    <w:szCs w:val="18"/>
                  </w:rPr>
                  <w:tag w:val="goog_rdk_303"/>
                  <w:id w:val="2004390239"/>
                </w:sdtPr>
                <w:sdtContent>
                  <w:sdt>
                    <w:sdtPr>
                      <w:rPr>
                        <w:rFonts w:asciiTheme="minorHAnsi" w:hAnsiTheme="minorHAnsi" w:cstheme="minorHAnsi"/>
                        <w:sz w:val="18"/>
                        <w:szCs w:val="18"/>
                      </w:rPr>
                      <w:tag w:val="goog_rdk_302"/>
                      <w:id w:val="-1698687881"/>
                    </w:sdtPr>
                    <w:sdtContent>
                      <w:p w14:paraId="42354DD5" w14:textId="4C4DB82C" w:rsidR="00F82D06" w:rsidRPr="00F82D06" w:rsidRDefault="00F82D06" w:rsidP="00F82D06">
                        <w:pPr>
                          <w:spacing w:before="40" w:after="40"/>
                          <w:rPr>
                            <w:rFonts w:asciiTheme="minorHAnsi" w:hAnsiTheme="minorHAnsi" w:cstheme="minorHAnsi"/>
                            <w:sz w:val="18"/>
                            <w:szCs w:val="18"/>
                            <w:lang w:val="es-EC"/>
                          </w:rPr>
                        </w:pPr>
                        <w:r w:rsidRPr="00F82D06">
                          <w:rPr>
                            <w:rFonts w:ascii="inherit" w:hAnsi="inherit" w:cs="Courier New"/>
                            <w:color w:val="1F1F1F"/>
                            <w:sz w:val="42"/>
                            <w:szCs w:val="42"/>
                            <w:lang w:eastAsia="es-EC"/>
                          </w:rPr>
                          <w:t xml:space="preserve"> </w:t>
                        </w:r>
                        <w:r w:rsidRPr="00F82D06">
                          <w:rPr>
                            <w:rFonts w:asciiTheme="minorHAnsi" w:hAnsiTheme="minorHAnsi" w:cstheme="minorHAnsi"/>
                            <w:sz w:val="18"/>
                            <w:szCs w:val="18"/>
                            <w:lang w:val="es-ES_tradnl"/>
                          </w:rPr>
                          <w:t>2. FINANCIERO (2.5. Entrega) - Apetito de riesgo del PNUD: MÍNIMO A CAUTELOSO</w:t>
                        </w:r>
                      </w:p>
                      <w:p w14:paraId="07EC0DEB" w14:textId="11F7B84D" w:rsidR="00E77E71" w:rsidRPr="00A51E75" w:rsidRDefault="00000000" w:rsidP="008907C1">
                        <w:pPr>
                          <w:spacing w:after="140"/>
                          <w:rPr>
                            <w:rFonts w:asciiTheme="minorHAnsi" w:hAnsiTheme="minorHAnsi" w:cstheme="minorHAnsi"/>
                            <w:sz w:val="18"/>
                            <w:szCs w:val="18"/>
                            <w:lang w:val="en-US"/>
                          </w:rPr>
                        </w:pPr>
                      </w:p>
                    </w:sdtContent>
                  </w:sdt>
                </w:sdtContent>
              </w:sdt>
            </w:tc>
            <w:tc>
              <w:tcPr>
                <w:tcW w:w="503" w:type="pct"/>
              </w:tcPr>
              <w:p w14:paraId="44E1103D" w14:textId="77777777" w:rsidR="00F82D06" w:rsidRPr="00F82D06" w:rsidRDefault="00F82D06" w:rsidP="00F82D06">
                <w:pPr>
                  <w:spacing w:after="140"/>
                  <w:rPr>
                    <w:rFonts w:asciiTheme="minorHAnsi" w:hAnsiTheme="minorHAnsi" w:cstheme="minorHAnsi"/>
                    <w:sz w:val="18"/>
                    <w:szCs w:val="18"/>
                  </w:rPr>
                </w:pPr>
                <w:r w:rsidRPr="00F82D06">
                  <w:rPr>
                    <w:rFonts w:asciiTheme="minorHAnsi" w:hAnsiTheme="minorHAnsi" w:cstheme="minorHAnsi"/>
                    <w:sz w:val="18"/>
                    <w:szCs w:val="18"/>
                  </w:rPr>
                  <w:t>Probabilidad:</w:t>
                </w:r>
              </w:p>
              <w:p w14:paraId="0938BC18" w14:textId="77777777" w:rsidR="00F82D06" w:rsidRPr="00F82D06" w:rsidRDefault="00F82D06" w:rsidP="00F82D06">
                <w:pPr>
                  <w:spacing w:after="140"/>
                  <w:rPr>
                    <w:rFonts w:asciiTheme="minorHAnsi" w:hAnsiTheme="minorHAnsi" w:cstheme="minorHAnsi"/>
                    <w:sz w:val="18"/>
                    <w:szCs w:val="18"/>
                  </w:rPr>
                </w:pPr>
                <w:r w:rsidRPr="00F82D06">
                  <w:rPr>
                    <w:rFonts w:asciiTheme="minorHAnsi" w:hAnsiTheme="minorHAnsi" w:cstheme="minorHAnsi"/>
                    <w:sz w:val="18"/>
                    <w:szCs w:val="18"/>
                  </w:rPr>
                  <w:t>3 - Moderadamente probable</w:t>
                </w:r>
              </w:p>
              <w:p w14:paraId="6094A694" w14:textId="77777777" w:rsidR="00F82D06" w:rsidRPr="00F82D06" w:rsidRDefault="00F82D06" w:rsidP="00F82D06">
                <w:pPr>
                  <w:spacing w:after="140"/>
                  <w:rPr>
                    <w:rFonts w:asciiTheme="minorHAnsi" w:hAnsiTheme="minorHAnsi" w:cstheme="minorHAnsi"/>
                    <w:sz w:val="18"/>
                    <w:szCs w:val="18"/>
                  </w:rPr>
                </w:pPr>
              </w:p>
              <w:p w14:paraId="41C76F01" w14:textId="77777777" w:rsidR="00F82D06" w:rsidRPr="00F82D06" w:rsidRDefault="00F82D06" w:rsidP="00F82D06">
                <w:pPr>
                  <w:spacing w:after="140"/>
                  <w:rPr>
                    <w:rFonts w:asciiTheme="minorHAnsi" w:hAnsiTheme="minorHAnsi" w:cstheme="minorHAnsi"/>
                    <w:sz w:val="18"/>
                    <w:szCs w:val="18"/>
                  </w:rPr>
                </w:pPr>
                <w:r w:rsidRPr="00F82D06">
                  <w:rPr>
                    <w:rFonts w:asciiTheme="minorHAnsi" w:hAnsiTheme="minorHAnsi" w:cstheme="minorHAnsi"/>
                    <w:sz w:val="18"/>
                    <w:szCs w:val="18"/>
                  </w:rPr>
                  <w:t>Impacto:</w:t>
                </w:r>
              </w:p>
              <w:p w14:paraId="1AFA6124" w14:textId="77777777" w:rsidR="00F82D06" w:rsidRPr="00F82D06" w:rsidRDefault="00F82D06" w:rsidP="00F82D06">
                <w:pPr>
                  <w:spacing w:after="140"/>
                  <w:rPr>
                    <w:rFonts w:asciiTheme="minorHAnsi" w:hAnsiTheme="minorHAnsi" w:cstheme="minorHAnsi"/>
                    <w:sz w:val="18"/>
                    <w:szCs w:val="18"/>
                  </w:rPr>
                </w:pPr>
                <w:r w:rsidRPr="00F82D06">
                  <w:rPr>
                    <w:rFonts w:asciiTheme="minorHAnsi" w:hAnsiTheme="minorHAnsi" w:cstheme="minorHAnsi"/>
                    <w:sz w:val="18"/>
                    <w:szCs w:val="18"/>
                  </w:rPr>
                  <w:t>3 - Intermedio</w:t>
                </w:r>
              </w:p>
              <w:p w14:paraId="126D6B83" w14:textId="77777777" w:rsidR="00F82D06" w:rsidRPr="00F82D06" w:rsidRDefault="00F82D06" w:rsidP="00F82D06">
                <w:pPr>
                  <w:spacing w:after="140"/>
                  <w:rPr>
                    <w:rFonts w:asciiTheme="minorHAnsi" w:hAnsiTheme="minorHAnsi" w:cstheme="minorHAnsi"/>
                    <w:sz w:val="18"/>
                    <w:szCs w:val="18"/>
                  </w:rPr>
                </w:pPr>
              </w:p>
              <w:p w14:paraId="0AC2345E" w14:textId="77777777" w:rsidR="00F82D06" w:rsidRPr="00F82D06" w:rsidRDefault="00F82D06" w:rsidP="00F82D06">
                <w:pPr>
                  <w:spacing w:after="140"/>
                  <w:rPr>
                    <w:rFonts w:asciiTheme="minorHAnsi" w:hAnsiTheme="minorHAnsi" w:cstheme="minorHAnsi"/>
                    <w:sz w:val="18"/>
                    <w:szCs w:val="18"/>
                  </w:rPr>
                </w:pPr>
                <w:r w:rsidRPr="00F82D06">
                  <w:rPr>
                    <w:rFonts w:asciiTheme="minorHAnsi" w:hAnsiTheme="minorHAnsi" w:cstheme="minorHAnsi"/>
                    <w:sz w:val="18"/>
                    <w:szCs w:val="18"/>
                  </w:rPr>
                  <w:t>Nivel de riesgo:</w:t>
                </w:r>
              </w:p>
              <w:p w14:paraId="575FC154" w14:textId="77777777" w:rsidR="00F82D06" w:rsidRPr="00F82D06" w:rsidRDefault="00F82D06" w:rsidP="00F82D06">
                <w:pPr>
                  <w:spacing w:after="140"/>
                  <w:rPr>
                    <w:rFonts w:asciiTheme="minorHAnsi" w:hAnsiTheme="minorHAnsi" w:cstheme="minorHAnsi"/>
                    <w:sz w:val="18"/>
                    <w:szCs w:val="18"/>
                    <w:lang w:val="es-EC"/>
                  </w:rPr>
                </w:pPr>
                <w:r w:rsidRPr="00F82D06">
                  <w:rPr>
                    <w:rFonts w:asciiTheme="minorHAnsi" w:hAnsiTheme="minorHAnsi" w:cstheme="minorHAnsi"/>
                    <w:sz w:val="18"/>
                    <w:szCs w:val="18"/>
                  </w:rPr>
                  <w:t>BAJO (equivale a un nivel de tolerancia al riesgo CAUTELOSO)</w:t>
                </w:r>
              </w:p>
              <w:p w14:paraId="238C9221" w14:textId="4167C443" w:rsidR="00E77E71" w:rsidRPr="00CF25B0" w:rsidRDefault="00E77E71" w:rsidP="008907C1">
                <w:pPr>
                  <w:spacing w:after="40"/>
                  <w:rPr>
                    <w:rFonts w:asciiTheme="minorHAnsi" w:hAnsiTheme="minorHAnsi" w:cstheme="minorHAnsi"/>
                    <w:sz w:val="18"/>
                    <w:szCs w:val="18"/>
                    <w:lang w:val="es-EC"/>
                  </w:rPr>
                </w:pPr>
              </w:p>
            </w:tc>
            <w:tc>
              <w:tcPr>
                <w:tcW w:w="442" w:type="pct"/>
              </w:tcPr>
              <w:p w14:paraId="0890E4C9" w14:textId="4BC4DBCD" w:rsidR="00FB36A9" w:rsidRPr="00A51E75" w:rsidRDefault="00000000" w:rsidP="00FB36A9">
                <w:pPr>
                  <w:spacing w:before="144"/>
                  <w:rPr>
                    <w:rFonts w:asciiTheme="minorHAnsi" w:hAnsiTheme="minorHAnsi" w:cstheme="minorHAnsi"/>
                    <w:sz w:val="18"/>
                    <w:szCs w:val="18"/>
                  </w:rPr>
                </w:pPr>
                <w:sdt>
                  <w:sdtPr>
                    <w:rPr>
                      <w:rFonts w:asciiTheme="minorHAnsi" w:hAnsiTheme="minorHAnsi" w:cstheme="minorHAnsi"/>
                      <w:sz w:val="18"/>
                      <w:szCs w:val="18"/>
                    </w:rPr>
                    <w:tag w:val="goog_rdk_321"/>
                    <w:id w:val="-1245104062"/>
                  </w:sdtPr>
                  <w:sdtEndPr>
                    <w:rPr>
                      <w:rFonts w:cstheme="minorBidi"/>
                    </w:rPr>
                  </w:sdtEndPr>
                  <w:sdtContent/>
                </w:sdt>
                <w:r w:rsidR="00FB36A9">
                  <w:rPr>
                    <w:rFonts w:asciiTheme="minorHAnsi" w:hAnsiTheme="minorHAnsi" w:cstheme="minorBidi"/>
                    <w:sz w:val="18"/>
                    <w:szCs w:val="18"/>
                  </w:rPr>
                  <w:t xml:space="preserve"> </w:t>
                </w:r>
                <w:sdt>
                  <w:sdtPr>
                    <w:rPr>
                      <w:rFonts w:asciiTheme="minorHAnsi" w:hAnsiTheme="minorHAnsi" w:cstheme="minorBidi"/>
                      <w:sz w:val="18"/>
                      <w:szCs w:val="18"/>
                    </w:rPr>
                    <w:tag w:val="goog_rdk_85"/>
                    <w:id w:val="-338849826"/>
                  </w:sdtPr>
                  <w:sdtContent>
                    <w:sdt>
                      <w:sdtPr>
                        <w:rPr>
                          <w:rFonts w:asciiTheme="minorHAnsi" w:hAnsiTheme="minorHAnsi" w:cstheme="minorHAnsi"/>
                          <w:sz w:val="18"/>
                          <w:szCs w:val="18"/>
                        </w:rPr>
                        <w:tag w:val="goog_rdk_84"/>
                        <w:id w:val="-1573424022"/>
                      </w:sdtPr>
                      <w:sdtContent>
                        <w:r w:rsidR="00FB36A9">
                          <w:rPr>
                            <w:rFonts w:asciiTheme="minorHAnsi" w:hAnsiTheme="minorHAnsi" w:cstheme="minorHAnsi"/>
                            <w:sz w:val="18"/>
                            <w:szCs w:val="18"/>
                          </w:rPr>
                          <w:t>Desde</w:t>
                        </w:r>
                        <w:r w:rsidR="00FB36A9" w:rsidRPr="00A51E75">
                          <w:rPr>
                            <w:rFonts w:asciiTheme="minorHAnsi" w:hAnsiTheme="minorHAnsi" w:cstheme="minorHAnsi"/>
                            <w:sz w:val="18"/>
                            <w:szCs w:val="18"/>
                          </w:rPr>
                          <w:t>: 01-Jun-26</w:t>
                        </w:r>
                      </w:sdtContent>
                    </w:sdt>
                  </w:sdtContent>
                </w:sdt>
              </w:p>
              <w:sdt>
                <w:sdtPr>
                  <w:rPr>
                    <w:rFonts w:asciiTheme="minorHAnsi" w:hAnsiTheme="minorHAnsi" w:cstheme="minorBidi"/>
                    <w:sz w:val="18"/>
                    <w:szCs w:val="18"/>
                  </w:rPr>
                  <w:tag w:val="goog_rdk_87"/>
                  <w:id w:val="1440335865"/>
                </w:sdtPr>
                <w:sdtContent>
                  <w:p w14:paraId="39A59BEE" w14:textId="77777777" w:rsidR="00FB36A9" w:rsidRPr="00A51E75" w:rsidRDefault="00000000" w:rsidP="00FB36A9">
                    <w:pPr>
                      <w:rPr>
                        <w:rFonts w:asciiTheme="minorHAnsi" w:hAnsiTheme="minorHAnsi" w:cstheme="minorHAnsi"/>
                        <w:sz w:val="18"/>
                        <w:szCs w:val="18"/>
                      </w:rPr>
                    </w:pPr>
                    <w:sdt>
                      <w:sdtPr>
                        <w:rPr>
                          <w:rFonts w:asciiTheme="minorHAnsi" w:hAnsiTheme="minorHAnsi" w:cstheme="minorHAnsi"/>
                          <w:sz w:val="18"/>
                          <w:szCs w:val="18"/>
                        </w:rPr>
                        <w:tag w:val="goog_rdk_86"/>
                        <w:id w:val="-78606032"/>
                      </w:sdtPr>
                      <w:sdtContent/>
                    </w:sdt>
                  </w:p>
                </w:sdtContent>
              </w:sdt>
              <w:p w14:paraId="37E1B45E" w14:textId="3C8169CE" w:rsidR="00E77E71" w:rsidRPr="00A51E75" w:rsidRDefault="00000000" w:rsidP="00FB36A9">
                <w:pPr>
                  <w:spacing w:after="144"/>
                  <w:rPr>
                    <w:rFonts w:asciiTheme="minorHAnsi" w:hAnsiTheme="minorHAnsi" w:cstheme="minorHAnsi"/>
                    <w:sz w:val="18"/>
                    <w:szCs w:val="18"/>
                  </w:rPr>
                </w:pPr>
                <w:sdt>
                  <w:sdtPr>
                    <w:rPr>
                      <w:rFonts w:asciiTheme="minorHAnsi" w:hAnsiTheme="minorHAnsi" w:cstheme="minorBidi"/>
                      <w:sz w:val="18"/>
                      <w:szCs w:val="18"/>
                    </w:rPr>
                    <w:tag w:val="goog_rdk_89"/>
                    <w:id w:val="953517430"/>
                  </w:sdtPr>
                  <w:sdtContent>
                    <w:sdt>
                      <w:sdtPr>
                        <w:rPr>
                          <w:rFonts w:asciiTheme="minorHAnsi" w:hAnsiTheme="minorHAnsi" w:cstheme="minorHAnsi"/>
                          <w:sz w:val="18"/>
                          <w:szCs w:val="18"/>
                        </w:rPr>
                        <w:tag w:val="goog_rdk_88"/>
                        <w:id w:val="1847677126"/>
                      </w:sdtPr>
                      <w:sdtContent>
                        <w:r w:rsidR="00FB36A9">
                          <w:rPr>
                            <w:rFonts w:asciiTheme="minorHAnsi" w:hAnsiTheme="minorHAnsi" w:cstheme="minorHAnsi"/>
                            <w:sz w:val="18"/>
                            <w:szCs w:val="18"/>
                          </w:rPr>
                          <w:t>Hasta</w:t>
                        </w:r>
                        <w:r w:rsidR="00FB36A9" w:rsidRPr="00A51E75">
                          <w:rPr>
                            <w:rFonts w:asciiTheme="minorHAnsi" w:hAnsiTheme="minorHAnsi" w:cstheme="minorHAnsi"/>
                            <w:sz w:val="18"/>
                            <w:szCs w:val="18"/>
                          </w:rPr>
                          <w:t>: 01-Jun-31</w:t>
                        </w:r>
                      </w:sdtContent>
                    </w:sdt>
                  </w:sdtContent>
                </w:sdt>
                <w:r w:rsidR="00FB36A9">
                  <w:rPr>
                    <w:rFonts w:asciiTheme="minorHAnsi" w:hAnsiTheme="minorHAnsi" w:cstheme="minorHAnsi"/>
                    <w:sz w:val="18"/>
                    <w:szCs w:val="18"/>
                  </w:rPr>
                  <w:t xml:space="preserve"> </w:t>
                </w:r>
                <w:sdt>
                  <w:sdtPr>
                    <w:rPr>
                      <w:rFonts w:asciiTheme="minorHAnsi" w:hAnsiTheme="minorHAnsi" w:cstheme="minorHAnsi"/>
                      <w:sz w:val="18"/>
                      <w:szCs w:val="18"/>
                    </w:rPr>
                    <w:tag w:val="goog_rdk_325"/>
                    <w:id w:val="-468508413"/>
                  </w:sdtPr>
                  <w:sdtContent/>
                </w:sdt>
              </w:p>
            </w:tc>
            <w:tc>
              <w:tcPr>
                <w:tcW w:w="559" w:type="pct"/>
              </w:tcPr>
              <w:sdt>
                <w:sdtPr>
                  <w:rPr>
                    <w:rFonts w:asciiTheme="minorHAnsi" w:hAnsiTheme="minorHAnsi" w:cstheme="minorHAnsi"/>
                    <w:sz w:val="18"/>
                    <w:szCs w:val="18"/>
                  </w:rPr>
                  <w:tag w:val="goog_rdk_327"/>
                  <w:id w:val="1450052526"/>
                </w:sdtPr>
                <w:sdtContent>
                  <w:p w14:paraId="68D15748" w14:textId="0DFE6380" w:rsidR="00E77E71" w:rsidRPr="004319ED" w:rsidRDefault="00000000" w:rsidP="008907C1">
                    <w:pPr>
                      <w:spacing w:before="144"/>
                      <w:rPr>
                        <w:rFonts w:asciiTheme="minorHAnsi" w:hAnsiTheme="minorHAnsi" w:cstheme="minorHAnsi"/>
                        <w:sz w:val="18"/>
                        <w:szCs w:val="18"/>
                        <w:lang w:val="es-EC"/>
                      </w:rPr>
                    </w:pPr>
                    <w:sdt>
                      <w:sdtPr>
                        <w:rPr>
                          <w:rFonts w:asciiTheme="minorHAnsi" w:hAnsiTheme="minorHAnsi" w:cstheme="minorHAnsi"/>
                          <w:sz w:val="18"/>
                          <w:szCs w:val="18"/>
                        </w:rPr>
                        <w:tag w:val="goog_rdk_326"/>
                        <w:id w:val="-1350107484"/>
                      </w:sdtPr>
                      <w:sdtContent>
                        <w:r w:rsidR="004319ED" w:rsidRPr="004319ED">
                          <w:rPr>
                            <w:rFonts w:asciiTheme="minorHAnsi" w:hAnsiTheme="minorHAnsi" w:cstheme="minorHAnsi"/>
                            <w:sz w:val="18"/>
                            <w:szCs w:val="18"/>
                            <w:lang w:val="es-EC"/>
                          </w:rPr>
                          <w:t xml:space="preserve"> Socio implementador, MAE y UGP </w:t>
                        </w:r>
                      </w:sdtContent>
                    </w:sdt>
                  </w:p>
                </w:sdtContent>
              </w:sdt>
              <w:sdt>
                <w:sdtPr>
                  <w:rPr>
                    <w:rFonts w:asciiTheme="minorHAnsi" w:hAnsiTheme="minorHAnsi" w:cstheme="minorHAnsi"/>
                    <w:sz w:val="18"/>
                    <w:szCs w:val="18"/>
                  </w:rPr>
                  <w:tag w:val="goog_rdk_329"/>
                  <w:id w:val="-1463814295"/>
                </w:sdtPr>
                <w:sdtContent>
                  <w:p w14:paraId="420E5CE4" w14:textId="77777777" w:rsidR="00E77E71" w:rsidRPr="00A51E75" w:rsidRDefault="00000000" w:rsidP="008907C1">
                    <w:pPr>
                      <w:spacing w:before="144"/>
                      <w:rPr>
                        <w:rFonts w:asciiTheme="minorHAnsi" w:hAnsiTheme="minorHAnsi" w:cstheme="minorHAnsi"/>
                        <w:sz w:val="18"/>
                        <w:szCs w:val="18"/>
                      </w:rPr>
                    </w:pPr>
                    <w:sdt>
                      <w:sdtPr>
                        <w:rPr>
                          <w:rFonts w:asciiTheme="minorHAnsi" w:hAnsiTheme="minorHAnsi" w:cstheme="minorHAnsi"/>
                          <w:sz w:val="18"/>
                          <w:szCs w:val="18"/>
                        </w:rPr>
                        <w:tag w:val="goog_rdk_328"/>
                        <w:id w:val="1700122482"/>
                      </w:sdtPr>
                      <w:sdtContent/>
                    </w:sdt>
                  </w:p>
                </w:sdtContent>
              </w:sdt>
            </w:tc>
            <w:tc>
              <w:tcPr>
                <w:tcW w:w="787" w:type="pct"/>
              </w:tcPr>
              <w:p w14:paraId="3D3CE3B7" w14:textId="77777777" w:rsidR="00450749" w:rsidRPr="00450749" w:rsidRDefault="00450749" w:rsidP="00450749">
                <w:pPr>
                  <w:spacing w:before="144"/>
                  <w:rPr>
                    <w:rFonts w:asciiTheme="minorHAnsi" w:hAnsiTheme="minorHAnsi" w:cstheme="minorHAnsi"/>
                    <w:sz w:val="18"/>
                    <w:szCs w:val="18"/>
                  </w:rPr>
                </w:pPr>
                <w:r w:rsidRPr="00450749">
                  <w:rPr>
                    <w:rFonts w:asciiTheme="minorHAnsi" w:hAnsiTheme="minorHAnsi" w:cstheme="minorHAnsi"/>
                    <w:sz w:val="18"/>
                    <w:szCs w:val="18"/>
                  </w:rPr>
                  <w:t>El proyecto seguirá las normas fiduciarias del PNUD para garantizar el cumplimiento de las políticas del FMAM, incluyendo el uso de procesos de adquisición aprobados, auditorías financieras, controles internos y protocolos de gestión de riesgos. Se realizarán auditorías externas anuales del Socio Implementador y se aplicarán procedimientos de verificación de gastos. El PNUD supervisará el cumplimiento fiduciario a través de su función de Garantía del Proyecto y mantendrá la segregación de funciones para asegurar la supervisión independiente de la gestión financiera.</w:t>
                </w:r>
              </w:p>
              <w:p w14:paraId="45C9AF7C" w14:textId="63F8CB08" w:rsidR="00E77E71" w:rsidRPr="00A51E75" w:rsidRDefault="00450749" w:rsidP="00450749">
                <w:pPr>
                  <w:spacing w:before="40"/>
                  <w:rPr>
                    <w:rFonts w:asciiTheme="minorHAnsi" w:hAnsiTheme="minorHAnsi" w:cstheme="minorHAnsi"/>
                    <w:sz w:val="18"/>
                    <w:szCs w:val="18"/>
                  </w:rPr>
                </w:pPr>
                <w:r w:rsidRPr="00450749">
                  <w:rPr>
                    <w:rFonts w:asciiTheme="minorHAnsi" w:hAnsiTheme="minorHAnsi" w:cstheme="minorHAnsi"/>
                    <w:sz w:val="18"/>
                    <w:szCs w:val="18"/>
                  </w:rPr>
                  <w:t>Estas medidas garantizan la integridad y la transparencia fiduciarias, lo que justifica la clasificación del riesgo fiduciario como Bajo.</w:t>
                </w:r>
              </w:p>
            </w:tc>
          </w:tr>
        </w:sdtContent>
      </w:sdt>
    </w:tbl>
    <w:p w14:paraId="3134FE69" w14:textId="77777777" w:rsidR="003549E7" w:rsidRPr="00D37E8B" w:rsidRDefault="003549E7" w:rsidP="008B6F84">
      <w:pPr>
        <w:keepNext/>
        <w:spacing w:after="60"/>
        <w:jc w:val="both"/>
        <w:outlineLvl w:val="1"/>
        <w:rPr>
          <w:rFonts w:asciiTheme="minorHAnsi" w:eastAsia="SimSun" w:hAnsiTheme="minorHAnsi" w:cstheme="minorHAnsi"/>
          <w:b/>
          <w:bCs/>
          <w:lang w:val="es-EC"/>
        </w:rPr>
      </w:pPr>
    </w:p>
    <w:p w14:paraId="76E56371" w14:textId="77777777" w:rsidR="003549E7" w:rsidRPr="00D37E8B" w:rsidRDefault="003549E7" w:rsidP="008B6F84">
      <w:pPr>
        <w:keepNext/>
        <w:spacing w:after="60"/>
        <w:jc w:val="both"/>
        <w:outlineLvl w:val="1"/>
        <w:rPr>
          <w:rFonts w:asciiTheme="minorHAnsi" w:eastAsia="SimSun" w:hAnsiTheme="minorHAnsi" w:cstheme="minorHAnsi"/>
          <w:b/>
          <w:bCs/>
          <w:lang w:val="es-EC"/>
        </w:rPr>
      </w:pPr>
    </w:p>
    <w:p w14:paraId="11A0AA23" w14:textId="77777777" w:rsidR="008B6F84" w:rsidRPr="00D37E8B" w:rsidRDefault="008B6F84" w:rsidP="008B6F84">
      <w:pPr>
        <w:keepNext/>
        <w:spacing w:after="60"/>
        <w:jc w:val="both"/>
        <w:outlineLvl w:val="1"/>
        <w:rPr>
          <w:rFonts w:asciiTheme="minorHAnsi" w:eastAsia="SimSun" w:hAnsiTheme="minorHAnsi" w:cstheme="minorHAnsi"/>
          <w:b/>
          <w:bCs/>
          <w:sz w:val="20"/>
          <w:lang w:val="es-EC"/>
        </w:rPr>
        <w:sectPr w:rsidR="008B6F84" w:rsidRPr="00D37E8B" w:rsidSect="003549E7">
          <w:pgSz w:w="15840" w:h="12240" w:orient="landscape" w:code="1"/>
          <w:pgMar w:top="720" w:right="720" w:bottom="720" w:left="720" w:header="720" w:footer="720" w:gutter="0"/>
          <w:cols w:space="720"/>
          <w:docGrid w:linePitch="360"/>
        </w:sectPr>
      </w:pPr>
    </w:p>
    <w:p w14:paraId="3FA6185B" w14:textId="08F52E4D" w:rsidR="008B6F84" w:rsidRPr="00125CE3" w:rsidRDefault="00211737" w:rsidP="00030CA2">
      <w:pPr>
        <w:keepNext/>
        <w:spacing w:after="60"/>
        <w:jc w:val="both"/>
        <w:outlineLvl w:val="1"/>
        <w:rPr>
          <w:rFonts w:ascii="Calibri" w:eastAsia="SimSun" w:hAnsi="Calibri" w:cs="Calibri"/>
          <w:b/>
          <w:bCs/>
          <w:sz w:val="20"/>
          <w:szCs w:val="20"/>
        </w:rPr>
      </w:pPr>
      <w:bookmarkStart w:id="74" w:name="_Toc221696314"/>
      <w:r w:rsidRPr="00125CE3">
        <w:rPr>
          <w:rFonts w:ascii="Calibri" w:eastAsia="SimSun" w:hAnsi="Calibri" w:cs="Calibri"/>
          <w:b/>
          <w:bCs/>
          <w:sz w:val="20"/>
          <w:szCs w:val="20"/>
        </w:rPr>
        <w:lastRenderedPageBreak/>
        <w:t>Anex</w:t>
      </w:r>
      <w:r w:rsidR="00CF25B0" w:rsidRPr="00125CE3">
        <w:rPr>
          <w:rFonts w:ascii="Calibri" w:eastAsia="SimSun" w:hAnsi="Calibri" w:cs="Calibri"/>
          <w:b/>
          <w:bCs/>
          <w:sz w:val="20"/>
          <w:szCs w:val="20"/>
        </w:rPr>
        <w:t>o</w:t>
      </w:r>
      <w:r w:rsidRPr="00125CE3">
        <w:rPr>
          <w:rFonts w:ascii="Calibri" w:eastAsia="SimSun" w:hAnsi="Calibri" w:cs="Calibri"/>
          <w:b/>
          <w:bCs/>
          <w:sz w:val="20"/>
          <w:szCs w:val="20"/>
        </w:rPr>
        <w:t xml:space="preserve"> 7: </w:t>
      </w:r>
      <w:r w:rsidR="00CF25B0" w:rsidRPr="00125CE3">
        <w:rPr>
          <w:rFonts w:ascii="Calibri" w:eastAsia="SimSun" w:hAnsi="Calibri" w:cs="Calibri"/>
          <w:b/>
          <w:bCs/>
          <w:sz w:val="20"/>
          <w:szCs w:val="20"/>
        </w:rPr>
        <w:t>Visión general del personal del proyecto y consultorías técnicas</w:t>
      </w:r>
      <w:bookmarkEnd w:id="74"/>
    </w:p>
    <w:p w14:paraId="50B1145E" w14:textId="77777777" w:rsidR="00530F47" w:rsidRPr="00CF25B0" w:rsidRDefault="00530F47" w:rsidP="1D9DC7A6">
      <w:pPr>
        <w:spacing w:after="60"/>
        <w:jc w:val="both"/>
        <w:rPr>
          <w:rFonts w:asciiTheme="minorHAnsi" w:eastAsia="SimSun" w:hAnsiTheme="minorHAnsi" w:cstheme="minorBidi"/>
          <w:lang w:val="es-EC"/>
        </w:rPr>
      </w:pPr>
    </w:p>
    <w:tbl>
      <w:tblPr>
        <w:tblW w:w="0" w:type="auto"/>
        <w:tblBorders>
          <w:top w:val="single" w:sz="3" w:space="0" w:color="000000" w:themeColor="text1"/>
          <w:left w:val="single" w:sz="3" w:space="0" w:color="000000" w:themeColor="text1"/>
          <w:bottom w:val="single" w:sz="3" w:space="0" w:color="000000" w:themeColor="text1"/>
          <w:right w:val="single" w:sz="3" w:space="0" w:color="000000" w:themeColor="text1"/>
        </w:tblBorders>
        <w:tblLayout w:type="fixed"/>
        <w:tblLook w:val="06A0" w:firstRow="1" w:lastRow="0" w:firstColumn="1" w:lastColumn="0" w:noHBand="1" w:noVBand="1"/>
      </w:tblPr>
      <w:tblGrid>
        <w:gridCol w:w="1560"/>
        <w:gridCol w:w="1605"/>
        <w:gridCol w:w="11235"/>
      </w:tblGrid>
      <w:tr w:rsidR="1D9DC7A6" w:rsidRPr="006B39C0" w14:paraId="5F7E6CA6" w14:textId="77777777" w:rsidTr="006B39C0">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vAlign w:val="center"/>
          </w:tcPr>
          <w:p w14:paraId="25EF4DF6" w14:textId="665D17B3" w:rsidR="1D9DC7A6" w:rsidRPr="006B39C0" w:rsidRDefault="00970E5E" w:rsidP="006B39C0">
            <w:pPr>
              <w:contextualSpacing/>
              <w:rPr>
                <w:rFonts w:asciiTheme="minorHAnsi" w:hAnsiTheme="minorHAnsi" w:cstheme="minorHAnsi"/>
                <w:b/>
                <w:bCs/>
                <w:sz w:val="18"/>
                <w:szCs w:val="18"/>
              </w:rPr>
            </w:pPr>
            <w:r w:rsidRPr="006B39C0">
              <w:rPr>
                <w:rFonts w:asciiTheme="minorHAnsi" w:hAnsiTheme="minorHAnsi" w:cstheme="minorHAnsi"/>
                <w:b/>
                <w:bCs/>
                <w:sz w:val="18"/>
                <w:szCs w:val="18"/>
              </w:rPr>
              <w:t>Consultor</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vAlign w:val="center"/>
          </w:tcPr>
          <w:p w14:paraId="37BBC896" w14:textId="1B636010" w:rsidR="1D9DC7A6" w:rsidRPr="006B39C0" w:rsidRDefault="00571038" w:rsidP="006B39C0">
            <w:pPr>
              <w:contextualSpacing/>
              <w:rPr>
                <w:rFonts w:asciiTheme="minorHAnsi" w:hAnsiTheme="minorHAnsi" w:cstheme="minorHAnsi"/>
                <w:b/>
                <w:bCs/>
                <w:sz w:val="18"/>
                <w:szCs w:val="18"/>
              </w:rPr>
            </w:pPr>
            <w:r>
              <w:rPr>
                <w:rFonts w:asciiTheme="minorHAnsi" w:hAnsiTheme="minorHAnsi" w:cstheme="minorHAnsi"/>
                <w:b/>
                <w:bCs/>
                <w:sz w:val="18"/>
                <w:szCs w:val="18"/>
              </w:rPr>
              <w:t xml:space="preserve">Dedicación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vAlign w:val="center"/>
          </w:tcPr>
          <w:p w14:paraId="0BF64C79" w14:textId="16EE6B0C" w:rsidR="1D9DC7A6" w:rsidRPr="006B39C0" w:rsidRDefault="006B39C0" w:rsidP="006B39C0">
            <w:pPr>
              <w:pStyle w:val="NormalWeb"/>
              <w:contextualSpacing/>
              <w:rPr>
                <w:rFonts w:asciiTheme="minorHAnsi" w:hAnsiTheme="minorHAnsi" w:cstheme="minorHAnsi"/>
                <w:b/>
                <w:bCs/>
                <w:sz w:val="18"/>
                <w:szCs w:val="18"/>
              </w:rPr>
            </w:pPr>
            <w:r w:rsidRPr="006B39C0">
              <w:rPr>
                <w:rStyle w:val="Textoennegrita"/>
                <w:rFonts w:asciiTheme="minorHAnsi" w:hAnsiTheme="minorHAnsi" w:cstheme="minorHAnsi"/>
                <w:color w:val="000000"/>
                <w:sz w:val="18"/>
                <w:szCs w:val="18"/>
              </w:rPr>
              <w:t>Tareas, Insumos y Productos</w:t>
            </w:r>
          </w:p>
        </w:tc>
      </w:tr>
      <w:tr w:rsidR="1D9DC7A6" w:rsidRPr="006B39C0" w14:paraId="52B5BBDD"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7746486" w14:textId="0518BF3C" w:rsidR="1D9DC7A6" w:rsidRPr="006B39C0" w:rsidRDefault="1D9DC7A6" w:rsidP="00391502">
            <w:pPr>
              <w:spacing w:before="150" w:after="45"/>
              <w:jc w:val="both"/>
              <w:rPr>
                <w:rFonts w:asciiTheme="minorHAnsi" w:hAnsiTheme="minorHAnsi" w:cstheme="minorHAnsi"/>
                <w:b/>
                <w:bCs/>
                <w:i/>
                <w:iCs/>
                <w:sz w:val="18"/>
                <w:szCs w:val="18"/>
              </w:rPr>
            </w:pPr>
            <w:r w:rsidRPr="006B39C0">
              <w:rPr>
                <w:rFonts w:asciiTheme="minorHAnsi" w:hAnsiTheme="minorHAnsi" w:cstheme="minorHAnsi"/>
                <w:b/>
                <w:bCs/>
                <w:i/>
                <w:iCs/>
                <w:sz w:val="18"/>
                <w:szCs w:val="18"/>
              </w:rPr>
              <w:t xml:space="preserve">PMC </w:t>
            </w:r>
          </w:p>
        </w:tc>
        <w:tc>
          <w:tcPr>
            <w:tcW w:w="1605" w:type="dxa"/>
            <w:vAlign w:val="center"/>
          </w:tcPr>
          <w:p w14:paraId="0CAD4618" w14:textId="249C6314" w:rsidR="1D9DC7A6" w:rsidRPr="006B39C0" w:rsidRDefault="1D9DC7A6">
            <w:pPr>
              <w:rPr>
                <w:rFonts w:asciiTheme="minorHAnsi" w:hAnsiTheme="minorHAnsi" w:cstheme="minorHAnsi"/>
                <w:sz w:val="18"/>
                <w:szCs w:val="18"/>
              </w:rPr>
            </w:pPr>
          </w:p>
        </w:tc>
        <w:tc>
          <w:tcPr>
            <w:tcW w:w="11235" w:type="dxa"/>
            <w:vAlign w:val="center"/>
          </w:tcPr>
          <w:p w14:paraId="78BE7E27" w14:textId="5DADDEAB" w:rsidR="1D9DC7A6" w:rsidRPr="006B39C0" w:rsidRDefault="1D9DC7A6">
            <w:pPr>
              <w:rPr>
                <w:rFonts w:asciiTheme="minorHAnsi" w:hAnsiTheme="minorHAnsi" w:cstheme="minorHAnsi"/>
                <w:sz w:val="18"/>
                <w:szCs w:val="18"/>
              </w:rPr>
            </w:pPr>
          </w:p>
        </w:tc>
      </w:tr>
      <w:tr w:rsidR="1D9DC7A6" w:rsidRPr="006B39C0" w14:paraId="20977F0F"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FDE4F75" w14:textId="54BEEAA7" w:rsidR="1D9DC7A6" w:rsidRPr="006B39C0" w:rsidRDefault="00571038" w:rsidP="00391502">
            <w:pPr>
              <w:spacing w:before="150" w:after="45"/>
              <w:jc w:val="both"/>
              <w:rPr>
                <w:rFonts w:asciiTheme="minorHAnsi" w:hAnsiTheme="minorHAnsi" w:cstheme="minorHAnsi"/>
                <w:b/>
                <w:bCs/>
                <w:i/>
                <w:iCs/>
                <w:sz w:val="18"/>
                <w:szCs w:val="18"/>
              </w:rPr>
            </w:pPr>
            <w:r>
              <w:rPr>
                <w:rFonts w:asciiTheme="minorHAnsi" w:hAnsiTheme="minorHAnsi" w:cstheme="minorHAnsi"/>
                <w:b/>
                <w:bCs/>
                <w:i/>
                <w:iCs/>
                <w:sz w:val="18"/>
                <w:szCs w:val="18"/>
              </w:rPr>
              <w:t>Contratación Local - Nacional</w:t>
            </w:r>
          </w:p>
        </w:tc>
        <w:tc>
          <w:tcPr>
            <w:tcW w:w="1605" w:type="dxa"/>
            <w:vAlign w:val="center"/>
          </w:tcPr>
          <w:p w14:paraId="7A512D72" w14:textId="4A0D0762" w:rsidR="1D9DC7A6" w:rsidRPr="006B39C0" w:rsidRDefault="1D9DC7A6">
            <w:pPr>
              <w:rPr>
                <w:rFonts w:asciiTheme="minorHAnsi" w:hAnsiTheme="minorHAnsi" w:cstheme="minorHAnsi"/>
                <w:sz w:val="18"/>
                <w:szCs w:val="18"/>
              </w:rPr>
            </w:pPr>
          </w:p>
        </w:tc>
        <w:tc>
          <w:tcPr>
            <w:tcW w:w="11235" w:type="dxa"/>
            <w:vAlign w:val="center"/>
          </w:tcPr>
          <w:p w14:paraId="584D2AE5" w14:textId="1384C906" w:rsidR="1D9DC7A6" w:rsidRPr="006B39C0" w:rsidRDefault="1D9DC7A6">
            <w:pPr>
              <w:rPr>
                <w:rFonts w:asciiTheme="minorHAnsi" w:hAnsiTheme="minorHAnsi" w:cstheme="minorHAnsi"/>
                <w:sz w:val="18"/>
                <w:szCs w:val="18"/>
              </w:rPr>
            </w:pPr>
          </w:p>
        </w:tc>
      </w:tr>
      <w:tr w:rsidR="1D9DC7A6" w:rsidRPr="006B39C0" w14:paraId="7C5FB7CE"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59849C1" w14:textId="73A37DEC" w:rsidR="1D9DC7A6" w:rsidRPr="006B39C0" w:rsidRDefault="006B39C0"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Coordinador/a General del proyecto</w:t>
            </w:r>
          </w:p>
          <w:p w14:paraId="29735C7E" w14:textId="1E3DCD31" w:rsidR="1D9DC7A6" w:rsidRPr="006B39C0" w:rsidRDefault="1D9DC7A6" w:rsidP="00391502">
            <w:pPr>
              <w:spacing w:before="150" w:after="45"/>
              <w:jc w:val="both"/>
              <w:rPr>
                <w:rFonts w:asciiTheme="minorHAnsi" w:hAnsiTheme="minorHAnsi" w:cstheme="minorHAnsi"/>
                <w:sz w:val="18"/>
                <w:szCs w:val="18"/>
              </w:rPr>
            </w:pPr>
          </w:p>
          <w:p w14:paraId="77CD2CBB" w14:textId="1FAD1040"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3,328 /</w:t>
            </w:r>
            <w:r w:rsidRPr="006B39C0">
              <w:rPr>
                <w:rFonts w:asciiTheme="minorHAnsi" w:hAnsiTheme="minorHAnsi" w:cstheme="minorHAnsi"/>
                <w:i/>
                <w:iCs/>
                <w:sz w:val="18"/>
                <w:szCs w:val="18"/>
              </w:rPr>
              <w:t>mes</w:t>
            </w:r>
          </w:p>
          <w:p w14:paraId="63BF44F4" w14:textId="6A395DFC" w:rsidR="1D9DC7A6" w:rsidRPr="006B39C0" w:rsidRDefault="1D9DC7A6" w:rsidP="00391502">
            <w:pPr>
              <w:spacing w:before="150" w:after="45"/>
              <w:jc w:val="both"/>
              <w:rPr>
                <w:rFonts w:asciiTheme="minorHAnsi" w:hAnsiTheme="minorHAnsi" w:cstheme="minorHAnsi"/>
                <w:sz w:val="18"/>
                <w:szCs w:val="18"/>
              </w:rPr>
            </w:pPr>
          </w:p>
          <w:p w14:paraId="71F7DF86" w14:textId="5899ECA8" w:rsidR="1D9DC7A6" w:rsidRPr="006B39C0" w:rsidRDefault="006B39C0" w:rsidP="00391502">
            <w:pPr>
              <w:spacing w:before="150" w:after="45"/>
              <w:jc w:val="both"/>
              <w:rPr>
                <w:rFonts w:asciiTheme="minorHAnsi" w:hAnsiTheme="minorHAnsi" w:cstheme="minorHAnsi"/>
                <w:i/>
                <w:iCs/>
                <w:sz w:val="18"/>
                <w:szCs w:val="18"/>
              </w:rPr>
            </w:pPr>
            <w:r>
              <w:rPr>
                <w:rFonts w:asciiTheme="minorHAnsi" w:hAnsiTheme="minorHAnsi" w:cstheme="minorHAnsi"/>
                <w:i/>
                <w:iCs/>
                <w:sz w:val="18"/>
                <w:szCs w:val="18"/>
              </w:rPr>
              <w:t>Costo transversal</w:t>
            </w:r>
          </w:p>
          <w:p w14:paraId="1BF9F610" w14:textId="06B3D999" w:rsidR="1D9DC7A6" w:rsidRPr="006B39C0" w:rsidRDefault="1D9DC7A6" w:rsidP="00391502">
            <w:pPr>
              <w:spacing w:before="150" w:after="45"/>
              <w:jc w:val="both"/>
              <w:rPr>
                <w:rFonts w:asciiTheme="minorHAnsi" w:hAnsiTheme="minorHAnsi" w:cstheme="minorHAnsi"/>
                <w:sz w:val="18"/>
                <w:szCs w:val="18"/>
              </w:rPr>
            </w:pPr>
          </w:p>
          <w:p w14:paraId="28606DF9" w14:textId="2418D8E7"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006B39C0">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 1</w:t>
            </w:r>
          </w:p>
          <w:p w14:paraId="60E3263C" w14:textId="19761D0C" w:rsidR="1D9DC7A6" w:rsidRPr="006B39C0" w:rsidRDefault="1D9DC7A6" w:rsidP="00391502">
            <w:pPr>
              <w:spacing w:before="150" w:after="45"/>
              <w:jc w:val="both"/>
              <w:rPr>
                <w:rFonts w:asciiTheme="minorHAnsi" w:hAnsiTheme="minorHAnsi" w:cstheme="minorHAnsi"/>
                <w:sz w:val="18"/>
                <w:szCs w:val="18"/>
              </w:rPr>
            </w:pPr>
          </w:p>
          <w:p w14:paraId="7496BA59" w14:textId="720326A1"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 </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4C43F6E" w14:textId="116AECCD"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 60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5AA3507" w14:textId="77777777" w:rsidR="006B39C0" w:rsidRPr="00571038" w:rsidRDefault="006B39C0" w:rsidP="006B39C0">
            <w:pPr>
              <w:pStyle w:val="NormalWeb"/>
              <w:rPr>
                <w:rFonts w:asciiTheme="minorHAnsi" w:hAnsiTheme="minorHAnsi" w:cstheme="minorHAnsi"/>
                <w:i/>
                <w:iCs/>
                <w:color w:val="000000"/>
                <w:sz w:val="18"/>
                <w:szCs w:val="18"/>
              </w:rPr>
            </w:pPr>
            <w:r w:rsidRPr="00571038">
              <w:rPr>
                <w:rFonts w:asciiTheme="minorHAnsi" w:hAnsiTheme="minorHAnsi" w:cstheme="minorHAnsi"/>
                <w:i/>
                <w:iCs/>
                <w:color w:val="000000"/>
                <w:sz w:val="18"/>
                <w:szCs w:val="18"/>
              </w:rPr>
              <w:t>El Coordinador General del Proyecto será responsable de la gestión integral del proyecto, liderando la ejecución técnica, administrativa y financiera, y asegurando el cumplimiento de los objetivos, así como de los principios de equidad, interculturalidad, sostenibilidad y rendición de cuentas, en conformidad con las directrices del PNUD y del FMAM (GEF-8).</w:t>
            </w:r>
          </w:p>
          <w:p w14:paraId="790D49DF" w14:textId="77777777" w:rsidR="006B39C0" w:rsidRPr="00571038" w:rsidRDefault="006B39C0" w:rsidP="006B39C0">
            <w:pPr>
              <w:pStyle w:val="Ttulo3"/>
              <w:rPr>
                <w:rFonts w:asciiTheme="minorHAnsi" w:eastAsia="Times New Roman" w:hAnsiTheme="minorHAnsi" w:cstheme="minorHAnsi"/>
                <w:i/>
                <w:iCs/>
                <w:color w:val="000000"/>
                <w:sz w:val="18"/>
                <w:szCs w:val="18"/>
              </w:rPr>
            </w:pPr>
            <w:r w:rsidRPr="00571038">
              <w:rPr>
                <w:rFonts w:asciiTheme="minorHAnsi" w:eastAsia="Times New Roman" w:hAnsiTheme="minorHAnsi" w:cstheme="minorHAnsi"/>
                <w:i/>
                <w:iCs/>
                <w:color w:val="000000"/>
                <w:sz w:val="18"/>
                <w:szCs w:val="18"/>
              </w:rPr>
              <w:t>Funciones y Responsabilidades:</w:t>
            </w:r>
          </w:p>
          <w:p w14:paraId="0DD7D9BD" w14:textId="77777777" w:rsidR="006B39C0" w:rsidRPr="00571038" w:rsidRDefault="006B39C0" w:rsidP="006B39C0">
            <w:pPr>
              <w:pStyle w:val="NormalWeb"/>
              <w:rPr>
                <w:rFonts w:asciiTheme="minorHAnsi" w:hAnsiTheme="minorHAnsi" w:cstheme="minorHAnsi"/>
                <w:i/>
                <w:iCs/>
                <w:color w:val="000000"/>
                <w:sz w:val="18"/>
                <w:szCs w:val="18"/>
              </w:rPr>
            </w:pPr>
            <w:r w:rsidRPr="00571038">
              <w:rPr>
                <w:rFonts w:asciiTheme="minorHAnsi" w:hAnsiTheme="minorHAnsi" w:cstheme="minorHAnsi"/>
                <w:i/>
                <w:iCs/>
                <w:color w:val="000000"/>
                <w:sz w:val="18"/>
                <w:szCs w:val="18"/>
              </w:rPr>
              <w:t>Bajo la supervisión del Comité Directivo del Proyecto y en coordinación directa con el PNUD, el MAE y las partes interesadas clave en territorio, las funciones específicas incluirán:</w:t>
            </w:r>
          </w:p>
          <w:p w14:paraId="2CC8E687" w14:textId="0CC9FA45"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Liderar la ejecución general del proyecto</w:t>
            </w:r>
            <w:r w:rsidRPr="00571038">
              <w:rPr>
                <w:rFonts w:asciiTheme="minorHAnsi" w:hAnsiTheme="minorHAnsi" w:cstheme="minorHAnsi"/>
                <w:i/>
                <w:iCs/>
                <w:color w:val="000000"/>
                <w:sz w:val="18"/>
                <w:szCs w:val="18"/>
              </w:rPr>
              <w:t>, coordinando eficazmente los cinco componentes y asegurando una implementación coherente con el Documento de Diseño del Proyecto (ProDoc) y el Plan de Acción de Género (</w:t>
            </w:r>
            <w:r w:rsidR="00571038">
              <w:rPr>
                <w:rFonts w:asciiTheme="minorHAnsi" w:hAnsiTheme="minorHAnsi" w:cstheme="minorHAnsi"/>
                <w:i/>
                <w:iCs/>
                <w:color w:val="000000"/>
                <w:sz w:val="18"/>
                <w:szCs w:val="18"/>
              </w:rPr>
              <w:t>PAG</w:t>
            </w:r>
            <w:r w:rsidRPr="00571038">
              <w:rPr>
                <w:rFonts w:asciiTheme="minorHAnsi" w:hAnsiTheme="minorHAnsi" w:cstheme="minorHAnsi"/>
                <w:i/>
                <w:iCs/>
                <w:color w:val="000000"/>
                <w:sz w:val="18"/>
                <w:szCs w:val="18"/>
              </w:rPr>
              <w:t>).</w:t>
            </w:r>
          </w:p>
          <w:p w14:paraId="32408BBB"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Planificar, coordinar y supervisar </w:t>
            </w:r>
            <w:r w:rsidRPr="00571038">
              <w:rPr>
                <w:rFonts w:asciiTheme="minorHAnsi" w:hAnsiTheme="minorHAnsi" w:cstheme="minorHAnsi"/>
                <w:i/>
                <w:iCs/>
                <w:color w:val="000000"/>
                <w:sz w:val="18"/>
                <w:szCs w:val="18"/>
              </w:rPr>
              <w:t>las actividades técnicas, operativas, administrativas y financieras del proyecto, con base en los Planes de Trabajo Anuales (AWP), el marco de resultados y las salvaguardas ambientales y sociales.</w:t>
            </w:r>
          </w:p>
          <w:p w14:paraId="713D51BB"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Coordinar y supervisar </w:t>
            </w:r>
            <w:r w:rsidRPr="00571038">
              <w:rPr>
                <w:rFonts w:asciiTheme="minorHAnsi" w:hAnsiTheme="minorHAnsi" w:cstheme="minorHAnsi"/>
                <w:i/>
                <w:iCs/>
                <w:color w:val="000000"/>
                <w:sz w:val="18"/>
                <w:szCs w:val="18"/>
              </w:rPr>
              <w:t>los equipos técnicos centrales y territoriales, consultores, especialistas temáticos, contratistas, instituciones socias y entidades implementadoras (</w:t>
            </w:r>
            <w:proofErr w:type="spellStart"/>
            <w:r w:rsidRPr="00571038">
              <w:rPr>
                <w:rFonts w:asciiTheme="minorHAnsi" w:hAnsiTheme="minorHAnsi" w:cstheme="minorHAnsi"/>
                <w:i/>
                <w:iCs/>
                <w:color w:val="000000"/>
                <w:sz w:val="18"/>
                <w:szCs w:val="18"/>
              </w:rPr>
              <w:t>ONGs</w:t>
            </w:r>
            <w:proofErr w:type="spellEnd"/>
            <w:r w:rsidRPr="00571038">
              <w:rPr>
                <w:rFonts w:asciiTheme="minorHAnsi" w:hAnsiTheme="minorHAnsi" w:cstheme="minorHAnsi"/>
                <w:i/>
                <w:iCs/>
                <w:color w:val="000000"/>
                <w:sz w:val="18"/>
                <w:szCs w:val="18"/>
              </w:rPr>
              <w:t>, universidades), garantizando la calidad y oportunidad de los productos.</w:t>
            </w:r>
          </w:p>
          <w:p w14:paraId="58757A1A"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Asegurar la articulación </w:t>
            </w:r>
            <w:r w:rsidRPr="00571038">
              <w:rPr>
                <w:rFonts w:asciiTheme="minorHAnsi" w:hAnsiTheme="minorHAnsi" w:cstheme="minorHAnsi"/>
                <w:i/>
                <w:iCs/>
                <w:color w:val="000000"/>
                <w:sz w:val="18"/>
                <w:szCs w:val="18"/>
              </w:rPr>
              <w:t>entre los niveles de gobierno, pueblos indígenas, comunidades locales, academia, sector privado y socios de cooperación, promoviendo sinergias institucionales y sostenibilidad a largo plazo.</w:t>
            </w:r>
          </w:p>
          <w:p w14:paraId="2DDA2B5C"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Coordinar estrechamente con el MAE </w:t>
            </w:r>
            <w:r w:rsidRPr="00571038">
              <w:rPr>
                <w:rFonts w:asciiTheme="minorHAnsi" w:hAnsiTheme="minorHAnsi" w:cstheme="minorHAnsi"/>
                <w:i/>
                <w:iCs/>
                <w:color w:val="000000"/>
                <w:sz w:val="18"/>
                <w:szCs w:val="18"/>
              </w:rPr>
              <w:t>como entidad implementadora, facilitando su rol rector en políticas ambientales, y alineándose con sus sistemas de monitoreo (SIS, SIGMA) y plataformas de gobernanza territorial.</w:t>
            </w:r>
          </w:p>
          <w:p w14:paraId="25BE4230"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Implementar y supervisar procesos </w:t>
            </w:r>
            <w:r w:rsidRPr="00571038">
              <w:rPr>
                <w:rFonts w:asciiTheme="minorHAnsi" w:hAnsiTheme="minorHAnsi" w:cstheme="minorHAnsi"/>
                <w:i/>
                <w:iCs/>
                <w:color w:val="000000"/>
                <w:sz w:val="18"/>
                <w:szCs w:val="18"/>
              </w:rPr>
              <w:t>de adquisiciones de bienes, contratación de servicios, diseño e implementación de capacitaciones, acuerdos y subvenciones de bajo valor (SBV), cumpliendo con los procedimientos del PNUD.</w:t>
            </w:r>
          </w:p>
          <w:p w14:paraId="0EFDF625"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Asegurar la transversalización </w:t>
            </w:r>
            <w:r w:rsidRPr="00571038">
              <w:rPr>
                <w:rFonts w:asciiTheme="minorHAnsi" w:hAnsiTheme="minorHAnsi" w:cstheme="minorHAnsi"/>
                <w:i/>
                <w:iCs/>
                <w:color w:val="000000"/>
                <w:sz w:val="18"/>
                <w:szCs w:val="18"/>
              </w:rPr>
              <w:t>de los principios de género, interseccionalidad, derechos colectivos y saberes ancestrales en todos los componentes del proyecto.</w:t>
            </w:r>
          </w:p>
          <w:p w14:paraId="3FD8A097"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Monitorear y dar seguimiento </w:t>
            </w:r>
            <w:r w:rsidRPr="00571038">
              <w:rPr>
                <w:rFonts w:asciiTheme="minorHAnsi" w:hAnsiTheme="minorHAnsi" w:cstheme="minorHAnsi"/>
                <w:i/>
                <w:iCs/>
                <w:color w:val="000000"/>
                <w:sz w:val="18"/>
                <w:szCs w:val="18"/>
              </w:rPr>
              <w:t>al avance técnico y financiero del proyecto, utilizando sistemas institucionales (Atlas, Quantum, MEL) y reportando desviaciones relevantes al Comité Directivo.</w:t>
            </w:r>
          </w:p>
          <w:p w14:paraId="74958EB4"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Gestionar los riesgos del proyecto</w:t>
            </w:r>
            <w:r w:rsidRPr="00571038">
              <w:rPr>
                <w:rFonts w:asciiTheme="minorHAnsi" w:hAnsiTheme="minorHAnsi" w:cstheme="minorHAnsi"/>
                <w:i/>
                <w:iCs/>
                <w:color w:val="000000"/>
                <w:sz w:val="18"/>
                <w:szCs w:val="18"/>
              </w:rPr>
              <w:t>, incluidos los riesgos sociales y ambientales, mediante la actualización periódica del registro de riesgos y la propuesta de medidas de mitigación al Comité Directivo.</w:t>
            </w:r>
          </w:p>
          <w:p w14:paraId="28908508"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Preparar informes trimestrales </w:t>
            </w:r>
            <w:r w:rsidRPr="00571038">
              <w:rPr>
                <w:rFonts w:asciiTheme="minorHAnsi" w:hAnsiTheme="minorHAnsi" w:cstheme="minorHAnsi"/>
                <w:i/>
                <w:iCs/>
                <w:color w:val="000000"/>
                <w:sz w:val="18"/>
                <w:szCs w:val="18"/>
              </w:rPr>
              <w:t>de avance técnico y financiero, así como los informes anuales del FMAM (PIR), asegurando que incluyan los indicadores centrales y específicos del marco de resultados del proyecto.</w:t>
            </w:r>
          </w:p>
          <w:p w14:paraId="4B4C3E46"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Facilitar la implementación del plan de monitoreo y evaluación (MEL)</w:t>
            </w:r>
            <w:r w:rsidRPr="00571038">
              <w:rPr>
                <w:rFonts w:asciiTheme="minorHAnsi" w:hAnsiTheme="minorHAnsi" w:cstheme="minorHAnsi"/>
                <w:i/>
                <w:iCs/>
                <w:color w:val="000000"/>
                <w:sz w:val="18"/>
                <w:szCs w:val="18"/>
              </w:rPr>
              <w:t>, en coordinación con el equipo MEL, y brindar apoyo directo en evaluaciones clave (inicio, medio término y final).</w:t>
            </w:r>
          </w:p>
          <w:p w14:paraId="46FDF060"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Capturar, documentar y difundir </w:t>
            </w:r>
            <w:r w:rsidRPr="00571038">
              <w:rPr>
                <w:rFonts w:asciiTheme="minorHAnsi" w:hAnsiTheme="minorHAnsi" w:cstheme="minorHAnsi"/>
                <w:i/>
                <w:iCs/>
                <w:color w:val="000000"/>
                <w:sz w:val="18"/>
                <w:szCs w:val="18"/>
              </w:rPr>
              <w:t>lecciones aprendidas, buenas prácticas y experiencias significativas, contribuyendo a la gestión del conocimiento y la replicabilidad del proyecto a nivel nacional y regional.</w:t>
            </w:r>
          </w:p>
          <w:p w14:paraId="16FB70C3"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lastRenderedPageBreak/>
              <w:t xml:space="preserve">Coordinar con el </w:t>
            </w:r>
            <w:proofErr w:type="gramStart"/>
            <w:r w:rsidRPr="00571038">
              <w:rPr>
                <w:i/>
                <w:iCs/>
                <w:sz w:val="18"/>
                <w:szCs w:val="18"/>
              </w:rPr>
              <w:t>Hub</w:t>
            </w:r>
            <w:proofErr w:type="gramEnd"/>
            <w:r w:rsidRPr="00571038">
              <w:rPr>
                <w:i/>
                <w:iCs/>
                <w:sz w:val="18"/>
                <w:szCs w:val="18"/>
              </w:rPr>
              <w:t xml:space="preserve"> de Finanzas Sostenibles del PNUD</w:t>
            </w:r>
            <w:r w:rsidRPr="00571038">
              <w:rPr>
                <w:rFonts w:asciiTheme="minorHAnsi" w:hAnsiTheme="minorHAnsi" w:cstheme="minorHAnsi"/>
                <w:i/>
                <w:iCs/>
                <w:color w:val="000000"/>
                <w:sz w:val="18"/>
                <w:szCs w:val="18"/>
              </w:rPr>
              <w:t>, BIOFIN y otros socios, la movilización de recursos complementarios y el diseño de mecanismos financieros innovadores.</w:t>
            </w:r>
          </w:p>
          <w:p w14:paraId="4721B32B"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Supervisar el cumplimiento de los compromisos de visibilidad y comunicación </w:t>
            </w:r>
            <w:r w:rsidRPr="00571038">
              <w:rPr>
                <w:rFonts w:asciiTheme="minorHAnsi" w:hAnsiTheme="minorHAnsi" w:cstheme="minorHAnsi"/>
                <w:i/>
                <w:iCs/>
                <w:color w:val="000000"/>
                <w:sz w:val="18"/>
                <w:szCs w:val="18"/>
              </w:rPr>
              <w:t>establecidos por el PNUD y el FMAM, asegurando el uso adecuado de logos institucionales y mensajes oficiales.</w:t>
            </w:r>
          </w:p>
          <w:p w14:paraId="72E359A7"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Preparar revisiones del plan de trabajo multianual</w:t>
            </w:r>
            <w:r w:rsidRPr="00571038">
              <w:rPr>
                <w:rFonts w:asciiTheme="minorHAnsi" w:hAnsiTheme="minorHAnsi" w:cstheme="minorHAnsi"/>
                <w:i/>
                <w:iCs/>
                <w:color w:val="000000"/>
                <w:sz w:val="18"/>
                <w:szCs w:val="18"/>
              </w:rPr>
              <w:t>, propuestas de enmiendas y ajustes estratégicos, para su presentación al Comité del Proyecto cuando sea pertinente.</w:t>
            </w:r>
          </w:p>
          <w:p w14:paraId="16F33E20" w14:textId="77777777" w:rsidR="006B39C0"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Apoyar los procesos de revisión de medio término (RMT) y evaluación final (EFI)</w:t>
            </w:r>
            <w:r w:rsidRPr="00571038">
              <w:rPr>
                <w:rFonts w:asciiTheme="minorHAnsi" w:hAnsiTheme="minorHAnsi" w:cstheme="minorHAnsi"/>
                <w:i/>
                <w:iCs/>
                <w:color w:val="000000"/>
                <w:sz w:val="18"/>
                <w:szCs w:val="18"/>
              </w:rPr>
              <w:t>, asegurando la entrega oportuna de información, la participación de actores clave y la incorporación de recomendaciones.</w:t>
            </w:r>
          </w:p>
          <w:p w14:paraId="659ED0F4" w14:textId="75438645" w:rsidR="1D9DC7A6" w:rsidRPr="00571038" w:rsidRDefault="006B39C0" w:rsidP="00EC2CBE">
            <w:pPr>
              <w:pStyle w:val="Prrafodelista"/>
              <w:numPr>
                <w:ilvl w:val="0"/>
                <w:numId w:val="96"/>
              </w:numPr>
              <w:rPr>
                <w:rFonts w:asciiTheme="minorHAnsi" w:hAnsiTheme="minorHAnsi" w:cstheme="minorHAnsi"/>
                <w:i/>
                <w:iCs/>
                <w:color w:val="000000"/>
                <w:sz w:val="18"/>
                <w:szCs w:val="18"/>
              </w:rPr>
            </w:pPr>
            <w:r w:rsidRPr="00571038">
              <w:rPr>
                <w:i/>
                <w:iCs/>
                <w:sz w:val="18"/>
                <w:szCs w:val="18"/>
              </w:rPr>
              <w:t>Representar el proyecto </w:t>
            </w:r>
            <w:r w:rsidRPr="00571038">
              <w:rPr>
                <w:rFonts w:asciiTheme="minorHAnsi" w:hAnsiTheme="minorHAnsi" w:cstheme="minorHAnsi"/>
                <w:i/>
                <w:iCs/>
                <w:color w:val="000000"/>
                <w:sz w:val="18"/>
                <w:szCs w:val="18"/>
              </w:rPr>
              <w:t>ante instancias nacionales, regionales e internacionales cuando se requiera, promoviendo su visibilidad y la coherencia de sus aportes a la Neutralidad en la Degradación de Tierras (NDT), biodiversidad, cambio climático y gobernanza territorial.</w:t>
            </w:r>
          </w:p>
        </w:tc>
      </w:tr>
      <w:tr w:rsidR="1D9DC7A6" w:rsidRPr="006B39C0" w14:paraId="12BA4EB4"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0EE6752" w14:textId="49771650" w:rsidR="1D9DC7A6" w:rsidRPr="00571038" w:rsidRDefault="00571038" w:rsidP="00391502">
            <w:pPr>
              <w:spacing w:before="150" w:after="150"/>
              <w:rPr>
                <w:rFonts w:asciiTheme="minorHAnsi" w:hAnsiTheme="minorHAnsi" w:cstheme="minorHAnsi"/>
                <w:i/>
                <w:iCs/>
                <w:sz w:val="18"/>
                <w:szCs w:val="18"/>
              </w:rPr>
            </w:pPr>
            <w:r w:rsidRPr="00571038">
              <w:rPr>
                <w:rFonts w:asciiTheme="minorHAnsi" w:hAnsiTheme="minorHAnsi" w:cstheme="minorHAnsi"/>
                <w:i/>
                <w:iCs/>
                <w:sz w:val="18"/>
                <w:szCs w:val="18"/>
              </w:rPr>
              <w:lastRenderedPageBreak/>
              <w:t>Gestor</w:t>
            </w:r>
            <w:r w:rsidR="009E7C1E">
              <w:rPr>
                <w:rFonts w:asciiTheme="minorHAnsi" w:hAnsiTheme="minorHAnsi" w:cstheme="minorHAnsi"/>
                <w:i/>
                <w:iCs/>
                <w:sz w:val="18"/>
                <w:szCs w:val="18"/>
              </w:rPr>
              <w:t>/a</w:t>
            </w:r>
            <w:r w:rsidRPr="00571038">
              <w:rPr>
                <w:rFonts w:asciiTheme="minorHAnsi" w:hAnsiTheme="minorHAnsi" w:cstheme="minorHAnsi"/>
                <w:i/>
                <w:iCs/>
                <w:sz w:val="18"/>
                <w:szCs w:val="18"/>
              </w:rPr>
              <w:t xml:space="preserve"> Administrativo-Financiero del Proyecto</w:t>
            </w:r>
          </w:p>
          <w:p w14:paraId="29171743" w14:textId="59952DB3" w:rsidR="1D9DC7A6" w:rsidRPr="006B39C0" w:rsidRDefault="00970E5E" w:rsidP="00391502">
            <w:pPr>
              <w:spacing w:before="150" w:after="150"/>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2,900/ </w:t>
            </w:r>
            <w:r w:rsidRPr="006B39C0">
              <w:rPr>
                <w:rFonts w:asciiTheme="minorHAnsi" w:hAnsiTheme="minorHAnsi" w:cstheme="minorHAnsi"/>
                <w:i/>
                <w:iCs/>
                <w:sz w:val="18"/>
                <w:szCs w:val="18"/>
              </w:rPr>
              <w:t>Mes</w:t>
            </w:r>
          </w:p>
          <w:p w14:paraId="4D0895D4" w14:textId="4D11B864" w:rsidR="1D9DC7A6" w:rsidRPr="006B39C0" w:rsidRDefault="1D9DC7A6" w:rsidP="00391502">
            <w:pPr>
              <w:spacing w:before="150" w:after="150"/>
              <w:rPr>
                <w:rFonts w:asciiTheme="minorHAnsi" w:hAnsiTheme="minorHAnsi" w:cstheme="minorHAnsi"/>
                <w:sz w:val="18"/>
                <w:szCs w:val="18"/>
              </w:rPr>
            </w:pPr>
          </w:p>
          <w:p w14:paraId="3D45BB27" w14:textId="1B8E496E" w:rsidR="1D9DC7A6" w:rsidRPr="006B39C0" w:rsidRDefault="00571038" w:rsidP="00391502">
            <w:pPr>
              <w:spacing w:before="150" w:after="150"/>
              <w:rPr>
                <w:rFonts w:asciiTheme="minorHAnsi" w:hAnsiTheme="minorHAnsi" w:cstheme="minorHAnsi"/>
                <w:i/>
                <w:iCs/>
                <w:sz w:val="18"/>
                <w:szCs w:val="18"/>
              </w:rPr>
            </w:pPr>
            <w:r>
              <w:rPr>
                <w:rFonts w:asciiTheme="minorHAnsi" w:hAnsiTheme="minorHAnsi" w:cstheme="minorHAnsi"/>
                <w:i/>
                <w:iCs/>
                <w:sz w:val="18"/>
                <w:szCs w:val="18"/>
              </w:rPr>
              <w:t>Trabajo en</w:t>
            </w:r>
            <w:r w:rsidR="1D9DC7A6" w:rsidRPr="006B39C0">
              <w:rPr>
                <w:rFonts w:asciiTheme="minorHAnsi" w:hAnsiTheme="minorHAnsi" w:cstheme="minorHAnsi"/>
                <w:i/>
                <w:iCs/>
                <w:sz w:val="18"/>
                <w:szCs w:val="18"/>
              </w:rPr>
              <w:t xml:space="preserve"> Quito</w:t>
            </w:r>
          </w:p>
          <w:p w14:paraId="6DF058ED" w14:textId="69F2DD91" w:rsidR="1D9DC7A6" w:rsidRPr="006B39C0" w:rsidRDefault="1D9DC7A6" w:rsidP="00391502">
            <w:pPr>
              <w:spacing w:before="150" w:after="150"/>
              <w:rPr>
                <w:rFonts w:asciiTheme="minorHAnsi" w:hAnsiTheme="minorHAnsi" w:cstheme="minorHAnsi"/>
                <w:sz w:val="18"/>
                <w:szCs w:val="18"/>
              </w:rPr>
            </w:pPr>
          </w:p>
          <w:p w14:paraId="1E715AF4" w14:textId="49F8BC14"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1D9DC7A6" w:rsidRPr="006B39C0">
              <w:rPr>
                <w:rFonts w:asciiTheme="minorHAnsi" w:hAnsiTheme="minorHAnsi" w:cstheme="minorHAnsi"/>
                <w:i/>
                <w:iCs/>
                <w:sz w:val="18"/>
                <w:szCs w:val="18"/>
              </w:rPr>
              <w:t># 2</w:t>
            </w:r>
          </w:p>
          <w:p w14:paraId="01DCEDD3" w14:textId="0A3CE441" w:rsidR="1D9DC7A6" w:rsidRPr="006B39C0" w:rsidRDefault="1D9DC7A6" w:rsidP="00391502">
            <w:pPr>
              <w:spacing w:before="150" w:after="150"/>
              <w:rPr>
                <w:rFonts w:asciiTheme="minorHAnsi" w:hAnsiTheme="minorHAnsi" w:cstheme="minorHAnsi"/>
                <w:sz w:val="18"/>
                <w:szCs w:val="18"/>
              </w:rPr>
            </w:pPr>
          </w:p>
          <w:p w14:paraId="36501F9F" w14:textId="30739D56" w:rsidR="1D9DC7A6" w:rsidRPr="006B39C0" w:rsidRDefault="1D9DC7A6" w:rsidP="00391502">
            <w:pPr>
              <w:spacing w:before="150" w:after="150"/>
              <w:rPr>
                <w:rFonts w:asciiTheme="minorHAnsi" w:hAnsiTheme="minorHAnsi" w:cstheme="minorHAnsi"/>
                <w:sz w:val="18"/>
                <w:szCs w:val="18"/>
              </w:rPr>
            </w:pPr>
          </w:p>
          <w:p w14:paraId="718EBEEB" w14:textId="5A3D8D96" w:rsidR="1D9DC7A6" w:rsidRPr="006B39C0" w:rsidRDefault="1D9DC7A6" w:rsidP="00391502">
            <w:pPr>
              <w:spacing w:before="150" w:after="150"/>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AC529A7" w14:textId="20EAFA34"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60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E1D40D0" w14:textId="77777777" w:rsidR="009E7C1E" w:rsidRPr="009E7C1E" w:rsidRDefault="009E7C1E" w:rsidP="009E7C1E">
            <w:pPr>
              <w:spacing w:before="150" w:after="150"/>
              <w:jc w:val="both"/>
              <w:rPr>
                <w:rFonts w:asciiTheme="minorHAnsi" w:hAnsiTheme="minorHAnsi" w:cstheme="minorHAnsi"/>
                <w:i/>
                <w:iCs/>
                <w:sz w:val="18"/>
                <w:szCs w:val="18"/>
              </w:rPr>
            </w:pPr>
            <w:r w:rsidRPr="009E7C1E">
              <w:rPr>
                <w:rFonts w:asciiTheme="minorHAnsi" w:hAnsiTheme="minorHAnsi" w:cstheme="minorHAnsi"/>
                <w:i/>
                <w:iCs/>
                <w:sz w:val="18"/>
                <w:szCs w:val="18"/>
              </w:rPr>
              <w:t>Bajo la orientación y supervisión del Coordinador del Proyecto, el/la Responsable Administrativo-Financiero del Proyecto será responsable de la gestión operativa y financiera del mismo, garantizando el cumplimiento de las políticas del PNUD, la normativa nacional y las directrices del FMAM-8.</w:t>
            </w:r>
          </w:p>
          <w:p w14:paraId="634C39F0" w14:textId="77777777" w:rsidR="009E7C1E" w:rsidRPr="009E7C1E" w:rsidRDefault="009E7C1E" w:rsidP="009E7C1E">
            <w:pPr>
              <w:spacing w:before="150" w:after="150"/>
              <w:jc w:val="both"/>
              <w:rPr>
                <w:rFonts w:asciiTheme="minorHAnsi" w:hAnsiTheme="minorHAnsi" w:cstheme="minorHAnsi"/>
                <w:i/>
                <w:iCs/>
                <w:sz w:val="18"/>
                <w:szCs w:val="18"/>
              </w:rPr>
            </w:pPr>
            <w:r w:rsidRPr="009E7C1E">
              <w:rPr>
                <w:rFonts w:asciiTheme="minorHAnsi" w:hAnsiTheme="minorHAnsi" w:cstheme="minorHAnsi"/>
                <w:i/>
                <w:iCs/>
                <w:sz w:val="18"/>
                <w:szCs w:val="18"/>
              </w:rPr>
              <w:t>Funciones y Responsabilidades:</w:t>
            </w:r>
          </w:p>
          <w:p w14:paraId="7E5785E0" w14:textId="77777777" w:rsidR="009E7C1E" w:rsidRPr="009E7C1E" w:rsidRDefault="009E7C1E" w:rsidP="00EC2CBE">
            <w:pPr>
              <w:pStyle w:val="Prrafodelista"/>
              <w:numPr>
                <w:ilvl w:val="0"/>
                <w:numId w:val="96"/>
              </w:numPr>
              <w:rPr>
                <w:i/>
                <w:iCs/>
                <w:sz w:val="18"/>
                <w:szCs w:val="18"/>
              </w:rPr>
            </w:pPr>
            <w:r w:rsidRPr="009E7C1E">
              <w:rPr>
                <w:i/>
                <w:iCs/>
                <w:sz w:val="18"/>
                <w:szCs w:val="18"/>
              </w:rPr>
              <w:t>Gestionar y monitorear la ejecución presupuestaria del proyecto, asegurando la coherencia entre el Plan Operativo Anual (POA), las líneas presupuestarias del ProDoc y los informes financieros oficiales.</w:t>
            </w:r>
          </w:p>
          <w:p w14:paraId="7EB7CC78" w14:textId="77777777" w:rsidR="009E7C1E" w:rsidRPr="009E7C1E" w:rsidRDefault="009E7C1E" w:rsidP="00EC2CBE">
            <w:pPr>
              <w:pStyle w:val="Prrafodelista"/>
              <w:numPr>
                <w:ilvl w:val="0"/>
                <w:numId w:val="96"/>
              </w:numPr>
              <w:rPr>
                <w:i/>
                <w:iCs/>
                <w:sz w:val="18"/>
                <w:szCs w:val="18"/>
              </w:rPr>
            </w:pPr>
            <w:r w:rsidRPr="009E7C1E">
              <w:rPr>
                <w:i/>
                <w:iCs/>
                <w:sz w:val="18"/>
                <w:szCs w:val="18"/>
              </w:rPr>
              <w:t>Elaborar proyecciones financieras, informes contables periódicos, conciliaciones bancarias e informes de ejecución física y financiera requeridos por el PNUD, el MAE y el Comité Directivo del proyecto.</w:t>
            </w:r>
          </w:p>
          <w:p w14:paraId="6C2C1F96" w14:textId="77777777" w:rsidR="009E7C1E" w:rsidRPr="009E7C1E" w:rsidRDefault="009E7C1E" w:rsidP="00EC2CBE">
            <w:pPr>
              <w:pStyle w:val="Prrafodelista"/>
              <w:numPr>
                <w:ilvl w:val="0"/>
                <w:numId w:val="96"/>
              </w:numPr>
              <w:rPr>
                <w:i/>
                <w:iCs/>
                <w:sz w:val="18"/>
                <w:szCs w:val="18"/>
              </w:rPr>
            </w:pPr>
            <w:r w:rsidRPr="009E7C1E">
              <w:rPr>
                <w:i/>
                <w:iCs/>
                <w:sz w:val="18"/>
                <w:szCs w:val="18"/>
              </w:rPr>
              <w:t>Coordinar y controlar los procesos de adquisiciones, contratación de servicios, liquidación de gastos y pagos, de acuerdo con los procedimientos establecidos por el PNUD y bajo los principios de transparencia y eficiencia.</w:t>
            </w:r>
          </w:p>
          <w:p w14:paraId="73C4B167" w14:textId="77777777" w:rsidR="009E7C1E" w:rsidRPr="009E7C1E" w:rsidRDefault="009E7C1E" w:rsidP="00EC2CBE">
            <w:pPr>
              <w:pStyle w:val="Prrafodelista"/>
              <w:numPr>
                <w:ilvl w:val="0"/>
                <w:numId w:val="96"/>
              </w:numPr>
              <w:rPr>
                <w:i/>
                <w:iCs/>
                <w:sz w:val="18"/>
                <w:szCs w:val="18"/>
              </w:rPr>
            </w:pPr>
            <w:r w:rsidRPr="009E7C1E">
              <w:rPr>
                <w:i/>
                <w:iCs/>
                <w:sz w:val="18"/>
                <w:szCs w:val="18"/>
              </w:rPr>
              <w:t>Apoyar la planificación y seguimiento del flujo de caja, verificando la disponibilidad oportuna de recursos para la implementación técnica de actividades en Quito y en territorio.</w:t>
            </w:r>
          </w:p>
          <w:p w14:paraId="5BD6BC9E" w14:textId="77777777" w:rsidR="009E7C1E" w:rsidRPr="009E7C1E" w:rsidRDefault="009E7C1E" w:rsidP="00EC2CBE">
            <w:pPr>
              <w:pStyle w:val="Prrafodelista"/>
              <w:numPr>
                <w:ilvl w:val="0"/>
                <w:numId w:val="96"/>
              </w:numPr>
              <w:rPr>
                <w:i/>
                <w:iCs/>
                <w:sz w:val="18"/>
                <w:szCs w:val="18"/>
              </w:rPr>
            </w:pPr>
            <w:r w:rsidRPr="009E7C1E">
              <w:rPr>
                <w:i/>
                <w:iCs/>
                <w:sz w:val="18"/>
                <w:szCs w:val="18"/>
              </w:rPr>
              <w:t>Administrar la documentación financiera y contable del proyecto, asegurando su archivo sistemático, digitalización y trazabilidad para auditorías internas y externas.</w:t>
            </w:r>
          </w:p>
          <w:p w14:paraId="580EF182" w14:textId="77777777" w:rsidR="009E7C1E" w:rsidRPr="009E7C1E" w:rsidRDefault="009E7C1E" w:rsidP="00EC2CBE">
            <w:pPr>
              <w:pStyle w:val="Prrafodelista"/>
              <w:numPr>
                <w:ilvl w:val="0"/>
                <w:numId w:val="96"/>
              </w:numPr>
              <w:rPr>
                <w:i/>
                <w:iCs/>
                <w:sz w:val="18"/>
                <w:szCs w:val="18"/>
              </w:rPr>
            </w:pPr>
            <w:r w:rsidRPr="009E7C1E">
              <w:rPr>
                <w:i/>
                <w:iCs/>
                <w:sz w:val="18"/>
                <w:szCs w:val="18"/>
              </w:rPr>
              <w:t>Brindar asistencia técnica en la formulación del POA anual y en los ajustes presupuestarios requeridos durante la ejecución del proyecto.</w:t>
            </w:r>
          </w:p>
          <w:p w14:paraId="5053E895" w14:textId="77777777" w:rsidR="009E7C1E" w:rsidRPr="009E7C1E" w:rsidRDefault="009E7C1E" w:rsidP="00EC2CBE">
            <w:pPr>
              <w:pStyle w:val="Prrafodelista"/>
              <w:numPr>
                <w:ilvl w:val="0"/>
                <w:numId w:val="96"/>
              </w:numPr>
              <w:rPr>
                <w:i/>
                <w:iCs/>
                <w:sz w:val="18"/>
                <w:szCs w:val="18"/>
              </w:rPr>
            </w:pPr>
            <w:r w:rsidRPr="009E7C1E">
              <w:rPr>
                <w:i/>
                <w:iCs/>
                <w:sz w:val="18"/>
                <w:szCs w:val="18"/>
              </w:rPr>
              <w:t>Coordinar con el personal administrativo del PNUD y del MAE para garantizar la correcta codificación de los gastos, la conciliación de fondos y el cumplimiento de los requisitos contables institucionales.</w:t>
            </w:r>
          </w:p>
          <w:p w14:paraId="3E0E8C99" w14:textId="77777777" w:rsidR="009E7C1E" w:rsidRPr="009E7C1E" w:rsidRDefault="009E7C1E" w:rsidP="00EC2CBE">
            <w:pPr>
              <w:pStyle w:val="Prrafodelista"/>
              <w:numPr>
                <w:ilvl w:val="0"/>
                <w:numId w:val="96"/>
              </w:numPr>
              <w:rPr>
                <w:i/>
                <w:iCs/>
                <w:sz w:val="18"/>
                <w:szCs w:val="18"/>
              </w:rPr>
            </w:pPr>
            <w:r w:rsidRPr="009E7C1E">
              <w:rPr>
                <w:i/>
                <w:iCs/>
                <w:sz w:val="18"/>
                <w:szCs w:val="18"/>
              </w:rPr>
              <w:t>Apoyar los procesos de seguimiento financiero de las subvenciones de bajo valor (SBV), verificando el uso adecuado de los recursos por parte de los beneficiarios y socios implementadores.</w:t>
            </w:r>
          </w:p>
          <w:p w14:paraId="4F3495B5" w14:textId="77777777" w:rsidR="009E7C1E" w:rsidRPr="009E7C1E" w:rsidRDefault="009E7C1E" w:rsidP="00EC2CBE">
            <w:pPr>
              <w:pStyle w:val="Prrafodelista"/>
              <w:numPr>
                <w:ilvl w:val="0"/>
                <w:numId w:val="96"/>
              </w:numPr>
              <w:rPr>
                <w:i/>
                <w:iCs/>
                <w:sz w:val="18"/>
                <w:szCs w:val="18"/>
              </w:rPr>
            </w:pPr>
            <w:r w:rsidRPr="009E7C1E">
              <w:rPr>
                <w:i/>
                <w:iCs/>
                <w:sz w:val="18"/>
                <w:szCs w:val="18"/>
              </w:rPr>
              <w:t>Participar en reuniones técnicas y comités del proyecto, aportando análisis financieros para la toma de decisiones estratégicas y el monitoreo de la eficiencia operativa.</w:t>
            </w:r>
          </w:p>
          <w:p w14:paraId="553A07C9" w14:textId="2F602F93" w:rsidR="1D9DC7A6" w:rsidRPr="006B39C0" w:rsidRDefault="009E7C1E" w:rsidP="00EC2CBE">
            <w:pPr>
              <w:pStyle w:val="Prrafodelista"/>
              <w:numPr>
                <w:ilvl w:val="0"/>
                <w:numId w:val="96"/>
              </w:numPr>
              <w:rPr>
                <w:rFonts w:asciiTheme="minorHAnsi" w:hAnsiTheme="minorHAnsi" w:cstheme="minorHAnsi"/>
                <w:sz w:val="18"/>
                <w:szCs w:val="18"/>
              </w:rPr>
            </w:pPr>
            <w:r w:rsidRPr="009E7C1E">
              <w:rPr>
                <w:i/>
                <w:iCs/>
                <w:sz w:val="18"/>
                <w:szCs w:val="18"/>
              </w:rPr>
              <w:t>Elaborar informes financieros narrativos y cuantitativos para los informes de avance (PIR), auditorías y reuniones del Comité Directivo, incluyendo alertas y recomendaciones para la sostenibilidad financiera del proyecto.</w:t>
            </w:r>
          </w:p>
        </w:tc>
      </w:tr>
      <w:tr w:rsidR="1D9DC7A6" w:rsidRPr="006B39C0" w14:paraId="0030949D"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D457695" w14:textId="2B15AD77" w:rsidR="1D9DC7A6" w:rsidRPr="006B39C0" w:rsidRDefault="00D63D2E" w:rsidP="00391502">
            <w:pPr>
              <w:spacing w:before="150" w:after="45"/>
              <w:jc w:val="both"/>
              <w:rPr>
                <w:rFonts w:asciiTheme="minorHAnsi" w:hAnsiTheme="minorHAnsi" w:cstheme="minorHAnsi"/>
                <w:b/>
                <w:bCs/>
                <w:i/>
                <w:iCs/>
                <w:sz w:val="18"/>
                <w:szCs w:val="18"/>
              </w:rPr>
            </w:pPr>
            <w:r>
              <w:rPr>
                <w:rFonts w:asciiTheme="minorHAnsi" w:hAnsiTheme="minorHAnsi" w:cstheme="minorHAnsi"/>
                <w:b/>
                <w:bCs/>
                <w:i/>
                <w:iCs/>
                <w:sz w:val="18"/>
                <w:szCs w:val="18"/>
              </w:rPr>
              <w:t xml:space="preserve">Asistencia </w:t>
            </w:r>
            <w:proofErr w:type="spellStart"/>
            <w:r>
              <w:rPr>
                <w:rFonts w:asciiTheme="minorHAnsi" w:hAnsiTheme="minorHAnsi" w:cstheme="minorHAnsi"/>
                <w:b/>
                <w:bCs/>
                <w:i/>
                <w:iCs/>
                <w:sz w:val="18"/>
                <w:szCs w:val="18"/>
              </w:rPr>
              <w:t>Tecnica</w:t>
            </w:r>
            <w:proofErr w:type="spellEnd"/>
          </w:p>
        </w:tc>
        <w:tc>
          <w:tcPr>
            <w:tcW w:w="1605" w:type="dxa"/>
            <w:vAlign w:val="center"/>
          </w:tcPr>
          <w:p w14:paraId="46C95488" w14:textId="62D5A419" w:rsidR="1D9DC7A6" w:rsidRPr="006B39C0" w:rsidRDefault="1D9DC7A6">
            <w:pPr>
              <w:rPr>
                <w:rFonts w:asciiTheme="minorHAnsi" w:hAnsiTheme="minorHAnsi" w:cstheme="minorHAnsi"/>
                <w:sz w:val="18"/>
                <w:szCs w:val="18"/>
              </w:rPr>
            </w:pPr>
          </w:p>
        </w:tc>
        <w:tc>
          <w:tcPr>
            <w:tcW w:w="11235" w:type="dxa"/>
            <w:vAlign w:val="center"/>
          </w:tcPr>
          <w:p w14:paraId="4FE29ABB" w14:textId="46384885" w:rsidR="1D9DC7A6" w:rsidRPr="006B39C0" w:rsidRDefault="1D9DC7A6">
            <w:pPr>
              <w:rPr>
                <w:rFonts w:asciiTheme="minorHAnsi" w:hAnsiTheme="minorHAnsi" w:cstheme="minorHAnsi"/>
                <w:sz w:val="18"/>
                <w:szCs w:val="18"/>
              </w:rPr>
            </w:pPr>
          </w:p>
        </w:tc>
      </w:tr>
      <w:tr w:rsidR="1D9DC7A6" w:rsidRPr="006B39C0" w14:paraId="47838300"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1C0AC23" w14:textId="42E7B07D" w:rsidR="1D9DC7A6" w:rsidRPr="006B39C0" w:rsidRDefault="00D63D2E" w:rsidP="00391502">
            <w:pPr>
              <w:spacing w:before="150" w:after="45"/>
              <w:jc w:val="both"/>
              <w:rPr>
                <w:rFonts w:asciiTheme="minorHAnsi" w:hAnsiTheme="minorHAnsi" w:cstheme="minorHAnsi"/>
                <w:b/>
                <w:bCs/>
                <w:i/>
                <w:iCs/>
                <w:sz w:val="18"/>
                <w:szCs w:val="18"/>
              </w:rPr>
            </w:pPr>
            <w:r>
              <w:rPr>
                <w:rFonts w:asciiTheme="minorHAnsi" w:hAnsiTheme="minorHAnsi" w:cstheme="minorHAnsi"/>
                <w:b/>
                <w:bCs/>
                <w:i/>
                <w:iCs/>
                <w:sz w:val="18"/>
                <w:szCs w:val="18"/>
              </w:rPr>
              <w:t>Componente</w:t>
            </w:r>
            <w:r w:rsidR="1D9DC7A6" w:rsidRPr="006B39C0">
              <w:rPr>
                <w:rFonts w:asciiTheme="minorHAnsi" w:hAnsiTheme="minorHAnsi" w:cstheme="minorHAnsi"/>
                <w:b/>
                <w:bCs/>
                <w:i/>
                <w:iCs/>
                <w:sz w:val="18"/>
                <w:szCs w:val="18"/>
              </w:rPr>
              <w:t xml:space="preserve"> 1</w:t>
            </w:r>
          </w:p>
        </w:tc>
        <w:tc>
          <w:tcPr>
            <w:tcW w:w="1605" w:type="dxa"/>
            <w:vAlign w:val="center"/>
          </w:tcPr>
          <w:p w14:paraId="0F020A29" w14:textId="4DF6CE56" w:rsidR="1D9DC7A6" w:rsidRPr="006B39C0" w:rsidRDefault="1D9DC7A6">
            <w:pPr>
              <w:rPr>
                <w:rFonts w:asciiTheme="minorHAnsi" w:hAnsiTheme="minorHAnsi" w:cstheme="minorHAnsi"/>
                <w:sz w:val="18"/>
                <w:szCs w:val="18"/>
              </w:rPr>
            </w:pPr>
          </w:p>
        </w:tc>
        <w:tc>
          <w:tcPr>
            <w:tcW w:w="11235" w:type="dxa"/>
            <w:vAlign w:val="center"/>
          </w:tcPr>
          <w:p w14:paraId="0E0E50C2" w14:textId="774F6075" w:rsidR="1D9DC7A6" w:rsidRPr="006B39C0" w:rsidRDefault="1D9DC7A6">
            <w:pPr>
              <w:rPr>
                <w:rFonts w:asciiTheme="minorHAnsi" w:hAnsiTheme="minorHAnsi" w:cstheme="minorHAnsi"/>
                <w:sz w:val="18"/>
                <w:szCs w:val="18"/>
              </w:rPr>
            </w:pPr>
          </w:p>
        </w:tc>
      </w:tr>
      <w:tr w:rsidR="1D9DC7A6" w:rsidRPr="006B39C0" w14:paraId="0524356D"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ED32036" w14:textId="50227ED9" w:rsidR="1D9DC7A6" w:rsidRPr="006B39C0" w:rsidRDefault="00D63D2E" w:rsidP="00391502">
            <w:pPr>
              <w:spacing w:before="150" w:after="45"/>
              <w:jc w:val="both"/>
              <w:rPr>
                <w:rFonts w:asciiTheme="minorHAnsi" w:hAnsiTheme="minorHAnsi" w:cstheme="minorHAnsi"/>
                <w:b/>
                <w:bCs/>
                <w:i/>
                <w:iCs/>
                <w:sz w:val="18"/>
                <w:szCs w:val="18"/>
              </w:rPr>
            </w:pPr>
            <w:r>
              <w:rPr>
                <w:rFonts w:asciiTheme="minorHAnsi" w:hAnsiTheme="minorHAnsi" w:cstheme="minorHAnsi"/>
                <w:b/>
                <w:bCs/>
                <w:i/>
                <w:iCs/>
                <w:sz w:val="18"/>
                <w:szCs w:val="18"/>
              </w:rPr>
              <w:t>Contratación Local - Nacional</w:t>
            </w:r>
          </w:p>
        </w:tc>
        <w:tc>
          <w:tcPr>
            <w:tcW w:w="1605" w:type="dxa"/>
            <w:vAlign w:val="center"/>
          </w:tcPr>
          <w:p w14:paraId="7D151526" w14:textId="020F5911" w:rsidR="1D9DC7A6" w:rsidRPr="006B39C0" w:rsidRDefault="1D9DC7A6">
            <w:pPr>
              <w:rPr>
                <w:rFonts w:asciiTheme="minorHAnsi" w:hAnsiTheme="minorHAnsi" w:cstheme="minorHAnsi"/>
                <w:sz w:val="18"/>
                <w:szCs w:val="18"/>
              </w:rPr>
            </w:pPr>
          </w:p>
        </w:tc>
        <w:tc>
          <w:tcPr>
            <w:tcW w:w="11235" w:type="dxa"/>
            <w:vAlign w:val="center"/>
          </w:tcPr>
          <w:p w14:paraId="0D901998" w14:textId="6ABE57A1" w:rsidR="1D9DC7A6" w:rsidRPr="006B39C0" w:rsidRDefault="1D9DC7A6">
            <w:pPr>
              <w:rPr>
                <w:rFonts w:asciiTheme="minorHAnsi" w:hAnsiTheme="minorHAnsi" w:cstheme="minorHAnsi"/>
                <w:sz w:val="18"/>
                <w:szCs w:val="18"/>
              </w:rPr>
            </w:pPr>
          </w:p>
        </w:tc>
      </w:tr>
      <w:tr w:rsidR="1D9DC7A6" w:rsidRPr="006B39C0" w14:paraId="3E1C2CE5"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A842C08" w14:textId="4AD6D5CC"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1 </w:t>
            </w:r>
            <w:r w:rsidR="00FF4784" w:rsidRPr="00FF4784">
              <w:rPr>
                <w:rFonts w:asciiTheme="minorHAnsi" w:hAnsiTheme="minorHAnsi" w:cstheme="minorHAnsi"/>
                <w:i/>
                <w:iCs/>
                <w:sz w:val="18"/>
                <w:szCs w:val="18"/>
              </w:rPr>
              <w:t>Coordinador(a) de Política Ambiental y Marco Regulatorio</w:t>
            </w:r>
          </w:p>
          <w:p w14:paraId="15AA5F9E" w14:textId="0DB58777" w:rsidR="1D9DC7A6" w:rsidRPr="006B39C0" w:rsidRDefault="1D9DC7A6" w:rsidP="00391502">
            <w:pPr>
              <w:spacing w:before="150" w:after="45"/>
              <w:jc w:val="both"/>
              <w:rPr>
                <w:rFonts w:asciiTheme="minorHAnsi" w:hAnsiTheme="minorHAnsi" w:cstheme="minorHAnsi"/>
                <w:sz w:val="18"/>
                <w:szCs w:val="18"/>
              </w:rPr>
            </w:pPr>
          </w:p>
          <w:p w14:paraId="069EB48D" w14:textId="5321C9BD"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00FF4784">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 xml:space="preserve">USD 2,412 / </w:t>
            </w:r>
            <w:r w:rsidRPr="006B39C0">
              <w:rPr>
                <w:rFonts w:asciiTheme="minorHAnsi" w:hAnsiTheme="minorHAnsi" w:cstheme="minorHAnsi"/>
                <w:i/>
                <w:iCs/>
                <w:sz w:val="18"/>
                <w:szCs w:val="18"/>
              </w:rPr>
              <w:t>Mes</w:t>
            </w:r>
          </w:p>
          <w:p w14:paraId="08DEE1C2" w14:textId="1AB771DD" w:rsidR="1D9DC7A6" w:rsidRPr="006B39C0" w:rsidRDefault="1D9DC7A6" w:rsidP="00391502">
            <w:pPr>
              <w:spacing w:before="150" w:after="45"/>
              <w:jc w:val="both"/>
              <w:rPr>
                <w:rFonts w:asciiTheme="minorHAnsi" w:hAnsiTheme="minorHAnsi" w:cstheme="minorHAnsi"/>
                <w:sz w:val="18"/>
                <w:szCs w:val="18"/>
              </w:rPr>
            </w:pPr>
          </w:p>
          <w:p w14:paraId="568B4001" w14:textId="442079FE"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1D9DC7A6" w:rsidRPr="006B39C0">
              <w:rPr>
                <w:rFonts w:asciiTheme="minorHAnsi" w:hAnsiTheme="minorHAnsi" w:cstheme="minorHAnsi"/>
                <w:i/>
                <w:iCs/>
                <w:sz w:val="18"/>
                <w:szCs w:val="18"/>
              </w:rPr>
              <w:t># 3</w:t>
            </w:r>
          </w:p>
          <w:p w14:paraId="7C11D5C1" w14:textId="4D7D9CA3" w:rsidR="1D9DC7A6" w:rsidRPr="006B39C0" w:rsidRDefault="1D9DC7A6" w:rsidP="00391502">
            <w:pPr>
              <w:spacing w:before="150" w:after="45"/>
              <w:jc w:val="both"/>
              <w:rPr>
                <w:rFonts w:asciiTheme="minorHAnsi" w:hAnsiTheme="minorHAnsi" w:cstheme="minorHAnsi"/>
                <w:sz w:val="18"/>
                <w:szCs w:val="18"/>
              </w:rPr>
            </w:pPr>
          </w:p>
          <w:p w14:paraId="1C587E71" w14:textId="0302E06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 </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31D9467" w14:textId="5A084181"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D6B49D1" w14:textId="77777777" w:rsidR="00FF4784" w:rsidRPr="00FF4784" w:rsidRDefault="00FF4784" w:rsidP="00FF4784">
            <w:pPr>
              <w:rPr>
                <w:rFonts w:asciiTheme="minorHAnsi" w:hAnsiTheme="minorHAnsi" w:cstheme="minorHAnsi"/>
                <w:i/>
                <w:iCs/>
                <w:sz w:val="18"/>
                <w:szCs w:val="18"/>
              </w:rPr>
            </w:pPr>
            <w:r w:rsidRPr="00FF4784">
              <w:rPr>
                <w:rFonts w:asciiTheme="minorHAnsi" w:hAnsiTheme="minorHAnsi" w:cstheme="minorHAnsi"/>
                <w:i/>
                <w:iCs/>
                <w:sz w:val="18"/>
                <w:szCs w:val="18"/>
              </w:rPr>
              <w:t>Bajo la orientación y supervisión del Coordinador del Proyecto, el/la Coordinador/a del Marco Normativo y de Políticas Ambientales será responsable de liderar el fortalecimiento del marco normativo, institucional y operativo para una gobernanza territorial inclusiva, articulando la planificación local, regional y nacional con los principios de sostenibilidad ambiental, equidad y derechos colectivos en la cuenca del río Napo.</w:t>
            </w:r>
          </w:p>
          <w:p w14:paraId="37FB86F5" w14:textId="77777777" w:rsidR="00FF4784" w:rsidRPr="00FF4784" w:rsidRDefault="00FF4784" w:rsidP="00FF4784">
            <w:pPr>
              <w:rPr>
                <w:rFonts w:asciiTheme="minorHAnsi" w:hAnsiTheme="minorHAnsi" w:cstheme="minorHAnsi"/>
                <w:i/>
                <w:iCs/>
                <w:sz w:val="18"/>
                <w:szCs w:val="18"/>
              </w:rPr>
            </w:pPr>
            <w:r w:rsidRPr="00FF4784">
              <w:rPr>
                <w:rFonts w:asciiTheme="minorHAnsi" w:hAnsiTheme="minorHAnsi" w:cstheme="minorHAnsi"/>
                <w:i/>
                <w:iCs/>
                <w:sz w:val="18"/>
                <w:szCs w:val="18"/>
              </w:rPr>
              <w:t>Funciones y Responsabilidades:</w:t>
            </w:r>
          </w:p>
          <w:p w14:paraId="4775290A" w14:textId="77777777" w:rsidR="00FF4784" w:rsidRPr="00FF4784" w:rsidRDefault="00FF4784" w:rsidP="00EC2CBE">
            <w:pPr>
              <w:pStyle w:val="Prrafodelista"/>
              <w:numPr>
                <w:ilvl w:val="0"/>
                <w:numId w:val="96"/>
              </w:numPr>
              <w:rPr>
                <w:i/>
                <w:iCs/>
                <w:sz w:val="18"/>
                <w:szCs w:val="18"/>
              </w:rPr>
            </w:pPr>
            <w:r w:rsidRPr="00FF4784">
              <w:rPr>
                <w:i/>
                <w:iCs/>
                <w:sz w:val="18"/>
                <w:szCs w:val="18"/>
              </w:rPr>
              <w:t>Diseñar e implementar estrategias para el fortalecimiento de la gobernanza territorial, articulando los distintos niveles de planificación (PDOT, PUGS, Planes de Vida, APH, ZPH, PIA), en coherencia con las políticas nacionales y con instrumentos internacionales como la Neutralidad en la Degradación de las Tierras (NDT), REDD+ y las Contribuciones Determinadas a Nivel Nacional (NDC).</w:t>
            </w:r>
          </w:p>
          <w:p w14:paraId="74B43BC6" w14:textId="77777777" w:rsidR="00FF4784" w:rsidRPr="00FF4784" w:rsidRDefault="00FF4784" w:rsidP="00EC2CBE">
            <w:pPr>
              <w:pStyle w:val="Prrafodelista"/>
              <w:numPr>
                <w:ilvl w:val="0"/>
                <w:numId w:val="96"/>
              </w:numPr>
              <w:rPr>
                <w:i/>
                <w:iCs/>
                <w:sz w:val="18"/>
                <w:szCs w:val="18"/>
              </w:rPr>
            </w:pPr>
            <w:r w:rsidRPr="00FF4784">
              <w:rPr>
                <w:i/>
                <w:iCs/>
                <w:sz w:val="18"/>
                <w:szCs w:val="18"/>
              </w:rPr>
              <w:t>Apoyar la formulación, validación e implementación de normativas, acuerdos de cogestión y convenios interinstitucionales entre el MAE, los Gobiernos Autónomos Descentralizados (GAD), las organizaciones indígenas, las comunidades locales y los actores productivos.</w:t>
            </w:r>
          </w:p>
          <w:p w14:paraId="4165FE49" w14:textId="77777777" w:rsidR="00FF4784" w:rsidRPr="00FF4784" w:rsidRDefault="00FF4784" w:rsidP="00EC2CBE">
            <w:pPr>
              <w:pStyle w:val="Prrafodelista"/>
              <w:numPr>
                <w:ilvl w:val="0"/>
                <w:numId w:val="96"/>
              </w:numPr>
              <w:rPr>
                <w:i/>
                <w:iCs/>
                <w:sz w:val="18"/>
                <w:szCs w:val="18"/>
              </w:rPr>
            </w:pPr>
            <w:r w:rsidRPr="00FF4784">
              <w:rPr>
                <w:i/>
                <w:iCs/>
                <w:sz w:val="18"/>
                <w:szCs w:val="18"/>
              </w:rPr>
              <w:t>Coordinar la operacionalización del marco de gobernanza multinivel, promoviendo la integración de los conocimientos ancestrales, la participación intercultural y mecanismos inclusivos para la toma de decisiones territoriales.</w:t>
            </w:r>
          </w:p>
          <w:p w14:paraId="00D90AF8" w14:textId="77777777" w:rsidR="00FF4784" w:rsidRPr="00FF4784" w:rsidRDefault="00FF4784" w:rsidP="00EC2CBE">
            <w:pPr>
              <w:pStyle w:val="Prrafodelista"/>
              <w:numPr>
                <w:ilvl w:val="0"/>
                <w:numId w:val="96"/>
              </w:numPr>
              <w:rPr>
                <w:i/>
                <w:iCs/>
                <w:sz w:val="18"/>
                <w:szCs w:val="18"/>
              </w:rPr>
            </w:pPr>
            <w:r w:rsidRPr="00FF4784">
              <w:rPr>
                <w:i/>
                <w:iCs/>
                <w:sz w:val="18"/>
                <w:szCs w:val="18"/>
              </w:rPr>
              <w:t>Brindar asistencia técnica a los gobiernos locales, organizaciones comunitarias y actores institucionales en los procesos de planificación territorial participativa, asegurando la incorporación de criterios de equidad de género, interculturalidad y resiliencia climática.</w:t>
            </w:r>
          </w:p>
          <w:p w14:paraId="21867468" w14:textId="77777777" w:rsidR="00FF4784" w:rsidRPr="00FF4784" w:rsidRDefault="00FF4784" w:rsidP="00EC2CBE">
            <w:pPr>
              <w:pStyle w:val="Prrafodelista"/>
              <w:numPr>
                <w:ilvl w:val="0"/>
                <w:numId w:val="96"/>
              </w:numPr>
              <w:rPr>
                <w:i/>
                <w:iCs/>
                <w:sz w:val="18"/>
                <w:szCs w:val="18"/>
              </w:rPr>
            </w:pPr>
            <w:r w:rsidRPr="00FF4784">
              <w:rPr>
                <w:i/>
                <w:iCs/>
                <w:sz w:val="18"/>
                <w:szCs w:val="18"/>
              </w:rPr>
              <w:t>Velar porque todos los instrumentos de planificación y política pública apoyados por el proyecto incluyan mecanismos de participación efectiva de mujeres, jóvenes y pueblos indígenas, de conformidad con el Plan de Acción de Género (PAG).</w:t>
            </w:r>
          </w:p>
          <w:p w14:paraId="3E2C88FB" w14:textId="77777777" w:rsidR="00FF4784" w:rsidRPr="00FF4784" w:rsidRDefault="00FF4784" w:rsidP="00EC2CBE">
            <w:pPr>
              <w:pStyle w:val="Prrafodelista"/>
              <w:numPr>
                <w:ilvl w:val="0"/>
                <w:numId w:val="96"/>
              </w:numPr>
              <w:rPr>
                <w:i/>
                <w:iCs/>
                <w:sz w:val="18"/>
                <w:szCs w:val="18"/>
              </w:rPr>
            </w:pPr>
            <w:r w:rsidRPr="00FF4784">
              <w:rPr>
                <w:i/>
                <w:iCs/>
                <w:sz w:val="18"/>
                <w:szCs w:val="18"/>
              </w:rPr>
              <w:t>Fortalecer las capacidades locales en gobernanza ambiental mediante el diseño e implementación de procesos de capacitación, asesoría técnica y acompañamiento institucional.</w:t>
            </w:r>
          </w:p>
          <w:p w14:paraId="4D8FEA4C" w14:textId="77777777" w:rsidR="00FF4784" w:rsidRPr="00FF4784" w:rsidRDefault="00FF4784" w:rsidP="00EC2CBE">
            <w:pPr>
              <w:pStyle w:val="Prrafodelista"/>
              <w:numPr>
                <w:ilvl w:val="0"/>
                <w:numId w:val="96"/>
              </w:numPr>
              <w:rPr>
                <w:i/>
                <w:iCs/>
                <w:sz w:val="18"/>
                <w:szCs w:val="18"/>
              </w:rPr>
            </w:pPr>
            <w:r w:rsidRPr="00FF4784">
              <w:rPr>
                <w:i/>
                <w:iCs/>
                <w:sz w:val="18"/>
                <w:szCs w:val="18"/>
              </w:rPr>
              <w:t>Coordinar la redefinición o reactivación del Consejo de la Cuenca del Río Napo (o la instancia que lo sustituya), articulándolo con el Observatorio de Degradación de Tierras y con los espacios de participación territorial existentes.</w:t>
            </w:r>
          </w:p>
          <w:p w14:paraId="251C575A" w14:textId="77777777" w:rsidR="00FF4784" w:rsidRPr="00FF4784" w:rsidRDefault="00FF4784" w:rsidP="00EC2CBE">
            <w:pPr>
              <w:pStyle w:val="Prrafodelista"/>
              <w:numPr>
                <w:ilvl w:val="0"/>
                <w:numId w:val="96"/>
              </w:numPr>
              <w:rPr>
                <w:i/>
                <w:iCs/>
                <w:sz w:val="18"/>
                <w:szCs w:val="18"/>
              </w:rPr>
            </w:pPr>
            <w:r w:rsidRPr="00FF4784">
              <w:rPr>
                <w:i/>
                <w:iCs/>
                <w:sz w:val="18"/>
                <w:szCs w:val="18"/>
              </w:rPr>
              <w:t>Sistematizar experiencias, lecciones aprendidas y buenas prácticas en gobernanza territorial, alimentando el componente de gestión del conocimiento y los procesos de escalamiento del proyecto.</w:t>
            </w:r>
          </w:p>
          <w:p w14:paraId="4B4FE732" w14:textId="77777777" w:rsidR="00FF4784" w:rsidRPr="00FF4784" w:rsidRDefault="00FF4784" w:rsidP="00EC2CBE">
            <w:pPr>
              <w:pStyle w:val="Prrafodelista"/>
              <w:numPr>
                <w:ilvl w:val="0"/>
                <w:numId w:val="96"/>
              </w:numPr>
              <w:rPr>
                <w:i/>
                <w:iCs/>
                <w:sz w:val="18"/>
                <w:szCs w:val="18"/>
              </w:rPr>
            </w:pPr>
            <w:r w:rsidRPr="00FF4784">
              <w:rPr>
                <w:i/>
                <w:iCs/>
                <w:sz w:val="18"/>
                <w:szCs w:val="18"/>
              </w:rPr>
              <w:t>Monitorear y reportar los avances en la implementación del Componente 1, incluidos los indicadores de participación, los acuerdos interinstitucionales y los instrumentos de planificación territorial, en coordinación con el equipo de Monitoreo, Evaluación y Aprendizaje (MEL).</w:t>
            </w:r>
          </w:p>
          <w:p w14:paraId="1D7F2B9E" w14:textId="5365384A" w:rsidR="1D9DC7A6" w:rsidRPr="00FF4784" w:rsidRDefault="00FF4784" w:rsidP="00EC2CBE">
            <w:pPr>
              <w:pStyle w:val="Prrafodelista"/>
              <w:numPr>
                <w:ilvl w:val="0"/>
                <w:numId w:val="96"/>
              </w:numPr>
              <w:rPr>
                <w:rFonts w:asciiTheme="minorHAnsi" w:hAnsiTheme="minorHAnsi" w:cstheme="minorHAnsi"/>
                <w:sz w:val="18"/>
                <w:szCs w:val="18"/>
              </w:rPr>
            </w:pPr>
            <w:r w:rsidRPr="00FF4784">
              <w:rPr>
                <w:i/>
                <w:iCs/>
                <w:sz w:val="18"/>
                <w:szCs w:val="18"/>
              </w:rPr>
              <w:t>Apoyar la articulación del proyecto con actores clave del sector público, la cooperación internacional, la academia y la sociedad civil, facilitando sinergias y la sostenibilidad institucional de los procesos territoriales impulsados.</w:t>
            </w:r>
          </w:p>
        </w:tc>
      </w:tr>
      <w:tr w:rsidR="1D9DC7A6" w:rsidRPr="006B39C0" w14:paraId="02E416B5"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1848187" w14:textId="0BC0EB9B" w:rsidR="1D9DC7A6" w:rsidRPr="006B39C0" w:rsidRDefault="00FF4784" w:rsidP="00391502">
            <w:pPr>
              <w:spacing w:before="150" w:after="45"/>
              <w:rPr>
                <w:rFonts w:asciiTheme="minorHAnsi" w:hAnsiTheme="minorHAnsi" w:cstheme="minorHAnsi"/>
                <w:sz w:val="18"/>
                <w:szCs w:val="18"/>
              </w:rPr>
            </w:pPr>
            <w:r w:rsidRPr="00FF4784">
              <w:rPr>
                <w:rFonts w:asciiTheme="minorHAnsi" w:hAnsiTheme="minorHAnsi" w:cstheme="minorHAnsi"/>
                <w:i/>
                <w:iCs/>
                <w:sz w:val="18"/>
                <w:szCs w:val="18"/>
              </w:rPr>
              <w:t>Asistente de Coordinación para la Articulación Interinstitucional y el Seguimiento Político-Técnico</w:t>
            </w:r>
          </w:p>
          <w:p w14:paraId="71495A2D" w14:textId="64B01078"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00FF4784">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USD</w:t>
            </w:r>
            <w:r w:rsidR="00FF4784">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1,795.00</w:t>
            </w:r>
            <w:r w:rsidR="00FF4784">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w:t>
            </w:r>
            <w:r w:rsidR="00FF4784">
              <w:rPr>
                <w:rFonts w:asciiTheme="minorHAnsi" w:hAnsiTheme="minorHAnsi" w:cstheme="minorHAnsi"/>
                <w:i/>
                <w:iCs/>
                <w:sz w:val="18"/>
                <w:szCs w:val="18"/>
              </w:rPr>
              <w:t xml:space="preserve"> </w:t>
            </w:r>
            <w:r w:rsidRPr="006B39C0">
              <w:rPr>
                <w:rFonts w:asciiTheme="minorHAnsi" w:hAnsiTheme="minorHAnsi" w:cstheme="minorHAnsi"/>
                <w:i/>
                <w:iCs/>
                <w:sz w:val="18"/>
                <w:szCs w:val="18"/>
              </w:rPr>
              <w:t>Mes</w:t>
            </w:r>
          </w:p>
          <w:p w14:paraId="30281E93" w14:textId="3F8B3637" w:rsidR="1D9DC7A6" w:rsidRPr="006B39C0" w:rsidRDefault="1D9DC7A6" w:rsidP="00391502">
            <w:pPr>
              <w:spacing w:before="150" w:after="45"/>
              <w:jc w:val="both"/>
              <w:rPr>
                <w:rFonts w:asciiTheme="minorHAnsi" w:hAnsiTheme="minorHAnsi" w:cstheme="minorHAnsi"/>
                <w:sz w:val="18"/>
                <w:szCs w:val="18"/>
              </w:rPr>
            </w:pPr>
          </w:p>
          <w:p w14:paraId="4D622021" w14:textId="46882B15"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1D9DC7A6" w:rsidRPr="006B39C0">
              <w:rPr>
                <w:rFonts w:asciiTheme="minorHAnsi" w:hAnsiTheme="minorHAnsi" w:cstheme="minorHAnsi"/>
                <w:i/>
                <w:iCs/>
                <w:sz w:val="18"/>
                <w:szCs w:val="18"/>
              </w:rPr>
              <w:t># 4</w:t>
            </w:r>
          </w:p>
          <w:p w14:paraId="6E6FB21C" w14:textId="608CA13D" w:rsidR="1D9DC7A6" w:rsidRPr="006B39C0" w:rsidRDefault="1D9DC7A6" w:rsidP="00391502">
            <w:pPr>
              <w:spacing w:before="150" w:after="45"/>
              <w:jc w:val="both"/>
              <w:rPr>
                <w:rFonts w:asciiTheme="minorHAnsi" w:hAnsiTheme="minorHAnsi" w:cstheme="minorHAnsi"/>
                <w:sz w:val="18"/>
                <w:szCs w:val="18"/>
              </w:rPr>
            </w:pPr>
          </w:p>
          <w:p w14:paraId="625808E6" w14:textId="55909EF2"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74E1D6B" w14:textId="036C9258"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18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835806E" w14:textId="77777777" w:rsidR="00FF4784" w:rsidRPr="00FF4784" w:rsidRDefault="00FF4784" w:rsidP="00FF4784">
            <w:pPr>
              <w:jc w:val="both"/>
              <w:rPr>
                <w:rFonts w:asciiTheme="minorHAnsi" w:hAnsiTheme="minorHAnsi" w:cstheme="minorHAnsi"/>
                <w:i/>
                <w:iCs/>
                <w:sz w:val="18"/>
                <w:szCs w:val="18"/>
              </w:rPr>
            </w:pPr>
            <w:r w:rsidRPr="00FF4784">
              <w:rPr>
                <w:rFonts w:asciiTheme="minorHAnsi" w:hAnsiTheme="minorHAnsi" w:cstheme="minorHAnsi"/>
                <w:i/>
                <w:iCs/>
                <w:sz w:val="18"/>
                <w:szCs w:val="18"/>
              </w:rPr>
              <w:t>En estrecha coordinación con el Coordinador del Proyecto, el/la Asistente de Coordinación Interinstitucional apoyará la articulación y el seguimiento de los acuerdos técnicos, normativos y políticos desde el nivel central en Quito, asegurando la alineación institucional y facilitando la implementación efectiva de las acciones del proyecto en territorio. Este puesto es clave para coordinar los esfuerzos entre tres subsecretarías del MAE (Cambio Climático, Patrimonio Natural y Recursos Hídricos), adscritas a dos viceministerios distintos (Ambiente y Agua), así como para facilitar la coordinación con el Ministerio de Agricultura, Ganadería y Pesca (MAGP) y otros actores nacionales relevantes.</w:t>
            </w:r>
          </w:p>
          <w:p w14:paraId="13CD0043" w14:textId="77777777" w:rsidR="00FF4784" w:rsidRDefault="00FF4784" w:rsidP="00FF4784">
            <w:pPr>
              <w:jc w:val="both"/>
              <w:rPr>
                <w:rFonts w:asciiTheme="minorHAnsi" w:hAnsiTheme="minorHAnsi" w:cstheme="minorHAnsi"/>
                <w:i/>
                <w:iCs/>
                <w:sz w:val="18"/>
                <w:szCs w:val="18"/>
              </w:rPr>
            </w:pPr>
          </w:p>
          <w:p w14:paraId="278CC671" w14:textId="3915C901" w:rsidR="00FF4784" w:rsidRPr="00FF4784" w:rsidRDefault="00FF4784" w:rsidP="00FF4784">
            <w:pPr>
              <w:jc w:val="both"/>
              <w:rPr>
                <w:rFonts w:asciiTheme="minorHAnsi" w:hAnsiTheme="minorHAnsi" w:cstheme="minorHAnsi"/>
                <w:i/>
                <w:iCs/>
                <w:sz w:val="18"/>
                <w:szCs w:val="18"/>
              </w:rPr>
            </w:pPr>
            <w:r w:rsidRPr="00FF4784">
              <w:rPr>
                <w:rFonts w:asciiTheme="minorHAnsi" w:hAnsiTheme="minorHAnsi" w:cstheme="minorHAnsi"/>
                <w:i/>
                <w:iCs/>
                <w:sz w:val="18"/>
                <w:szCs w:val="18"/>
              </w:rPr>
              <w:t>Funciones y Responsabilidades:</w:t>
            </w:r>
          </w:p>
          <w:p w14:paraId="5EA5A5A8" w14:textId="77777777" w:rsidR="00FF4784" w:rsidRPr="00FF4784" w:rsidRDefault="00FF4784" w:rsidP="00EC2CBE">
            <w:pPr>
              <w:pStyle w:val="Prrafodelista"/>
              <w:numPr>
                <w:ilvl w:val="0"/>
                <w:numId w:val="96"/>
              </w:numPr>
              <w:rPr>
                <w:i/>
                <w:iCs/>
                <w:sz w:val="18"/>
                <w:szCs w:val="18"/>
              </w:rPr>
            </w:pPr>
            <w:r w:rsidRPr="00FF4784">
              <w:rPr>
                <w:i/>
                <w:iCs/>
                <w:sz w:val="18"/>
                <w:szCs w:val="18"/>
              </w:rPr>
              <w:t>Actuar como enlace entre el proyecto y las instituciones del nivel nacional (especialmente el MAE), asegurando una coordinación técnica e institucional fluida desde la oficina central en Quito.</w:t>
            </w:r>
          </w:p>
          <w:p w14:paraId="13D0F83F" w14:textId="77777777" w:rsidR="00FF4784" w:rsidRPr="00FF4784" w:rsidRDefault="00FF4784" w:rsidP="00EC2CBE">
            <w:pPr>
              <w:pStyle w:val="Prrafodelista"/>
              <w:numPr>
                <w:ilvl w:val="0"/>
                <w:numId w:val="96"/>
              </w:numPr>
              <w:rPr>
                <w:i/>
                <w:iCs/>
                <w:sz w:val="18"/>
                <w:szCs w:val="18"/>
              </w:rPr>
            </w:pPr>
            <w:r w:rsidRPr="00FF4784">
              <w:rPr>
                <w:i/>
                <w:iCs/>
                <w:sz w:val="18"/>
                <w:szCs w:val="18"/>
              </w:rPr>
              <w:t>Facilitar la alineación de las actividades del proyecto con las prioridades nacionales, los marcos de política pública y los mandatos normativos del MAE y del MAGP.</w:t>
            </w:r>
          </w:p>
          <w:p w14:paraId="52D05709" w14:textId="77777777" w:rsidR="00FF4784" w:rsidRPr="00FF4784" w:rsidRDefault="00FF4784" w:rsidP="00EC2CBE">
            <w:pPr>
              <w:pStyle w:val="Prrafodelista"/>
              <w:numPr>
                <w:ilvl w:val="0"/>
                <w:numId w:val="96"/>
              </w:numPr>
              <w:rPr>
                <w:i/>
                <w:iCs/>
                <w:sz w:val="18"/>
                <w:szCs w:val="18"/>
              </w:rPr>
            </w:pPr>
            <w:r w:rsidRPr="00FF4784">
              <w:rPr>
                <w:i/>
                <w:iCs/>
                <w:sz w:val="18"/>
                <w:szCs w:val="18"/>
              </w:rPr>
              <w:t>Canalizar y gestionar el flujo de información institucional entre las distintas dependencias del MAE y la Unidad de Gestión del Proyecto (UGP), garantizando una comunicación oportuna y eficiente.</w:t>
            </w:r>
          </w:p>
          <w:p w14:paraId="1DA7DF6B" w14:textId="77777777" w:rsidR="00FF4784" w:rsidRPr="00FF4784" w:rsidRDefault="00FF4784" w:rsidP="00EC2CBE">
            <w:pPr>
              <w:pStyle w:val="Prrafodelista"/>
              <w:numPr>
                <w:ilvl w:val="0"/>
                <w:numId w:val="96"/>
              </w:numPr>
              <w:rPr>
                <w:i/>
                <w:iCs/>
                <w:sz w:val="18"/>
                <w:szCs w:val="18"/>
              </w:rPr>
            </w:pPr>
            <w:r w:rsidRPr="00FF4784">
              <w:rPr>
                <w:i/>
                <w:iCs/>
                <w:sz w:val="18"/>
                <w:szCs w:val="18"/>
              </w:rPr>
              <w:t>Participar en espacios de gobernanza y coordinación (comités técnicos, mesas de trabajo interministeriales, reuniones de planificación), representando las perspectivas institucionales y apoyando el diálogo intersectorial.</w:t>
            </w:r>
          </w:p>
          <w:p w14:paraId="4C32DBF8" w14:textId="77777777" w:rsidR="00FF4784" w:rsidRPr="00FF4784" w:rsidRDefault="00FF4784" w:rsidP="00EC2CBE">
            <w:pPr>
              <w:pStyle w:val="Prrafodelista"/>
              <w:numPr>
                <w:ilvl w:val="0"/>
                <w:numId w:val="96"/>
              </w:numPr>
              <w:rPr>
                <w:i/>
                <w:iCs/>
                <w:sz w:val="18"/>
                <w:szCs w:val="18"/>
              </w:rPr>
            </w:pPr>
            <w:r w:rsidRPr="00FF4784">
              <w:rPr>
                <w:i/>
                <w:iCs/>
                <w:sz w:val="18"/>
                <w:szCs w:val="18"/>
              </w:rPr>
              <w:lastRenderedPageBreak/>
              <w:t>Apoyar la integración de directrices ministeriales y acuerdos institucionales en la planificación, implementación y seguimiento técnico del proyecto, manteniendo coherencia con los instrumentos nacionales de política pública.</w:t>
            </w:r>
          </w:p>
          <w:p w14:paraId="562D999A" w14:textId="77777777" w:rsidR="00FF4784" w:rsidRPr="00FF4784" w:rsidRDefault="00FF4784" w:rsidP="00EC2CBE">
            <w:pPr>
              <w:pStyle w:val="Prrafodelista"/>
              <w:numPr>
                <w:ilvl w:val="0"/>
                <w:numId w:val="96"/>
              </w:numPr>
              <w:rPr>
                <w:i/>
                <w:iCs/>
                <w:sz w:val="18"/>
                <w:szCs w:val="18"/>
              </w:rPr>
            </w:pPr>
            <w:r w:rsidRPr="00FF4784">
              <w:rPr>
                <w:i/>
                <w:iCs/>
                <w:sz w:val="18"/>
                <w:szCs w:val="18"/>
              </w:rPr>
              <w:t>Dar seguimiento a la ejecución de los compromisos institucionales entre el MAE y el proyecto, identificando cuellos de botella, riesgos o desalineaciones políticas, y emitiendo alertas tempranas cuando sea necesario.</w:t>
            </w:r>
          </w:p>
          <w:p w14:paraId="2E6A80FD" w14:textId="77777777" w:rsidR="00FF4784" w:rsidRPr="00FF4784" w:rsidRDefault="00FF4784" w:rsidP="00EC2CBE">
            <w:pPr>
              <w:pStyle w:val="Prrafodelista"/>
              <w:numPr>
                <w:ilvl w:val="0"/>
                <w:numId w:val="96"/>
              </w:numPr>
              <w:rPr>
                <w:i/>
                <w:iCs/>
                <w:sz w:val="18"/>
                <w:szCs w:val="18"/>
              </w:rPr>
            </w:pPr>
            <w:r w:rsidRPr="00FF4784">
              <w:rPr>
                <w:i/>
                <w:iCs/>
                <w:sz w:val="18"/>
                <w:szCs w:val="18"/>
              </w:rPr>
              <w:t>Sistematizar los avances, hitos de coordinación y procesos de aprendizaje institucional, elaborando informes mensuales que respalden la toma de decisiones informadas por parte de la UGP y los socios del proyecto.</w:t>
            </w:r>
          </w:p>
          <w:p w14:paraId="46E32DCC" w14:textId="77777777" w:rsidR="00FF4784" w:rsidRPr="00FF4784" w:rsidRDefault="00FF4784" w:rsidP="00EC2CBE">
            <w:pPr>
              <w:pStyle w:val="Prrafodelista"/>
              <w:numPr>
                <w:ilvl w:val="0"/>
                <w:numId w:val="96"/>
              </w:numPr>
              <w:rPr>
                <w:i/>
                <w:iCs/>
                <w:sz w:val="18"/>
                <w:szCs w:val="18"/>
              </w:rPr>
            </w:pPr>
            <w:r w:rsidRPr="00FF4784">
              <w:rPr>
                <w:i/>
                <w:iCs/>
                <w:sz w:val="18"/>
                <w:szCs w:val="18"/>
              </w:rPr>
              <w:t>Preparar insumos técnicos (notas conceptuales, presentaciones, actas, resúmenes ejecutivos, matrices de coordinación) para reuniones internas y externas, procesos de consulta y sesiones de planificación técnica.</w:t>
            </w:r>
          </w:p>
          <w:p w14:paraId="2185ACD3" w14:textId="1460B451" w:rsidR="1D9DC7A6" w:rsidRPr="00FF4784" w:rsidRDefault="00FF4784" w:rsidP="00EC2CBE">
            <w:pPr>
              <w:pStyle w:val="Prrafodelista"/>
              <w:numPr>
                <w:ilvl w:val="0"/>
                <w:numId w:val="96"/>
              </w:numPr>
              <w:rPr>
                <w:rFonts w:asciiTheme="minorHAnsi" w:hAnsiTheme="minorHAnsi" w:cstheme="minorHAnsi"/>
                <w:i/>
                <w:iCs/>
                <w:sz w:val="18"/>
                <w:szCs w:val="18"/>
              </w:rPr>
            </w:pPr>
            <w:r w:rsidRPr="00FF4784">
              <w:rPr>
                <w:i/>
                <w:iCs/>
                <w:sz w:val="18"/>
                <w:szCs w:val="18"/>
              </w:rPr>
              <w:t>Apoyar al Coordinador del Proyecto en tareas estratégicas de relacionamiento institucional a nivel nacional, incluyendo el mapeo y mantenimiento de una base de datos de actores clave y mecanismos de coordinación.</w:t>
            </w:r>
          </w:p>
        </w:tc>
      </w:tr>
      <w:tr w:rsidR="1D9DC7A6" w:rsidRPr="006B39C0" w14:paraId="39B21C74"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607366F" w14:textId="56FA4030"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3 </w:t>
            </w:r>
            <w:r w:rsidR="00FF4784" w:rsidRPr="00FF4784">
              <w:rPr>
                <w:rFonts w:asciiTheme="minorHAnsi" w:hAnsiTheme="minorHAnsi" w:cstheme="minorHAnsi"/>
                <w:i/>
                <w:iCs/>
                <w:sz w:val="18"/>
                <w:szCs w:val="18"/>
              </w:rPr>
              <w:t>Facilitador(a) Territorial para Soluciones Técnicas – (Cuenca del Río Aguarico, Cuenca del Río Coca y Unidad Hidrológica 49789)</w:t>
            </w:r>
          </w:p>
          <w:p w14:paraId="303F4572" w14:textId="2743F97D" w:rsidR="1D9DC7A6" w:rsidRPr="006B39C0" w:rsidRDefault="1D9DC7A6" w:rsidP="00391502">
            <w:pPr>
              <w:spacing w:before="150" w:after="45"/>
              <w:rPr>
                <w:rFonts w:asciiTheme="minorHAnsi" w:hAnsiTheme="minorHAnsi" w:cstheme="minorHAnsi"/>
                <w:sz w:val="18"/>
                <w:szCs w:val="18"/>
              </w:rPr>
            </w:pPr>
          </w:p>
          <w:p w14:paraId="7406F738" w14:textId="7F846AE6"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USD1,447/</w:t>
            </w:r>
            <w:r w:rsidRPr="006B39C0">
              <w:rPr>
                <w:rFonts w:asciiTheme="minorHAnsi" w:hAnsiTheme="minorHAnsi" w:cstheme="minorHAnsi"/>
                <w:i/>
                <w:iCs/>
                <w:sz w:val="18"/>
                <w:szCs w:val="18"/>
              </w:rPr>
              <w:t>Mes</w:t>
            </w:r>
          </w:p>
          <w:p w14:paraId="7A2233D4" w14:textId="4EB6A33A" w:rsidR="1D9DC7A6" w:rsidRPr="006B39C0" w:rsidRDefault="1D9DC7A6" w:rsidP="00391502">
            <w:pPr>
              <w:spacing w:before="150" w:after="45"/>
              <w:jc w:val="both"/>
              <w:rPr>
                <w:rFonts w:asciiTheme="minorHAnsi" w:hAnsiTheme="minorHAnsi" w:cstheme="minorHAnsi"/>
                <w:sz w:val="18"/>
                <w:szCs w:val="18"/>
              </w:rPr>
            </w:pPr>
          </w:p>
          <w:p w14:paraId="34DF006C" w14:textId="4C4EE054"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1D9DC7A6" w:rsidRPr="006B39C0">
              <w:rPr>
                <w:rFonts w:asciiTheme="minorHAnsi" w:hAnsiTheme="minorHAnsi" w:cstheme="minorHAnsi"/>
                <w:i/>
                <w:iCs/>
                <w:sz w:val="18"/>
                <w:szCs w:val="18"/>
              </w:rPr>
              <w:t># 5</w:t>
            </w:r>
          </w:p>
          <w:p w14:paraId="15B7327B" w14:textId="0458F97C" w:rsidR="1D9DC7A6" w:rsidRPr="006B39C0" w:rsidRDefault="1D9DC7A6" w:rsidP="00391502">
            <w:pPr>
              <w:spacing w:before="150" w:after="45"/>
              <w:jc w:val="both"/>
              <w:rPr>
                <w:rFonts w:asciiTheme="minorHAnsi" w:hAnsiTheme="minorHAnsi" w:cstheme="minorHAnsi"/>
                <w:sz w:val="18"/>
                <w:szCs w:val="18"/>
              </w:rPr>
            </w:pPr>
          </w:p>
          <w:p w14:paraId="08D7F1A2" w14:textId="7FB4A528"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8CA19A7" w14:textId="1076C924"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 xml:space="preserve">12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roofErr w:type="spellStart"/>
            <w:r w:rsidRPr="006B39C0">
              <w:rPr>
                <w:rFonts w:asciiTheme="minorHAnsi" w:hAnsiTheme="minorHAnsi" w:cstheme="minorHAnsi"/>
                <w:i/>
                <w:iCs/>
                <w:sz w:val="18"/>
                <w:szCs w:val="18"/>
              </w:rPr>
              <w:t>each</w:t>
            </w:r>
            <w:proofErr w:type="spellEnd"/>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0D69403" w14:textId="77777777" w:rsidR="00307998" w:rsidRPr="00307998" w:rsidRDefault="00307998" w:rsidP="00307998">
            <w:pPr>
              <w:rPr>
                <w:rFonts w:asciiTheme="minorHAnsi" w:hAnsiTheme="minorHAnsi" w:cstheme="minorHAnsi"/>
                <w:i/>
                <w:iCs/>
                <w:sz w:val="18"/>
                <w:szCs w:val="18"/>
              </w:rPr>
            </w:pPr>
            <w:r w:rsidRPr="00307998">
              <w:rPr>
                <w:rFonts w:asciiTheme="minorHAnsi" w:hAnsiTheme="minorHAnsi" w:cstheme="minorHAnsi"/>
                <w:i/>
                <w:iCs/>
                <w:sz w:val="18"/>
                <w:szCs w:val="18"/>
              </w:rPr>
              <w:t>En estrecha coordinación con el Coordinador del Proyecto, los Coordinadores Territoriales y el equipo de facilitadores comunitarios de la Unidad de Gestión del Proyecto (UGP), el/la Facilitador/a Territorial con base en el MAE apoyará la implementación técnica de las acciones del proyecto en las unidades hidrográficas priorizadas (Aguarico, Coca y Unidad Hidrográfica 49789), promoviendo la pertinencia cultural, la apropiación local y la coherencia institucional de las intervenciones.</w:t>
            </w:r>
          </w:p>
          <w:p w14:paraId="108CDE8B" w14:textId="77777777" w:rsidR="00307998" w:rsidRDefault="00307998" w:rsidP="00307998">
            <w:pPr>
              <w:rPr>
                <w:rFonts w:asciiTheme="minorHAnsi" w:hAnsiTheme="minorHAnsi" w:cstheme="minorHAnsi"/>
                <w:i/>
                <w:iCs/>
                <w:sz w:val="18"/>
                <w:szCs w:val="18"/>
              </w:rPr>
            </w:pPr>
          </w:p>
          <w:p w14:paraId="52F9108E" w14:textId="27234EA5" w:rsidR="00307998" w:rsidRPr="00307998" w:rsidRDefault="00307998" w:rsidP="00307998">
            <w:pPr>
              <w:rPr>
                <w:rFonts w:asciiTheme="minorHAnsi" w:hAnsiTheme="minorHAnsi" w:cstheme="minorHAnsi"/>
                <w:i/>
                <w:iCs/>
                <w:sz w:val="18"/>
                <w:szCs w:val="18"/>
              </w:rPr>
            </w:pPr>
            <w:r w:rsidRPr="00307998">
              <w:rPr>
                <w:rFonts w:asciiTheme="minorHAnsi" w:hAnsiTheme="minorHAnsi" w:cstheme="minorHAnsi"/>
                <w:i/>
                <w:iCs/>
                <w:sz w:val="18"/>
                <w:szCs w:val="18"/>
              </w:rPr>
              <w:t>Funciones y Responsabilidades:</w:t>
            </w:r>
          </w:p>
          <w:p w14:paraId="37FCECC8" w14:textId="77777777" w:rsidR="00307998" w:rsidRPr="00307998" w:rsidRDefault="00307998" w:rsidP="00EC2CBE">
            <w:pPr>
              <w:pStyle w:val="Prrafodelista"/>
              <w:numPr>
                <w:ilvl w:val="0"/>
                <w:numId w:val="96"/>
              </w:numPr>
              <w:rPr>
                <w:i/>
                <w:iCs/>
                <w:sz w:val="18"/>
                <w:szCs w:val="18"/>
              </w:rPr>
            </w:pPr>
            <w:r w:rsidRPr="00307998">
              <w:rPr>
                <w:i/>
                <w:iCs/>
                <w:sz w:val="18"/>
                <w:szCs w:val="18"/>
              </w:rPr>
              <w:t>Actuar como enlace técnico-operativo entre las oficinas territoriales del MAE (SCC, SPN, SRH) y el proyecto, facilitando la implementación efectiva de soluciones técnicas en restauración, conservación y producción sostenible, en coordinación con el equipo comunitario de la UGP.</w:t>
            </w:r>
          </w:p>
          <w:p w14:paraId="7D147C49" w14:textId="77777777" w:rsidR="00307998" w:rsidRPr="00307998" w:rsidRDefault="00307998" w:rsidP="00EC2CBE">
            <w:pPr>
              <w:pStyle w:val="Prrafodelista"/>
              <w:numPr>
                <w:ilvl w:val="0"/>
                <w:numId w:val="96"/>
              </w:numPr>
              <w:rPr>
                <w:i/>
                <w:iCs/>
                <w:sz w:val="18"/>
                <w:szCs w:val="18"/>
              </w:rPr>
            </w:pPr>
            <w:r w:rsidRPr="00307998">
              <w:rPr>
                <w:i/>
                <w:iCs/>
                <w:sz w:val="18"/>
                <w:szCs w:val="18"/>
              </w:rPr>
              <w:t>Brindar apoyo técnico para la aplicación de soluciones alineadas con las prioridades de cada unidad hidrográfica, asegurando que las actividades del proyecto se integren con las políticas públicas sectoriales y los instrumentos de planificación vigentes.</w:t>
            </w:r>
          </w:p>
          <w:p w14:paraId="15F0EF3D" w14:textId="77777777" w:rsidR="00307998" w:rsidRPr="00307998" w:rsidRDefault="00307998" w:rsidP="00EC2CBE">
            <w:pPr>
              <w:pStyle w:val="Prrafodelista"/>
              <w:numPr>
                <w:ilvl w:val="0"/>
                <w:numId w:val="96"/>
              </w:numPr>
              <w:rPr>
                <w:i/>
                <w:iCs/>
                <w:sz w:val="18"/>
                <w:szCs w:val="18"/>
              </w:rPr>
            </w:pPr>
            <w:r w:rsidRPr="00307998">
              <w:rPr>
                <w:i/>
                <w:iCs/>
                <w:sz w:val="18"/>
                <w:szCs w:val="18"/>
              </w:rPr>
              <w:t>Coordinar con los Facilitadores Comunitarios la incorporación de enfoques interculturales, sensibles al género e inclusivos en las actividades implementadas, garantizando una participación comunitaria efectiva y culturalmente adecuada.</w:t>
            </w:r>
          </w:p>
          <w:p w14:paraId="5716AE3B" w14:textId="77777777" w:rsidR="00307998" w:rsidRPr="00307998" w:rsidRDefault="00307998" w:rsidP="00EC2CBE">
            <w:pPr>
              <w:pStyle w:val="Prrafodelista"/>
              <w:numPr>
                <w:ilvl w:val="0"/>
                <w:numId w:val="96"/>
              </w:numPr>
              <w:rPr>
                <w:i/>
                <w:iCs/>
                <w:sz w:val="18"/>
                <w:szCs w:val="18"/>
              </w:rPr>
            </w:pPr>
            <w:r w:rsidRPr="00307998">
              <w:rPr>
                <w:i/>
                <w:iCs/>
                <w:sz w:val="18"/>
                <w:szCs w:val="18"/>
              </w:rPr>
              <w:t>Apoyar el diseño y la implementación de actividades de fortalecimiento de capacidades técnicas y operativas en territorio, dirigidas a actores clave del MAE, gobiernos autónomos descentralizados (GAD), comunidades y organizaciones de base.</w:t>
            </w:r>
          </w:p>
          <w:p w14:paraId="1C26FAAE" w14:textId="77777777" w:rsidR="00307998" w:rsidRPr="00307998" w:rsidRDefault="00307998" w:rsidP="00EC2CBE">
            <w:pPr>
              <w:pStyle w:val="Prrafodelista"/>
              <w:numPr>
                <w:ilvl w:val="0"/>
                <w:numId w:val="96"/>
              </w:numPr>
              <w:rPr>
                <w:i/>
                <w:iCs/>
                <w:sz w:val="18"/>
                <w:szCs w:val="18"/>
              </w:rPr>
            </w:pPr>
            <w:r w:rsidRPr="00307998">
              <w:rPr>
                <w:i/>
                <w:iCs/>
                <w:sz w:val="18"/>
                <w:szCs w:val="18"/>
              </w:rPr>
              <w:t>Facilitar la alineación técnica entre las acciones del proyecto y los instrumentos de planificación territorial existentes (PDOT, PUGS, Planes de Vida, planes de manejo, entre otros), en concordancia con los mandatos del MAE.</w:t>
            </w:r>
          </w:p>
          <w:p w14:paraId="1E6BB89C" w14:textId="77777777" w:rsidR="00307998" w:rsidRPr="00307998" w:rsidRDefault="00307998" w:rsidP="00EC2CBE">
            <w:pPr>
              <w:pStyle w:val="Prrafodelista"/>
              <w:numPr>
                <w:ilvl w:val="0"/>
                <w:numId w:val="96"/>
              </w:numPr>
              <w:rPr>
                <w:i/>
                <w:iCs/>
                <w:sz w:val="18"/>
                <w:szCs w:val="18"/>
              </w:rPr>
            </w:pPr>
            <w:r w:rsidRPr="00307998">
              <w:rPr>
                <w:i/>
                <w:iCs/>
                <w:sz w:val="18"/>
                <w:szCs w:val="18"/>
              </w:rPr>
              <w:t>Contribuir con información técnica y operativa a los procesos de sistematización, elaboración de informes técnicos y análisis del avance del proyecto desde una perspectiva institucional y territorial.</w:t>
            </w:r>
          </w:p>
          <w:p w14:paraId="2595F285" w14:textId="77777777" w:rsidR="00307998" w:rsidRPr="00307998" w:rsidRDefault="00307998" w:rsidP="00EC2CBE">
            <w:pPr>
              <w:pStyle w:val="Prrafodelista"/>
              <w:numPr>
                <w:ilvl w:val="0"/>
                <w:numId w:val="96"/>
              </w:numPr>
              <w:rPr>
                <w:i/>
                <w:iCs/>
                <w:sz w:val="18"/>
                <w:szCs w:val="18"/>
              </w:rPr>
            </w:pPr>
            <w:r w:rsidRPr="00307998">
              <w:rPr>
                <w:i/>
                <w:iCs/>
                <w:sz w:val="18"/>
                <w:szCs w:val="18"/>
              </w:rPr>
              <w:t>Actuar como enlace técnico para canalizar recomendaciones desde el territorio hacia el nivel nacional del proyecto, en particular aquellas orientadas a ajustar estrategias o superar barreras técnicas en la implementación.</w:t>
            </w:r>
          </w:p>
          <w:p w14:paraId="0485947D" w14:textId="77777777" w:rsidR="00307998" w:rsidRPr="00307998" w:rsidRDefault="00307998" w:rsidP="00EC2CBE">
            <w:pPr>
              <w:pStyle w:val="Prrafodelista"/>
              <w:numPr>
                <w:ilvl w:val="0"/>
                <w:numId w:val="96"/>
              </w:numPr>
              <w:rPr>
                <w:i/>
                <w:iCs/>
                <w:sz w:val="18"/>
                <w:szCs w:val="18"/>
              </w:rPr>
            </w:pPr>
            <w:r w:rsidRPr="00307998">
              <w:rPr>
                <w:i/>
                <w:iCs/>
                <w:sz w:val="18"/>
                <w:szCs w:val="18"/>
              </w:rPr>
              <w:t>Promover la coordinación con otras iniciativas e instituciones en ejecución dentro de las unidades hidrográficas, contribuyendo a la sostenibilidad y escalabilidad de las acciones del proyecto.</w:t>
            </w:r>
          </w:p>
          <w:p w14:paraId="139E2D6B" w14:textId="77777777" w:rsidR="00307998" w:rsidRPr="00307998" w:rsidRDefault="00307998" w:rsidP="00EC2CBE">
            <w:pPr>
              <w:pStyle w:val="Prrafodelista"/>
              <w:numPr>
                <w:ilvl w:val="0"/>
                <w:numId w:val="96"/>
              </w:numPr>
              <w:rPr>
                <w:i/>
                <w:iCs/>
                <w:sz w:val="18"/>
                <w:szCs w:val="18"/>
              </w:rPr>
            </w:pPr>
            <w:r w:rsidRPr="00307998">
              <w:rPr>
                <w:i/>
                <w:iCs/>
                <w:sz w:val="18"/>
                <w:szCs w:val="18"/>
              </w:rPr>
              <w:t>Participar activamente en reuniones técnicas, visitas interinstitucionales de campo y mesas de coordinación lideradas por el MAE y el proyecto, con un enfoque colaborativo y de servicio público.</w:t>
            </w:r>
          </w:p>
          <w:p w14:paraId="5B6F8E75" w14:textId="77777777" w:rsidR="1D9DC7A6" w:rsidRPr="00D63D2E" w:rsidRDefault="00307998" w:rsidP="00EC2CBE">
            <w:pPr>
              <w:pStyle w:val="Prrafodelista"/>
              <w:numPr>
                <w:ilvl w:val="0"/>
                <w:numId w:val="96"/>
              </w:numPr>
              <w:rPr>
                <w:rFonts w:asciiTheme="minorHAnsi" w:hAnsiTheme="minorHAnsi" w:cstheme="minorHAnsi"/>
                <w:sz w:val="18"/>
                <w:szCs w:val="18"/>
              </w:rPr>
            </w:pPr>
            <w:r w:rsidRPr="00307998">
              <w:rPr>
                <w:i/>
                <w:iCs/>
                <w:sz w:val="18"/>
                <w:szCs w:val="18"/>
              </w:rPr>
              <w:t>Apoyar la implementación técnica en territorio de las Subvenciones de Bajo Valor (SBV), en coordinación con el equipo de la UGP, asegurando la viabilidad técnica, social y ambiental de las iniciativas financiadas.</w:t>
            </w:r>
          </w:p>
          <w:p w14:paraId="6F5E6B09" w14:textId="77777777" w:rsidR="00D63D2E" w:rsidRDefault="00D63D2E" w:rsidP="00D63D2E">
            <w:pPr>
              <w:rPr>
                <w:rFonts w:asciiTheme="minorHAnsi" w:hAnsiTheme="minorHAnsi" w:cstheme="minorHAnsi"/>
                <w:sz w:val="18"/>
                <w:szCs w:val="18"/>
              </w:rPr>
            </w:pPr>
          </w:p>
          <w:p w14:paraId="44736DB8" w14:textId="36412994" w:rsidR="00D63D2E" w:rsidRPr="00D63D2E" w:rsidRDefault="00D63D2E" w:rsidP="00D63D2E">
            <w:pPr>
              <w:rPr>
                <w:rFonts w:asciiTheme="minorHAnsi" w:hAnsiTheme="minorHAnsi" w:cstheme="minorHAnsi"/>
                <w:sz w:val="18"/>
                <w:szCs w:val="18"/>
              </w:rPr>
            </w:pPr>
          </w:p>
        </w:tc>
      </w:tr>
      <w:tr w:rsidR="1D9DC7A6" w:rsidRPr="006B39C0" w14:paraId="25B76B98"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13A3EB4" w14:textId="0B3FDE56"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2 </w:t>
            </w:r>
            <w:r w:rsidR="00E256E1" w:rsidRPr="00E256E1">
              <w:rPr>
                <w:rFonts w:asciiTheme="minorHAnsi" w:hAnsiTheme="minorHAnsi" w:cstheme="minorHAnsi"/>
                <w:i/>
                <w:iCs/>
                <w:sz w:val="18"/>
                <w:szCs w:val="18"/>
              </w:rPr>
              <w:t xml:space="preserve">Coordinador(a) Territorial de la: </w:t>
            </w:r>
            <w:r w:rsidR="00E256E1" w:rsidRPr="00E256E1">
              <w:rPr>
                <w:rFonts w:asciiTheme="minorHAnsi" w:hAnsiTheme="minorHAnsi" w:cstheme="minorHAnsi"/>
                <w:i/>
                <w:iCs/>
                <w:sz w:val="18"/>
                <w:szCs w:val="18"/>
              </w:rPr>
              <w:lastRenderedPageBreak/>
              <w:t>Unidad Napo y Unidad Sucumbíos</w:t>
            </w:r>
          </w:p>
          <w:p w14:paraId="3CBE1ECE" w14:textId="1D76304E" w:rsidR="1D9DC7A6" w:rsidRPr="006B39C0" w:rsidRDefault="1D9DC7A6" w:rsidP="00391502">
            <w:pPr>
              <w:spacing w:before="150" w:after="45"/>
              <w:jc w:val="both"/>
              <w:rPr>
                <w:rFonts w:asciiTheme="minorHAnsi" w:hAnsiTheme="minorHAnsi" w:cstheme="minorHAnsi"/>
                <w:sz w:val="18"/>
                <w:szCs w:val="18"/>
              </w:rPr>
            </w:pPr>
          </w:p>
          <w:p w14:paraId="02FAA567" w14:textId="7FC3E85A" w:rsidR="1D9DC7A6" w:rsidRPr="006B39C0" w:rsidRDefault="00970E5E" w:rsidP="00391502">
            <w:pPr>
              <w:spacing w:before="150" w:after="150"/>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2,500 /</w:t>
            </w:r>
            <w:r w:rsidRPr="006B39C0">
              <w:rPr>
                <w:rFonts w:asciiTheme="minorHAnsi" w:hAnsiTheme="minorHAnsi" w:cstheme="minorHAnsi"/>
                <w:i/>
                <w:iCs/>
                <w:sz w:val="18"/>
                <w:szCs w:val="18"/>
              </w:rPr>
              <w:t>mes</w:t>
            </w:r>
          </w:p>
          <w:p w14:paraId="5401FD93" w14:textId="4F265A12" w:rsidR="1D9DC7A6" w:rsidRPr="006B39C0" w:rsidRDefault="1D9DC7A6" w:rsidP="00391502">
            <w:pPr>
              <w:spacing w:before="150" w:after="150"/>
              <w:rPr>
                <w:rFonts w:asciiTheme="minorHAnsi" w:hAnsiTheme="minorHAnsi" w:cstheme="minorHAnsi"/>
                <w:sz w:val="18"/>
                <w:szCs w:val="18"/>
              </w:rPr>
            </w:pPr>
          </w:p>
          <w:p w14:paraId="5F31B621" w14:textId="7E5A4F55"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1D9DC7A6" w:rsidRPr="006B39C0">
              <w:rPr>
                <w:rFonts w:asciiTheme="minorHAnsi" w:hAnsiTheme="minorHAnsi" w:cstheme="minorHAnsi"/>
                <w:i/>
                <w:iCs/>
                <w:sz w:val="18"/>
                <w:szCs w:val="18"/>
              </w:rPr>
              <w:t># 6</w:t>
            </w:r>
          </w:p>
          <w:p w14:paraId="4D35C25D" w14:textId="7B4A3907" w:rsidR="1D9DC7A6" w:rsidRPr="006B39C0" w:rsidRDefault="1D9DC7A6" w:rsidP="00391502">
            <w:pPr>
              <w:spacing w:before="150" w:after="150"/>
              <w:rPr>
                <w:rFonts w:asciiTheme="minorHAnsi" w:hAnsiTheme="minorHAnsi" w:cstheme="minorHAnsi"/>
                <w:sz w:val="18"/>
                <w:szCs w:val="18"/>
              </w:rPr>
            </w:pPr>
          </w:p>
          <w:p w14:paraId="613AB3EC" w14:textId="42E17AD1"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2E52356" w14:textId="39D900A2"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48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27BDA52" w14:textId="77777777" w:rsidR="00E256E1" w:rsidRPr="00E256E1" w:rsidRDefault="00E256E1" w:rsidP="00E256E1">
            <w:pPr>
              <w:rPr>
                <w:i/>
                <w:iCs/>
                <w:sz w:val="18"/>
                <w:szCs w:val="18"/>
              </w:rPr>
            </w:pPr>
            <w:r w:rsidRPr="00E256E1">
              <w:rPr>
                <w:i/>
                <w:iCs/>
                <w:sz w:val="18"/>
                <w:szCs w:val="18"/>
              </w:rPr>
              <w:t>Bajo la orientación y supervisión del Coordinador del Proyecto, el/la Coordinador/a Territorial de la Unidad Napo y de la Unidad Sucumbíos será responsable de liderar y supervisar la implementación operativa y técnica del proyecto en las áreas asignadas, asegurando la coordinación con los actores locales, la coherencia territorial de las intervenciones y el cumplimiento de los objetivos estratégicos y principios del proyecto.</w:t>
            </w:r>
          </w:p>
          <w:p w14:paraId="0095FD2C" w14:textId="77777777" w:rsidR="00E256E1" w:rsidRDefault="00E256E1" w:rsidP="00E256E1">
            <w:pPr>
              <w:rPr>
                <w:i/>
                <w:iCs/>
                <w:sz w:val="18"/>
                <w:szCs w:val="18"/>
              </w:rPr>
            </w:pPr>
          </w:p>
          <w:p w14:paraId="04733E67" w14:textId="3522514E" w:rsidR="00E256E1" w:rsidRPr="00E256E1" w:rsidRDefault="00E256E1" w:rsidP="00E256E1">
            <w:pPr>
              <w:rPr>
                <w:i/>
                <w:iCs/>
                <w:sz w:val="18"/>
                <w:szCs w:val="18"/>
              </w:rPr>
            </w:pPr>
            <w:r w:rsidRPr="00E256E1">
              <w:rPr>
                <w:i/>
                <w:iCs/>
                <w:sz w:val="18"/>
                <w:szCs w:val="18"/>
              </w:rPr>
              <w:lastRenderedPageBreak/>
              <w:t>Funciones y Responsabilidades:</w:t>
            </w:r>
          </w:p>
          <w:p w14:paraId="542DBB40" w14:textId="77777777" w:rsidR="00E256E1" w:rsidRPr="00E256E1" w:rsidRDefault="00E256E1" w:rsidP="00EC2CBE">
            <w:pPr>
              <w:pStyle w:val="Prrafodelista"/>
              <w:numPr>
                <w:ilvl w:val="0"/>
                <w:numId w:val="96"/>
              </w:numPr>
              <w:rPr>
                <w:i/>
                <w:iCs/>
                <w:sz w:val="18"/>
                <w:szCs w:val="18"/>
              </w:rPr>
            </w:pPr>
            <w:r w:rsidRPr="00E256E1">
              <w:rPr>
                <w:i/>
                <w:iCs/>
                <w:sz w:val="18"/>
                <w:szCs w:val="18"/>
              </w:rPr>
              <w:t>Planificar, coordinar y supervisar la ejecución territorial de los componentes del proyecto en el área de intervención, garantizando la articulación entre las actividades técnicas, comunitarias y administrativas.</w:t>
            </w:r>
          </w:p>
          <w:p w14:paraId="79756B2D" w14:textId="77777777" w:rsidR="00E256E1" w:rsidRPr="00E256E1" w:rsidRDefault="00E256E1" w:rsidP="00EC2CBE">
            <w:pPr>
              <w:pStyle w:val="Prrafodelista"/>
              <w:numPr>
                <w:ilvl w:val="0"/>
                <w:numId w:val="96"/>
              </w:numPr>
              <w:rPr>
                <w:i/>
                <w:iCs/>
                <w:sz w:val="18"/>
                <w:szCs w:val="18"/>
              </w:rPr>
            </w:pPr>
            <w:r w:rsidRPr="00E256E1">
              <w:rPr>
                <w:i/>
                <w:iCs/>
                <w:sz w:val="18"/>
                <w:szCs w:val="18"/>
              </w:rPr>
              <w:t>Coordinar con autoridades locales, organizaciones indígenas, comunidades, Gobiernos Autónomos Descentralizados (GAD) y actores institucionales, para asegurar la apropiación, participación y sostenibilidad de las acciones del proyecto en el territorio.</w:t>
            </w:r>
          </w:p>
          <w:p w14:paraId="289D90E4" w14:textId="77777777" w:rsidR="00E256E1" w:rsidRPr="00E256E1" w:rsidRDefault="00E256E1" w:rsidP="00EC2CBE">
            <w:pPr>
              <w:pStyle w:val="Prrafodelista"/>
              <w:numPr>
                <w:ilvl w:val="0"/>
                <w:numId w:val="96"/>
              </w:numPr>
              <w:rPr>
                <w:i/>
                <w:iCs/>
                <w:sz w:val="18"/>
                <w:szCs w:val="18"/>
              </w:rPr>
            </w:pPr>
            <w:r w:rsidRPr="00E256E1">
              <w:rPr>
                <w:i/>
                <w:iCs/>
                <w:sz w:val="18"/>
                <w:szCs w:val="18"/>
              </w:rPr>
              <w:t>Supervisar al equipo técnico territorial (técnicos, promotores, facilitadores y asistentes logísticos), asegurando la calidad, oportunidad y coherencia de las intervenciones.</w:t>
            </w:r>
          </w:p>
          <w:p w14:paraId="3FCC31E7" w14:textId="77777777" w:rsidR="00E256E1" w:rsidRPr="00E256E1" w:rsidRDefault="00E256E1" w:rsidP="00EC2CBE">
            <w:pPr>
              <w:pStyle w:val="Prrafodelista"/>
              <w:numPr>
                <w:ilvl w:val="0"/>
                <w:numId w:val="96"/>
              </w:numPr>
              <w:rPr>
                <w:i/>
                <w:iCs/>
                <w:sz w:val="18"/>
                <w:szCs w:val="18"/>
              </w:rPr>
            </w:pPr>
            <w:r w:rsidRPr="00E256E1">
              <w:rPr>
                <w:i/>
                <w:iCs/>
                <w:sz w:val="18"/>
                <w:szCs w:val="18"/>
              </w:rPr>
              <w:t>Apoyar la implementación de procesos participativos de planificación territorial, restauración, producción sostenible, cogestión de recursos naturales y fortalecimiento organizativo, en estrecha coordinación con los especialistas temáticos.</w:t>
            </w:r>
          </w:p>
          <w:p w14:paraId="17A331CE" w14:textId="77777777" w:rsidR="00E256E1" w:rsidRPr="00E256E1" w:rsidRDefault="00E256E1" w:rsidP="00EC2CBE">
            <w:pPr>
              <w:pStyle w:val="Prrafodelista"/>
              <w:numPr>
                <w:ilvl w:val="0"/>
                <w:numId w:val="96"/>
              </w:numPr>
              <w:rPr>
                <w:i/>
                <w:iCs/>
                <w:sz w:val="18"/>
                <w:szCs w:val="18"/>
              </w:rPr>
            </w:pPr>
            <w:r w:rsidRPr="00E256E1">
              <w:rPr>
                <w:i/>
                <w:iCs/>
                <w:sz w:val="18"/>
                <w:szCs w:val="18"/>
              </w:rPr>
              <w:t>Velar por que las actividades del proyecto incorporen enfoques de género, interculturalidad, derechos colectivos y resiliencia climática, de conformidad con el Plan de Acción de Género (PAG) y las políticas del FMAM.</w:t>
            </w:r>
          </w:p>
          <w:p w14:paraId="6ABA58DE" w14:textId="77777777" w:rsidR="00E256E1" w:rsidRPr="00E256E1" w:rsidRDefault="00E256E1" w:rsidP="00EC2CBE">
            <w:pPr>
              <w:pStyle w:val="Prrafodelista"/>
              <w:numPr>
                <w:ilvl w:val="0"/>
                <w:numId w:val="96"/>
              </w:numPr>
              <w:rPr>
                <w:i/>
                <w:iCs/>
                <w:sz w:val="18"/>
                <w:szCs w:val="18"/>
              </w:rPr>
            </w:pPr>
            <w:r w:rsidRPr="00E256E1">
              <w:rPr>
                <w:i/>
                <w:iCs/>
                <w:sz w:val="18"/>
                <w:szCs w:val="18"/>
              </w:rPr>
              <w:t>Brindar apoyo técnico y metodológico en procesos de validación comunitaria, generación de acuerdos, implementación de proyectos productivos y operación de espacios locales de gobernanza.</w:t>
            </w:r>
          </w:p>
          <w:p w14:paraId="09F01CDC" w14:textId="77777777" w:rsidR="00E256E1" w:rsidRPr="00E256E1" w:rsidRDefault="00E256E1" w:rsidP="00EC2CBE">
            <w:pPr>
              <w:pStyle w:val="Prrafodelista"/>
              <w:numPr>
                <w:ilvl w:val="0"/>
                <w:numId w:val="96"/>
              </w:numPr>
              <w:rPr>
                <w:i/>
                <w:iCs/>
                <w:sz w:val="18"/>
                <w:szCs w:val="18"/>
              </w:rPr>
            </w:pPr>
            <w:r w:rsidRPr="00E256E1">
              <w:rPr>
                <w:i/>
                <w:iCs/>
                <w:sz w:val="18"/>
                <w:szCs w:val="18"/>
              </w:rPr>
              <w:t>Identificar y gestionar riesgos territoriales, conflictos o desafíos operativos, proponiendo soluciones adaptativas y emitiendo alertas tempranas al equipo de coordinación nacional.</w:t>
            </w:r>
          </w:p>
          <w:p w14:paraId="5B8FE017" w14:textId="77777777" w:rsidR="00E256E1" w:rsidRPr="00E256E1" w:rsidRDefault="00E256E1" w:rsidP="00EC2CBE">
            <w:pPr>
              <w:pStyle w:val="Prrafodelista"/>
              <w:numPr>
                <w:ilvl w:val="0"/>
                <w:numId w:val="96"/>
              </w:numPr>
              <w:rPr>
                <w:i/>
                <w:iCs/>
                <w:sz w:val="18"/>
                <w:szCs w:val="18"/>
              </w:rPr>
            </w:pPr>
            <w:r w:rsidRPr="00E256E1">
              <w:rPr>
                <w:i/>
                <w:iCs/>
                <w:sz w:val="18"/>
                <w:szCs w:val="18"/>
              </w:rPr>
              <w:t>Apoyar la recopilación de información de campo para los sistemas de monitoreo y evaluación (MEL), el Sistema de Alerta Temprana (SAT) y el Plan de Monitoreo Comunitario, incluyendo datos ambientales, sociales y productivos.</w:t>
            </w:r>
          </w:p>
          <w:p w14:paraId="3994A6BA" w14:textId="77777777" w:rsidR="00E256E1" w:rsidRPr="00E256E1" w:rsidRDefault="00E256E1" w:rsidP="00EC2CBE">
            <w:pPr>
              <w:pStyle w:val="Prrafodelista"/>
              <w:numPr>
                <w:ilvl w:val="0"/>
                <w:numId w:val="96"/>
              </w:numPr>
              <w:rPr>
                <w:i/>
                <w:iCs/>
                <w:sz w:val="18"/>
                <w:szCs w:val="18"/>
              </w:rPr>
            </w:pPr>
            <w:r w:rsidRPr="00E256E1">
              <w:rPr>
                <w:i/>
                <w:iCs/>
                <w:sz w:val="18"/>
                <w:szCs w:val="18"/>
              </w:rPr>
              <w:t>Contribuir a la sistematización de experiencias, buenas prácticas y lecciones aprendidas en su área de intervención, alimentando el componente de gestión del conocimiento del proyecto.</w:t>
            </w:r>
          </w:p>
          <w:p w14:paraId="1ADAD6FF" w14:textId="77777777" w:rsidR="1D9DC7A6" w:rsidRDefault="00E256E1" w:rsidP="00EC2CBE">
            <w:pPr>
              <w:pStyle w:val="Prrafodelista"/>
              <w:numPr>
                <w:ilvl w:val="0"/>
                <w:numId w:val="96"/>
              </w:numPr>
              <w:rPr>
                <w:i/>
                <w:iCs/>
                <w:sz w:val="18"/>
                <w:szCs w:val="18"/>
              </w:rPr>
            </w:pPr>
            <w:r w:rsidRPr="00E256E1">
              <w:rPr>
                <w:i/>
                <w:iCs/>
                <w:sz w:val="18"/>
                <w:szCs w:val="18"/>
              </w:rPr>
              <w:t>Preparar informes técnicos y administrativos periódicos sobre el avance de las actividades, el cumplimiento de metas, el uso de recursos y los resultados alcanzados en cada territorio.</w:t>
            </w:r>
          </w:p>
          <w:p w14:paraId="40F879A4" w14:textId="16CCF548" w:rsidR="00D63D2E" w:rsidRPr="00E256E1" w:rsidRDefault="00D63D2E" w:rsidP="00D63D2E">
            <w:pPr>
              <w:pStyle w:val="Prrafodelista"/>
              <w:rPr>
                <w:i/>
                <w:iCs/>
                <w:sz w:val="18"/>
                <w:szCs w:val="18"/>
              </w:rPr>
            </w:pPr>
          </w:p>
        </w:tc>
      </w:tr>
      <w:tr w:rsidR="1D9DC7A6" w:rsidRPr="006B39C0" w14:paraId="221ED5D8"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6A27A84" w14:textId="42416E6F"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2 </w:t>
            </w:r>
            <w:r w:rsidR="00E256E1" w:rsidRPr="00E256E1">
              <w:rPr>
                <w:rFonts w:asciiTheme="minorHAnsi" w:hAnsiTheme="minorHAnsi" w:cstheme="minorHAnsi"/>
                <w:i/>
                <w:iCs/>
                <w:sz w:val="18"/>
                <w:szCs w:val="18"/>
              </w:rPr>
              <w:t>Facilitador/a Comunitario/a y Enlace Local de Comunicació</w:t>
            </w:r>
            <w:r w:rsidR="00E256E1">
              <w:rPr>
                <w:rFonts w:asciiTheme="minorHAnsi" w:hAnsiTheme="minorHAnsi" w:cstheme="minorHAnsi"/>
                <w:i/>
                <w:iCs/>
                <w:sz w:val="18"/>
                <w:szCs w:val="18"/>
              </w:rPr>
              <w:t>n</w:t>
            </w:r>
          </w:p>
          <w:p w14:paraId="442CCB9C" w14:textId="6EEA8AE1"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1,167/ </w:t>
            </w:r>
            <w:r w:rsidRPr="006B39C0">
              <w:rPr>
                <w:rFonts w:asciiTheme="minorHAnsi" w:hAnsiTheme="minorHAnsi" w:cstheme="minorHAnsi"/>
                <w:i/>
                <w:iCs/>
                <w:sz w:val="18"/>
                <w:szCs w:val="18"/>
              </w:rPr>
              <w:t>Mes</w:t>
            </w:r>
          </w:p>
          <w:p w14:paraId="463BBE94" w14:textId="2B39D57E" w:rsidR="1D9DC7A6" w:rsidRPr="006B39C0" w:rsidRDefault="1D9DC7A6" w:rsidP="00391502">
            <w:pPr>
              <w:spacing w:before="150" w:after="45"/>
              <w:rPr>
                <w:rFonts w:asciiTheme="minorHAnsi" w:hAnsiTheme="minorHAnsi" w:cstheme="minorHAnsi"/>
                <w:sz w:val="18"/>
                <w:szCs w:val="18"/>
              </w:rPr>
            </w:pPr>
          </w:p>
          <w:p w14:paraId="2C24E0DA" w14:textId="1687B4D4"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TDR</w:t>
            </w:r>
            <w:r w:rsidR="1D9DC7A6" w:rsidRPr="006B39C0">
              <w:rPr>
                <w:rFonts w:asciiTheme="minorHAnsi" w:hAnsiTheme="minorHAnsi" w:cstheme="minorHAnsi"/>
                <w:i/>
                <w:iCs/>
                <w:sz w:val="18"/>
                <w:szCs w:val="18"/>
              </w:rPr>
              <w:t># 7</w:t>
            </w:r>
          </w:p>
          <w:p w14:paraId="110360AF" w14:textId="2A1AA240"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85B9292" w14:textId="1B1B3418"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 xml:space="preserve">54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927FDD1" w14:textId="77777777" w:rsidR="00E256E1" w:rsidRPr="00E256E1" w:rsidRDefault="00E256E1" w:rsidP="00E256E1">
            <w:pPr>
              <w:jc w:val="both"/>
              <w:rPr>
                <w:rFonts w:asciiTheme="minorHAnsi" w:hAnsiTheme="minorHAnsi" w:cstheme="minorHAnsi"/>
                <w:i/>
                <w:iCs/>
                <w:sz w:val="18"/>
                <w:szCs w:val="18"/>
              </w:rPr>
            </w:pPr>
            <w:r w:rsidRPr="00E256E1">
              <w:rPr>
                <w:rFonts w:asciiTheme="minorHAnsi" w:hAnsiTheme="minorHAnsi" w:cstheme="minorHAnsi"/>
                <w:i/>
                <w:iCs/>
                <w:sz w:val="18"/>
                <w:szCs w:val="18"/>
              </w:rPr>
              <w:t>Bajo la orientación del Coordinador del Proyecto, la supervisión de los Coordinadores Territoriales y en estrecha coordinación con el/la Especialista en Gobernanza, Políticas Públicas y Marco Normativo, el/la Facilitador/a Comunitario/a y Enlace Local de Comunicación desempeñará un rol fundamental en el fortalecimiento de los procesos de gobernanza territorial, la participación comunitaria y la articulación de instrumentos de planificación, garantizando la inclusión de los pueblos indígenas, las mujeres y la juventud.</w:t>
            </w:r>
          </w:p>
          <w:p w14:paraId="6A174243" w14:textId="77777777" w:rsidR="00E256E1" w:rsidRPr="00E256E1" w:rsidRDefault="00E256E1" w:rsidP="00E256E1">
            <w:pPr>
              <w:jc w:val="both"/>
              <w:rPr>
                <w:rFonts w:asciiTheme="minorHAnsi" w:hAnsiTheme="minorHAnsi" w:cstheme="minorHAnsi"/>
                <w:i/>
                <w:iCs/>
                <w:sz w:val="18"/>
                <w:szCs w:val="18"/>
              </w:rPr>
            </w:pPr>
          </w:p>
          <w:p w14:paraId="7E40F405" w14:textId="280BDC82" w:rsidR="00E256E1" w:rsidRPr="00E256E1" w:rsidRDefault="00E256E1" w:rsidP="00E256E1">
            <w:pPr>
              <w:jc w:val="both"/>
              <w:rPr>
                <w:rFonts w:asciiTheme="minorHAnsi" w:hAnsiTheme="minorHAnsi" w:cstheme="minorHAnsi"/>
                <w:sz w:val="18"/>
                <w:szCs w:val="18"/>
              </w:rPr>
            </w:pPr>
            <w:r w:rsidRPr="00E256E1">
              <w:rPr>
                <w:rFonts w:asciiTheme="minorHAnsi" w:hAnsiTheme="minorHAnsi" w:cstheme="minorHAnsi"/>
                <w:i/>
                <w:iCs/>
                <w:sz w:val="18"/>
                <w:szCs w:val="18"/>
              </w:rPr>
              <w:t>Funciones y Responsabilidades</w:t>
            </w:r>
            <w:r w:rsidRPr="00E256E1">
              <w:rPr>
                <w:rFonts w:asciiTheme="minorHAnsi" w:hAnsiTheme="minorHAnsi" w:cstheme="minorHAnsi"/>
                <w:sz w:val="18"/>
                <w:szCs w:val="18"/>
              </w:rPr>
              <w:t>:</w:t>
            </w:r>
          </w:p>
          <w:p w14:paraId="1CDE4D65" w14:textId="77777777" w:rsidR="00E256E1" w:rsidRPr="00E256E1" w:rsidRDefault="00E256E1" w:rsidP="00EC2CBE">
            <w:pPr>
              <w:pStyle w:val="Prrafodelista"/>
              <w:numPr>
                <w:ilvl w:val="0"/>
                <w:numId w:val="96"/>
              </w:numPr>
              <w:rPr>
                <w:i/>
                <w:iCs/>
                <w:sz w:val="18"/>
                <w:szCs w:val="18"/>
              </w:rPr>
            </w:pPr>
            <w:r w:rsidRPr="00E256E1">
              <w:rPr>
                <w:i/>
                <w:iCs/>
                <w:sz w:val="18"/>
                <w:szCs w:val="18"/>
              </w:rPr>
              <w:t>Facilitar procesos participativos y de diálogo intercultural entre comunidades, autoridades locales, organizaciones indígenas y el equipo técnico del proyecto, promoviendo una planificación territorial colaborativa e inclusiva.</w:t>
            </w:r>
          </w:p>
          <w:p w14:paraId="174BCC9F" w14:textId="77777777" w:rsidR="00E256E1" w:rsidRPr="00E256E1" w:rsidRDefault="00E256E1" w:rsidP="00EC2CBE">
            <w:pPr>
              <w:pStyle w:val="Prrafodelista"/>
              <w:numPr>
                <w:ilvl w:val="0"/>
                <w:numId w:val="96"/>
              </w:numPr>
              <w:rPr>
                <w:i/>
                <w:iCs/>
                <w:sz w:val="18"/>
                <w:szCs w:val="18"/>
              </w:rPr>
            </w:pPr>
            <w:r w:rsidRPr="00E256E1">
              <w:rPr>
                <w:i/>
                <w:iCs/>
                <w:sz w:val="18"/>
                <w:szCs w:val="18"/>
              </w:rPr>
              <w:t>Apoyar la validación comunitaria de los instrumentos de planificación (PDOT, PUGS, Planes de Vida, planes de manejo) y de los proyectos diseñados, asegurando que reflejen las prioridades, visiones y necesidades de las comunidades y nacionalidades.</w:t>
            </w:r>
          </w:p>
          <w:p w14:paraId="51F5BAB0" w14:textId="77777777" w:rsidR="00E256E1" w:rsidRPr="00E256E1" w:rsidRDefault="00E256E1" w:rsidP="00EC2CBE">
            <w:pPr>
              <w:pStyle w:val="Prrafodelista"/>
              <w:numPr>
                <w:ilvl w:val="0"/>
                <w:numId w:val="96"/>
              </w:numPr>
              <w:rPr>
                <w:i/>
                <w:iCs/>
                <w:sz w:val="18"/>
                <w:szCs w:val="18"/>
              </w:rPr>
            </w:pPr>
            <w:r w:rsidRPr="00E256E1">
              <w:rPr>
                <w:i/>
                <w:iCs/>
                <w:sz w:val="18"/>
                <w:szCs w:val="18"/>
              </w:rPr>
              <w:t xml:space="preserve">Promover la </w:t>
            </w:r>
            <w:proofErr w:type="gramStart"/>
            <w:r w:rsidRPr="00E256E1">
              <w:rPr>
                <w:i/>
                <w:iCs/>
                <w:sz w:val="18"/>
                <w:szCs w:val="18"/>
              </w:rPr>
              <w:t>participación activa</w:t>
            </w:r>
            <w:proofErr w:type="gramEnd"/>
            <w:r w:rsidRPr="00E256E1">
              <w:rPr>
                <w:i/>
                <w:iCs/>
                <w:sz w:val="18"/>
                <w:szCs w:val="18"/>
              </w:rPr>
              <w:t xml:space="preserve"> e informada de mujeres, jóvenes, personas adultas mayores y personas en situación de vulnerabilidad en los espacios de toma de decisiones territoriales, tales como comités de cogestión, consejos de cuenca y mesas técnicas.</w:t>
            </w:r>
          </w:p>
          <w:p w14:paraId="5B07E45A" w14:textId="77777777" w:rsidR="00E256E1" w:rsidRPr="00E256E1" w:rsidRDefault="00E256E1" w:rsidP="00EC2CBE">
            <w:pPr>
              <w:pStyle w:val="Prrafodelista"/>
              <w:numPr>
                <w:ilvl w:val="0"/>
                <w:numId w:val="96"/>
              </w:numPr>
              <w:rPr>
                <w:i/>
                <w:iCs/>
                <w:sz w:val="18"/>
                <w:szCs w:val="18"/>
              </w:rPr>
            </w:pPr>
            <w:r w:rsidRPr="00E256E1">
              <w:rPr>
                <w:i/>
                <w:iCs/>
                <w:sz w:val="18"/>
                <w:szCs w:val="18"/>
              </w:rPr>
              <w:t>Apoyar la implementación de acuerdos interinstitucionales de cogestión entre el MAE, los Gobiernos Autónomos Descentralizados (GAD), las organizaciones comunitarias y otros actores territoriales, articulando a los actores locales y los procesos de gobernanza multinivel.</w:t>
            </w:r>
          </w:p>
          <w:p w14:paraId="58D0388B" w14:textId="77777777" w:rsidR="00E256E1" w:rsidRPr="00E256E1" w:rsidRDefault="00E256E1" w:rsidP="00EC2CBE">
            <w:pPr>
              <w:pStyle w:val="Prrafodelista"/>
              <w:numPr>
                <w:ilvl w:val="0"/>
                <w:numId w:val="96"/>
              </w:numPr>
              <w:rPr>
                <w:i/>
                <w:iCs/>
                <w:sz w:val="18"/>
                <w:szCs w:val="18"/>
              </w:rPr>
            </w:pPr>
            <w:r w:rsidRPr="00E256E1">
              <w:rPr>
                <w:i/>
                <w:iCs/>
                <w:sz w:val="18"/>
                <w:szCs w:val="18"/>
              </w:rPr>
              <w:t>Fortalecer las capacidades de liderazgos comunitarios e indígenas en materia de derechos colectivos, planificación territorial, gestión de recursos naturales y políticas públicas ambientales, mediante procesos continuos de capacitación.</w:t>
            </w:r>
          </w:p>
          <w:p w14:paraId="47162342" w14:textId="77777777" w:rsidR="00E256E1" w:rsidRPr="00E256E1" w:rsidRDefault="00E256E1" w:rsidP="00EC2CBE">
            <w:pPr>
              <w:pStyle w:val="Prrafodelista"/>
              <w:numPr>
                <w:ilvl w:val="0"/>
                <w:numId w:val="96"/>
              </w:numPr>
              <w:rPr>
                <w:i/>
                <w:iCs/>
                <w:sz w:val="18"/>
                <w:szCs w:val="18"/>
              </w:rPr>
            </w:pPr>
            <w:r w:rsidRPr="00E256E1">
              <w:rPr>
                <w:i/>
                <w:iCs/>
                <w:sz w:val="18"/>
                <w:szCs w:val="18"/>
              </w:rPr>
              <w:t>Facilitar la incorporación de los principios del Plan de Acción de Género (PAG) del FMAM y de la Política de Igualdad de Género en todos los procesos comunitarios de planificación y diálogo en los que participe.</w:t>
            </w:r>
          </w:p>
          <w:p w14:paraId="375370FF" w14:textId="77777777" w:rsidR="00E256E1" w:rsidRPr="00E256E1" w:rsidRDefault="00E256E1" w:rsidP="00EC2CBE">
            <w:pPr>
              <w:pStyle w:val="Prrafodelista"/>
              <w:numPr>
                <w:ilvl w:val="0"/>
                <w:numId w:val="96"/>
              </w:numPr>
              <w:rPr>
                <w:i/>
                <w:iCs/>
                <w:sz w:val="18"/>
                <w:szCs w:val="18"/>
              </w:rPr>
            </w:pPr>
            <w:r w:rsidRPr="00E256E1">
              <w:rPr>
                <w:i/>
                <w:iCs/>
                <w:sz w:val="18"/>
                <w:szCs w:val="18"/>
              </w:rPr>
              <w:t>Colaborar con promotores comunitarios y técnicos territoriales en la implementación de actividades en territorio, asegurando la coherencia con los marcos normativos, culturales y organizativos de cada territorio.</w:t>
            </w:r>
          </w:p>
          <w:p w14:paraId="1722AE32" w14:textId="77777777" w:rsidR="00E256E1" w:rsidRPr="00E256E1" w:rsidRDefault="00E256E1" w:rsidP="00EC2CBE">
            <w:pPr>
              <w:pStyle w:val="Prrafodelista"/>
              <w:numPr>
                <w:ilvl w:val="0"/>
                <w:numId w:val="96"/>
              </w:numPr>
              <w:rPr>
                <w:i/>
                <w:iCs/>
                <w:sz w:val="18"/>
                <w:szCs w:val="18"/>
              </w:rPr>
            </w:pPr>
            <w:r w:rsidRPr="00E256E1">
              <w:rPr>
                <w:i/>
                <w:iCs/>
                <w:sz w:val="18"/>
                <w:szCs w:val="18"/>
              </w:rPr>
              <w:lastRenderedPageBreak/>
              <w:t>Sistematizar información comunitaria, acuerdos locales, experiencias de participación y desafíos identificados, alimentando el sistema de monitoreo y evaluación del proyecto (MEL) y los informes narrativos.</w:t>
            </w:r>
          </w:p>
          <w:p w14:paraId="2881798D" w14:textId="77777777" w:rsidR="00E256E1" w:rsidRPr="00E256E1" w:rsidRDefault="00E256E1" w:rsidP="00EC2CBE">
            <w:pPr>
              <w:pStyle w:val="Prrafodelista"/>
              <w:numPr>
                <w:ilvl w:val="0"/>
                <w:numId w:val="96"/>
              </w:numPr>
              <w:rPr>
                <w:i/>
                <w:iCs/>
                <w:sz w:val="18"/>
                <w:szCs w:val="18"/>
              </w:rPr>
            </w:pPr>
            <w:r w:rsidRPr="00E256E1">
              <w:rPr>
                <w:i/>
                <w:iCs/>
                <w:sz w:val="18"/>
                <w:szCs w:val="18"/>
              </w:rPr>
              <w:t>Apoyar la creación y fortalecimiento de comités locales de gestión, consejos comunitarios, cabildos u otros espacios organizativos relevantes para la sostenibilidad de la gobernanza ambiental y social.</w:t>
            </w:r>
          </w:p>
          <w:p w14:paraId="68721FD2" w14:textId="77777777" w:rsidR="1D9DC7A6" w:rsidRDefault="00E256E1" w:rsidP="00EC2CBE">
            <w:pPr>
              <w:pStyle w:val="Prrafodelista"/>
              <w:numPr>
                <w:ilvl w:val="0"/>
                <w:numId w:val="96"/>
              </w:numPr>
              <w:rPr>
                <w:rFonts w:asciiTheme="minorHAnsi" w:hAnsiTheme="minorHAnsi" w:cstheme="minorHAnsi"/>
                <w:sz w:val="18"/>
                <w:szCs w:val="18"/>
              </w:rPr>
            </w:pPr>
            <w:r w:rsidRPr="00E256E1">
              <w:rPr>
                <w:i/>
                <w:iCs/>
                <w:sz w:val="18"/>
                <w:szCs w:val="18"/>
              </w:rPr>
              <w:t>Reportar de manera periódica al equipo</w:t>
            </w:r>
            <w:r w:rsidRPr="00E256E1">
              <w:rPr>
                <w:rFonts w:asciiTheme="minorHAnsi" w:hAnsiTheme="minorHAnsi" w:cstheme="minorHAnsi"/>
                <w:sz w:val="18"/>
                <w:szCs w:val="18"/>
              </w:rPr>
              <w:t xml:space="preserve"> local y nacional sobre avances, alertas, necesidades de apoyo técnico y recomendaciones para fortalecer la apropiación comunitaria del proyecto.</w:t>
            </w:r>
          </w:p>
          <w:p w14:paraId="1E06CB01" w14:textId="77777777" w:rsidR="00E256E1" w:rsidRDefault="00E256E1" w:rsidP="00E256E1">
            <w:pPr>
              <w:jc w:val="both"/>
              <w:rPr>
                <w:rFonts w:asciiTheme="minorHAnsi" w:hAnsiTheme="minorHAnsi" w:cstheme="minorHAnsi"/>
                <w:sz w:val="18"/>
                <w:szCs w:val="18"/>
              </w:rPr>
            </w:pPr>
          </w:p>
          <w:p w14:paraId="7E2BA461" w14:textId="0A20D158" w:rsidR="00E256E1" w:rsidRPr="00E256E1" w:rsidRDefault="00E256E1" w:rsidP="00E256E1">
            <w:pPr>
              <w:jc w:val="both"/>
              <w:rPr>
                <w:rFonts w:asciiTheme="minorHAnsi" w:hAnsiTheme="minorHAnsi" w:cstheme="minorHAnsi"/>
                <w:sz w:val="18"/>
                <w:szCs w:val="18"/>
              </w:rPr>
            </w:pPr>
          </w:p>
        </w:tc>
      </w:tr>
      <w:tr w:rsidR="1D9DC7A6" w:rsidRPr="006B39C0" w14:paraId="4D688134"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540E3C3" w14:textId="77777777" w:rsidR="00D63D2E" w:rsidRPr="00D63D2E" w:rsidRDefault="00D63D2E" w:rsidP="00D63D2E">
            <w:pPr>
              <w:spacing w:before="150" w:after="45"/>
              <w:rPr>
                <w:rFonts w:asciiTheme="minorHAnsi" w:hAnsiTheme="minorHAnsi" w:cstheme="minorHAnsi"/>
                <w:b/>
                <w:bCs/>
                <w:i/>
                <w:iCs/>
                <w:sz w:val="18"/>
                <w:szCs w:val="18"/>
              </w:rPr>
            </w:pPr>
            <w:r w:rsidRPr="00D63D2E">
              <w:rPr>
                <w:rFonts w:asciiTheme="minorHAnsi" w:hAnsiTheme="minorHAnsi" w:cstheme="minorHAnsi"/>
                <w:b/>
                <w:bCs/>
                <w:i/>
                <w:iCs/>
                <w:sz w:val="18"/>
                <w:szCs w:val="18"/>
              </w:rPr>
              <w:lastRenderedPageBreak/>
              <w:t>Técnico(a) en Diseño de Proyectos y Movilización de Recursos</w:t>
            </w:r>
          </w:p>
          <w:p w14:paraId="03D22335" w14:textId="056E9AEB"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00D63D2E">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 xml:space="preserve">USD 1,795 / </w:t>
            </w:r>
            <w:r w:rsidRPr="006B39C0">
              <w:rPr>
                <w:rFonts w:asciiTheme="minorHAnsi" w:hAnsiTheme="minorHAnsi" w:cstheme="minorHAnsi"/>
                <w:i/>
                <w:iCs/>
                <w:sz w:val="18"/>
                <w:szCs w:val="18"/>
              </w:rPr>
              <w:t>Mes</w:t>
            </w:r>
          </w:p>
          <w:p w14:paraId="4CE65D29" w14:textId="77777777" w:rsidR="1D9DC7A6" w:rsidRDefault="0072491F" w:rsidP="00D63D2E">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8</w:t>
            </w:r>
          </w:p>
          <w:p w14:paraId="213861EE" w14:textId="7F39CC22" w:rsidR="00D63D2E" w:rsidRPr="006B39C0" w:rsidRDefault="00D63D2E" w:rsidP="00D63D2E">
            <w:pPr>
              <w:spacing w:before="150" w:after="45"/>
              <w:jc w:val="both"/>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D2220A8" w14:textId="096E8D25"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18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1965A1D" w14:textId="77777777" w:rsidR="00D63D2E" w:rsidRPr="00D63D2E" w:rsidRDefault="00D63D2E" w:rsidP="00D63D2E">
            <w:pPr>
              <w:jc w:val="both"/>
              <w:rPr>
                <w:rFonts w:asciiTheme="minorHAnsi" w:hAnsiTheme="minorHAnsi" w:cstheme="minorHAnsi"/>
                <w:i/>
                <w:iCs/>
                <w:sz w:val="18"/>
                <w:szCs w:val="18"/>
              </w:rPr>
            </w:pPr>
            <w:r w:rsidRPr="00D63D2E">
              <w:rPr>
                <w:rFonts w:asciiTheme="minorHAnsi" w:hAnsiTheme="minorHAnsi" w:cstheme="minorHAnsi"/>
                <w:i/>
                <w:iCs/>
                <w:sz w:val="18"/>
                <w:szCs w:val="18"/>
              </w:rPr>
              <w:t>Propósito: Apoyar la formulación de propuestas y la búsqueda de financiamiento complementario para asegurar la sostenibilidad del proyecto.</w:t>
            </w:r>
          </w:p>
          <w:p w14:paraId="0323A9AC" w14:textId="77777777" w:rsidR="00D63D2E" w:rsidRPr="00D63D2E" w:rsidRDefault="00D63D2E" w:rsidP="00D63D2E">
            <w:pPr>
              <w:jc w:val="both"/>
              <w:rPr>
                <w:rFonts w:asciiTheme="minorHAnsi" w:hAnsiTheme="minorHAnsi" w:cstheme="minorHAnsi"/>
                <w:i/>
                <w:iCs/>
                <w:sz w:val="18"/>
                <w:szCs w:val="18"/>
              </w:rPr>
            </w:pPr>
          </w:p>
          <w:p w14:paraId="600BFEF9" w14:textId="3FF70911" w:rsidR="00D63D2E" w:rsidRPr="00D63D2E" w:rsidRDefault="00D63D2E" w:rsidP="00D63D2E">
            <w:pPr>
              <w:jc w:val="both"/>
              <w:rPr>
                <w:rFonts w:asciiTheme="minorHAnsi" w:hAnsiTheme="minorHAnsi" w:cstheme="minorHAnsi"/>
                <w:i/>
                <w:iCs/>
                <w:sz w:val="18"/>
                <w:szCs w:val="18"/>
              </w:rPr>
            </w:pPr>
            <w:r w:rsidRPr="00D63D2E">
              <w:rPr>
                <w:rFonts w:asciiTheme="minorHAnsi" w:hAnsiTheme="minorHAnsi" w:cstheme="minorHAnsi"/>
                <w:i/>
                <w:iCs/>
                <w:sz w:val="18"/>
                <w:szCs w:val="18"/>
              </w:rPr>
              <w:t>Principales responsabilidades:</w:t>
            </w:r>
          </w:p>
          <w:p w14:paraId="47417AA3" w14:textId="77777777" w:rsidR="00D63D2E" w:rsidRPr="00D63D2E" w:rsidRDefault="00D63D2E" w:rsidP="00EC2CBE">
            <w:pPr>
              <w:pStyle w:val="Prrafodelista"/>
              <w:numPr>
                <w:ilvl w:val="0"/>
                <w:numId w:val="97"/>
              </w:numPr>
              <w:jc w:val="both"/>
              <w:rPr>
                <w:rFonts w:asciiTheme="minorHAnsi" w:hAnsiTheme="minorHAnsi" w:cstheme="minorHAnsi"/>
                <w:i/>
                <w:iCs/>
                <w:sz w:val="18"/>
                <w:szCs w:val="18"/>
              </w:rPr>
            </w:pPr>
            <w:r w:rsidRPr="00D63D2E">
              <w:rPr>
                <w:rFonts w:asciiTheme="minorHAnsi" w:hAnsiTheme="minorHAnsi" w:cstheme="minorHAnsi"/>
                <w:i/>
                <w:iCs/>
                <w:sz w:val="18"/>
                <w:szCs w:val="18"/>
              </w:rPr>
              <w:t>Preparar insumos técnicos para la elaboración de propuestas y perfiles de proyectos.</w:t>
            </w:r>
          </w:p>
          <w:p w14:paraId="360A936F" w14:textId="77777777" w:rsidR="00D63D2E" w:rsidRPr="00D63D2E" w:rsidRDefault="00D63D2E" w:rsidP="00EC2CBE">
            <w:pPr>
              <w:pStyle w:val="Prrafodelista"/>
              <w:numPr>
                <w:ilvl w:val="0"/>
                <w:numId w:val="97"/>
              </w:numPr>
              <w:jc w:val="both"/>
              <w:rPr>
                <w:rFonts w:asciiTheme="minorHAnsi" w:hAnsiTheme="minorHAnsi" w:cstheme="minorHAnsi"/>
                <w:i/>
                <w:iCs/>
                <w:sz w:val="18"/>
                <w:szCs w:val="18"/>
              </w:rPr>
            </w:pPr>
            <w:r w:rsidRPr="00D63D2E">
              <w:rPr>
                <w:rFonts w:asciiTheme="minorHAnsi" w:hAnsiTheme="minorHAnsi" w:cstheme="minorHAnsi"/>
                <w:i/>
                <w:iCs/>
                <w:sz w:val="18"/>
                <w:szCs w:val="18"/>
              </w:rPr>
              <w:t>Identificar oportunidades de financiamiento externo y alianzas estratégicas.</w:t>
            </w:r>
          </w:p>
          <w:p w14:paraId="7B71B8D5" w14:textId="4EC6E975" w:rsidR="1D9DC7A6" w:rsidRPr="00D63D2E" w:rsidRDefault="00D63D2E" w:rsidP="00EC2CBE">
            <w:pPr>
              <w:pStyle w:val="Prrafodelista"/>
              <w:numPr>
                <w:ilvl w:val="0"/>
                <w:numId w:val="97"/>
              </w:numPr>
              <w:jc w:val="both"/>
              <w:rPr>
                <w:rFonts w:asciiTheme="minorHAnsi" w:hAnsiTheme="minorHAnsi" w:cstheme="minorHAnsi"/>
                <w:sz w:val="18"/>
                <w:szCs w:val="18"/>
              </w:rPr>
            </w:pPr>
            <w:r w:rsidRPr="00D63D2E">
              <w:rPr>
                <w:rFonts w:asciiTheme="minorHAnsi" w:hAnsiTheme="minorHAnsi" w:cstheme="minorHAnsi"/>
                <w:i/>
                <w:iCs/>
                <w:sz w:val="18"/>
                <w:szCs w:val="18"/>
              </w:rPr>
              <w:t>Coordinar con el equipo de coordinación del proyecto y con socios estratégicos.</w:t>
            </w:r>
          </w:p>
        </w:tc>
      </w:tr>
      <w:tr w:rsidR="1D9DC7A6" w:rsidRPr="006B39C0" w14:paraId="7DF1FA59"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C32578B" w14:textId="542A8070" w:rsidR="1D9DC7A6" w:rsidRPr="006B39C0" w:rsidRDefault="00D63D2E" w:rsidP="00391502">
            <w:pPr>
              <w:spacing w:before="150" w:after="45"/>
              <w:jc w:val="both"/>
              <w:rPr>
                <w:rFonts w:asciiTheme="minorHAnsi" w:hAnsiTheme="minorHAnsi" w:cstheme="minorHAnsi"/>
                <w:b/>
                <w:bCs/>
                <w:i/>
                <w:iCs/>
                <w:sz w:val="18"/>
                <w:szCs w:val="18"/>
              </w:rPr>
            </w:pPr>
            <w:r>
              <w:rPr>
                <w:rFonts w:asciiTheme="minorHAnsi" w:hAnsiTheme="minorHAnsi" w:cstheme="minorHAnsi"/>
                <w:b/>
                <w:bCs/>
                <w:i/>
                <w:iCs/>
                <w:sz w:val="18"/>
                <w:szCs w:val="18"/>
              </w:rPr>
              <w:t>Componente</w:t>
            </w:r>
            <w:r w:rsidR="1D9DC7A6" w:rsidRPr="006B39C0">
              <w:rPr>
                <w:rFonts w:asciiTheme="minorHAnsi" w:hAnsiTheme="minorHAnsi" w:cstheme="minorHAnsi"/>
                <w:b/>
                <w:bCs/>
                <w:i/>
                <w:iCs/>
                <w:sz w:val="18"/>
                <w:szCs w:val="18"/>
              </w:rPr>
              <w:t xml:space="preserve"> 2</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AEA12A2" w14:textId="7BA07939" w:rsidR="1D9DC7A6" w:rsidRPr="006B39C0" w:rsidRDefault="1D9DC7A6" w:rsidP="00391502">
            <w:pPr>
              <w:spacing w:before="150" w:after="45"/>
              <w:jc w:val="both"/>
              <w:rPr>
                <w:rFonts w:asciiTheme="minorHAnsi" w:hAnsiTheme="minorHAnsi" w:cstheme="minorHAnsi"/>
                <w:sz w:val="18"/>
                <w:szCs w:val="18"/>
              </w:rPr>
            </w:pP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A196258" w14:textId="1A0E04FF" w:rsidR="1D9DC7A6" w:rsidRPr="006B39C0" w:rsidRDefault="1D9DC7A6" w:rsidP="00391502">
            <w:pPr>
              <w:spacing w:before="150" w:after="45"/>
              <w:jc w:val="both"/>
              <w:rPr>
                <w:rFonts w:asciiTheme="minorHAnsi" w:hAnsiTheme="minorHAnsi" w:cstheme="minorHAnsi"/>
                <w:sz w:val="18"/>
                <w:szCs w:val="18"/>
              </w:rPr>
            </w:pPr>
          </w:p>
        </w:tc>
      </w:tr>
      <w:tr w:rsidR="1D9DC7A6" w:rsidRPr="006B39C0" w14:paraId="46A58479"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11EC9D7" w14:textId="4B2ABBF2" w:rsidR="1D9DC7A6" w:rsidRPr="00D63D2E" w:rsidRDefault="1D9DC7A6" w:rsidP="00D63D2E">
            <w:pPr>
              <w:spacing w:before="150" w:after="45"/>
              <w:rPr>
                <w:rFonts w:asciiTheme="minorHAnsi" w:hAnsiTheme="minorHAnsi" w:cstheme="minorHAnsi"/>
                <w:b/>
                <w:bCs/>
                <w:sz w:val="18"/>
                <w:szCs w:val="18"/>
              </w:rPr>
            </w:pPr>
            <w:r w:rsidRPr="00D63D2E">
              <w:rPr>
                <w:rFonts w:asciiTheme="minorHAnsi" w:hAnsiTheme="minorHAnsi" w:cstheme="minorHAnsi"/>
                <w:b/>
                <w:bCs/>
                <w:i/>
                <w:iCs/>
                <w:sz w:val="18"/>
                <w:szCs w:val="18"/>
              </w:rPr>
              <w:t xml:space="preserve">1 </w:t>
            </w:r>
            <w:r w:rsidR="00D63D2E" w:rsidRPr="00D63D2E">
              <w:rPr>
                <w:rFonts w:asciiTheme="minorHAnsi" w:hAnsiTheme="minorHAnsi" w:cstheme="minorHAnsi"/>
                <w:b/>
                <w:bCs/>
                <w:i/>
                <w:iCs/>
                <w:sz w:val="18"/>
                <w:szCs w:val="18"/>
              </w:rPr>
              <w:t>Especialista en Producción Sostenible y Bioeconomía</w:t>
            </w:r>
          </w:p>
          <w:p w14:paraId="2AAE1518" w14:textId="3C7E0813" w:rsidR="1D9DC7A6" w:rsidRPr="006B39C0" w:rsidRDefault="00970E5E" w:rsidP="00391502">
            <w:pPr>
              <w:spacing w:before="150" w:after="45"/>
              <w:jc w:val="both"/>
              <w:rPr>
                <w:rFonts w:asciiTheme="minorHAnsi" w:hAnsiTheme="minorHAnsi" w:cstheme="minorHAnsi"/>
                <w:i/>
                <w:iCs/>
                <w:sz w:val="18"/>
                <w:szCs w:val="18"/>
              </w:rPr>
            </w:pPr>
            <w:proofErr w:type="spellStart"/>
            <w:proofErr w:type="gramStart"/>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USD</w:t>
            </w:r>
            <w:proofErr w:type="spellEnd"/>
            <w:proofErr w:type="gramEnd"/>
            <w:r w:rsidR="1D9DC7A6" w:rsidRPr="006B39C0">
              <w:rPr>
                <w:rFonts w:asciiTheme="minorHAnsi" w:hAnsiTheme="minorHAnsi" w:cstheme="minorHAnsi"/>
                <w:i/>
                <w:iCs/>
                <w:sz w:val="18"/>
                <w:szCs w:val="18"/>
              </w:rPr>
              <w:t xml:space="preserve"> 2,412 / </w:t>
            </w:r>
            <w:r w:rsidRPr="006B39C0">
              <w:rPr>
                <w:rFonts w:asciiTheme="minorHAnsi" w:hAnsiTheme="minorHAnsi" w:cstheme="minorHAnsi"/>
                <w:i/>
                <w:iCs/>
                <w:sz w:val="18"/>
                <w:szCs w:val="18"/>
              </w:rPr>
              <w:t>Mes</w:t>
            </w:r>
          </w:p>
          <w:p w14:paraId="23D74ED1" w14:textId="6394978C" w:rsidR="1D9DC7A6" w:rsidRPr="006B39C0" w:rsidRDefault="1D9DC7A6" w:rsidP="00391502">
            <w:pPr>
              <w:spacing w:before="150" w:after="45"/>
              <w:jc w:val="both"/>
              <w:rPr>
                <w:rFonts w:asciiTheme="minorHAnsi" w:hAnsiTheme="minorHAnsi" w:cstheme="minorHAnsi"/>
                <w:sz w:val="18"/>
                <w:szCs w:val="18"/>
              </w:rPr>
            </w:pPr>
          </w:p>
          <w:p w14:paraId="7DD60ABF" w14:textId="136BAD6B"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9</w:t>
            </w:r>
          </w:p>
          <w:p w14:paraId="321D16A9" w14:textId="123AA1A2" w:rsidR="1D9DC7A6" w:rsidRPr="006B39C0" w:rsidRDefault="1D9DC7A6" w:rsidP="00391502">
            <w:pPr>
              <w:spacing w:before="150" w:after="45"/>
              <w:jc w:val="both"/>
              <w:rPr>
                <w:rFonts w:asciiTheme="minorHAnsi" w:hAnsiTheme="minorHAnsi" w:cstheme="minorHAnsi"/>
                <w:sz w:val="18"/>
                <w:szCs w:val="18"/>
              </w:rPr>
            </w:pPr>
          </w:p>
          <w:p w14:paraId="1553629B" w14:textId="4CDA5FFC" w:rsidR="1D9DC7A6" w:rsidRPr="006B39C0" w:rsidRDefault="1D9DC7A6" w:rsidP="00391502">
            <w:pPr>
              <w:spacing w:before="135"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B9D036C" w14:textId="5E3DCBCD"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A057D75" w14:textId="77777777" w:rsidR="00D63D2E" w:rsidRPr="00D63D2E" w:rsidRDefault="00D63D2E" w:rsidP="00D63D2E">
            <w:pPr>
              <w:jc w:val="both"/>
              <w:rPr>
                <w:rFonts w:asciiTheme="minorHAnsi" w:hAnsiTheme="minorHAnsi" w:cstheme="minorHAnsi"/>
                <w:i/>
                <w:iCs/>
                <w:sz w:val="18"/>
                <w:szCs w:val="18"/>
              </w:rPr>
            </w:pPr>
            <w:r w:rsidRPr="00D63D2E">
              <w:rPr>
                <w:rFonts w:asciiTheme="minorHAnsi" w:hAnsiTheme="minorHAnsi" w:cstheme="minorHAnsi"/>
                <w:i/>
                <w:iCs/>
                <w:sz w:val="18"/>
                <w:szCs w:val="18"/>
              </w:rPr>
              <w:t xml:space="preserve">Bajo la orientación y supervisión del Coordinador del Proyecto, el/la </w:t>
            </w:r>
            <w:r w:rsidRPr="00D63D2E">
              <w:rPr>
                <w:rFonts w:asciiTheme="minorHAnsi" w:hAnsiTheme="minorHAnsi" w:cstheme="minorHAnsi"/>
                <w:b/>
                <w:bCs/>
                <w:i/>
                <w:iCs/>
                <w:sz w:val="18"/>
                <w:szCs w:val="18"/>
              </w:rPr>
              <w:t>Especialista en Producción Sostenible y Bioeconomía</w:t>
            </w:r>
            <w:r w:rsidRPr="00D63D2E">
              <w:rPr>
                <w:rFonts w:asciiTheme="minorHAnsi" w:hAnsiTheme="minorHAnsi" w:cstheme="minorHAnsi"/>
                <w:i/>
                <w:iCs/>
                <w:sz w:val="18"/>
                <w:szCs w:val="18"/>
              </w:rPr>
              <w:t xml:space="preserve"> será responsable de liderar el diseño técnico, la implementación y el acompañamiento de las estrategias de producción sostenible y </w:t>
            </w:r>
            <w:proofErr w:type="spellStart"/>
            <w:r w:rsidRPr="00D63D2E">
              <w:rPr>
                <w:rFonts w:asciiTheme="minorHAnsi" w:hAnsiTheme="minorHAnsi" w:cstheme="minorHAnsi"/>
                <w:i/>
                <w:iCs/>
                <w:sz w:val="18"/>
                <w:szCs w:val="18"/>
              </w:rPr>
              <w:t>bioeconómica</w:t>
            </w:r>
            <w:proofErr w:type="spellEnd"/>
            <w:r w:rsidRPr="00D63D2E">
              <w:rPr>
                <w:rFonts w:asciiTheme="minorHAnsi" w:hAnsiTheme="minorHAnsi" w:cstheme="minorHAnsi"/>
                <w:i/>
                <w:iCs/>
                <w:sz w:val="18"/>
                <w:szCs w:val="18"/>
              </w:rPr>
              <w:t xml:space="preserve"> en el territorio de intervención, asegurando la articulación con los procesos de restauración del paisaje, seguridad alimentaria, inclusión social y resiliencia climática.</w:t>
            </w:r>
          </w:p>
          <w:p w14:paraId="1C2D344B" w14:textId="77777777" w:rsidR="00D63D2E" w:rsidRDefault="00D63D2E" w:rsidP="00D63D2E">
            <w:pPr>
              <w:jc w:val="both"/>
              <w:rPr>
                <w:rFonts w:asciiTheme="minorHAnsi" w:hAnsiTheme="minorHAnsi" w:cstheme="minorHAnsi"/>
                <w:i/>
                <w:iCs/>
                <w:sz w:val="18"/>
                <w:szCs w:val="18"/>
              </w:rPr>
            </w:pPr>
          </w:p>
          <w:p w14:paraId="5FAAC160" w14:textId="146C5CB4" w:rsidR="00D63D2E" w:rsidRPr="00D63D2E" w:rsidRDefault="00D63D2E" w:rsidP="00D63D2E">
            <w:pPr>
              <w:jc w:val="both"/>
              <w:rPr>
                <w:rFonts w:asciiTheme="minorHAnsi" w:hAnsiTheme="minorHAnsi" w:cstheme="minorHAnsi"/>
                <w:i/>
                <w:iCs/>
                <w:sz w:val="18"/>
                <w:szCs w:val="18"/>
              </w:rPr>
            </w:pPr>
            <w:r w:rsidRPr="00D63D2E">
              <w:rPr>
                <w:rFonts w:asciiTheme="minorHAnsi" w:hAnsiTheme="minorHAnsi" w:cstheme="minorHAnsi"/>
                <w:i/>
                <w:iCs/>
                <w:sz w:val="18"/>
                <w:szCs w:val="18"/>
              </w:rPr>
              <w:t>Roles y responsabilidades:</w:t>
            </w:r>
          </w:p>
          <w:p w14:paraId="34C971D8"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Diseñar lineamientos técnicos para la implementación de prácticas agroecológicas, agrosilvopastoriles y regenerativas de la bioeconomía, con enfoque de equidad de género, pertinencia cultural y sostenibilidad ambiental.</w:t>
            </w:r>
          </w:p>
          <w:p w14:paraId="2F212983"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Coordinar la implementación de planes productivos comunitarios en el marco de los Planes de Vida, PDOT, PUGS y otros instrumentos de planificación territorial, articulando actores públicos, privados y comunitarios.</w:t>
            </w:r>
          </w:p>
          <w:p w14:paraId="2642495A"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Apoyar la formulación, implementación y monitoreo de proyectos productivos sostenibles liderados por pueblos indígenas, mujeres y jóvenes, en articulación con mecanismos inclusivos de financiamiento y comercialización.</w:t>
            </w:r>
          </w:p>
          <w:p w14:paraId="5804D577"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Fortalecer capacidades locales mediante procesos de capacitación técnica, escuelas de campo, intercambios de experiencias y asistencia técnica en prácticas de producción sostenible y restauración productiva.</w:t>
            </w:r>
          </w:p>
          <w:p w14:paraId="4C7E12EB"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Coordinar técnicamente los equipos de campo (técnicos de manejo forestal sostenible, producción y restauración) para asegurar una implementación coherente, culturalmente adecuada y basada en evidencia.</w:t>
            </w:r>
          </w:p>
          <w:p w14:paraId="1BA88F4D"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Promover estrategias de diversificación de medios de vida y el uso sostenible de productos forestales no maderables (PFNM), cultivos ancestrales y prácticas de manejo predial con enfoque de resiliencia.</w:t>
            </w:r>
          </w:p>
          <w:p w14:paraId="2C8E2CDA"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Apoyar la estructuración de cadenas de valor sostenibles, vinculando bioemprendimientos comunitarios con mercados locales, nacionales e internacionales, y promoviendo esquemas de trazabilidad y certificación.</w:t>
            </w:r>
          </w:p>
          <w:p w14:paraId="655B83A8"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proofErr w:type="gramStart"/>
            <w:r w:rsidRPr="00D63D2E">
              <w:rPr>
                <w:rFonts w:asciiTheme="minorHAnsi" w:hAnsiTheme="minorHAnsi" w:cstheme="minorHAnsi"/>
                <w:i/>
                <w:iCs/>
                <w:sz w:val="18"/>
                <w:szCs w:val="18"/>
              </w:rPr>
              <w:lastRenderedPageBreak/>
              <w:t>Asegurar</w:t>
            </w:r>
            <w:proofErr w:type="gramEnd"/>
            <w:r w:rsidRPr="00D63D2E">
              <w:rPr>
                <w:rFonts w:asciiTheme="minorHAnsi" w:hAnsiTheme="minorHAnsi" w:cstheme="minorHAnsi"/>
                <w:i/>
                <w:iCs/>
                <w:sz w:val="18"/>
                <w:szCs w:val="18"/>
              </w:rPr>
              <w:t xml:space="preserve"> que las actividades productivas del proyecto contribuyan a los objetivos de restauración ecológica, manejo integrado del paisaje y Neutralidad en la Degradación de la Tierra (NDT).</w:t>
            </w:r>
          </w:p>
          <w:p w14:paraId="02D6A36B" w14:textId="77777777" w:rsidR="00D63D2E"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Colaborar con el/la Especialista en Finanzas Verdes y Mercados para facilitar el acceso de los actores comunitarios a mecanismos de financiamiento climático, subvenciones e incentivos para prácticas sostenibles.</w:t>
            </w:r>
          </w:p>
          <w:p w14:paraId="1690CEF7" w14:textId="77777777" w:rsidR="1D9DC7A6" w:rsidRPr="00D63D2E" w:rsidRDefault="00D63D2E" w:rsidP="00EC2CBE">
            <w:pPr>
              <w:pStyle w:val="Prrafodelista"/>
              <w:numPr>
                <w:ilvl w:val="0"/>
                <w:numId w:val="98"/>
              </w:numPr>
              <w:jc w:val="both"/>
              <w:rPr>
                <w:rFonts w:asciiTheme="minorHAnsi" w:hAnsiTheme="minorHAnsi" w:cstheme="minorHAnsi"/>
                <w:i/>
                <w:iCs/>
                <w:sz w:val="18"/>
                <w:szCs w:val="18"/>
              </w:rPr>
            </w:pPr>
            <w:r w:rsidRPr="00D63D2E">
              <w:rPr>
                <w:rFonts w:asciiTheme="minorHAnsi" w:hAnsiTheme="minorHAnsi" w:cstheme="minorHAnsi"/>
                <w:i/>
                <w:iCs/>
                <w:sz w:val="18"/>
                <w:szCs w:val="18"/>
              </w:rPr>
              <w:t>Elaborar informes técnicos periódicos y sistematizar buenas prácticas, contribuyendo al escalamiento, sostenibilidad y estrategia de gestión del conocimiento del proyecto.</w:t>
            </w:r>
          </w:p>
          <w:p w14:paraId="328E33F7" w14:textId="77777777" w:rsidR="00D63D2E" w:rsidRDefault="00D63D2E" w:rsidP="00D63D2E">
            <w:pPr>
              <w:jc w:val="both"/>
              <w:rPr>
                <w:rFonts w:asciiTheme="minorHAnsi" w:hAnsiTheme="minorHAnsi" w:cstheme="minorHAnsi"/>
                <w:sz w:val="18"/>
                <w:szCs w:val="18"/>
              </w:rPr>
            </w:pPr>
          </w:p>
          <w:p w14:paraId="71D26407" w14:textId="7F47FC1C" w:rsidR="00D63D2E" w:rsidRPr="00D63D2E" w:rsidRDefault="00D63D2E" w:rsidP="00D63D2E">
            <w:pPr>
              <w:jc w:val="both"/>
              <w:rPr>
                <w:rFonts w:asciiTheme="minorHAnsi" w:hAnsiTheme="minorHAnsi" w:cstheme="minorHAnsi"/>
                <w:sz w:val="18"/>
                <w:szCs w:val="18"/>
              </w:rPr>
            </w:pPr>
          </w:p>
        </w:tc>
      </w:tr>
      <w:tr w:rsidR="1D9DC7A6" w:rsidRPr="006B39C0" w14:paraId="5C3C24BC"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2AC475F" w14:textId="1A585BCA" w:rsidR="1D9DC7A6" w:rsidRPr="006B39C0" w:rsidRDefault="007720A1" w:rsidP="00391502">
            <w:pPr>
              <w:spacing w:before="150" w:after="45"/>
              <w:rPr>
                <w:rFonts w:asciiTheme="minorHAnsi" w:hAnsiTheme="minorHAnsi" w:cstheme="minorHAnsi"/>
                <w:sz w:val="18"/>
                <w:szCs w:val="18"/>
              </w:rPr>
            </w:pPr>
            <w:r w:rsidRPr="007720A1">
              <w:rPr>
                <w:rFonts w:asciiTheme="minorHAnsi" w:hAnsiTheme="minorHAnsi" w:cstheme="minorHAnsi"/>
                <w:b/>
                <w:bCs/>
                <w:i/>
                <w:iCs/>
                <w:sz w:val="18"/>
                <w:szCs w:val="18"/>
              </w:rPr>
              <w:lastRenderedPageBreak/>
              <w:t>Asociado/a Técnico/a en Producción Sostenible y Bioeconomía</w:t>
            </w:r>
            <w:r w:rsidRPr="007720A1">
              <w:rPr>
                <w:rFonts w:asciiTheme="minorHAnsi" w:hAnsiTheme="minorHAnsi" w:cstheme="minorHAnsi"/>
                <w:i/>
                <w:iCs/>
                <w:sz w:val="18"/>
                <w:szCs w:val="18"/>
              </w:rPr>
              <w:t xml:space="preserve"> </w:t>
            </w:r>
          </w:p>
          <w:p w14:paraId="18F970FA" w14:textId="47C91553"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1,447 / </w:t>
            </w:r>
            <w:r w:rsidRPr="006B39C0">
              <w:rPr>
                <w:rFonts w:asciiTheme="minorHAnsi" w:hAnsiTheme="minorHAnsi" w:cstheme="minorHAnsi"/>
                <w:i/>
                <w:iCs/>
                <w:sz w:val="18"/>
                <w:szCs w:val="18"/>
              </w:rPr>
              <w:t>Mes</w:t>
            </w:r>
          </w:p>
          <w:p w14:paraId="6E5ADEEE" w14:textId="031F84E1" w:rsidR="1D9DC7A6" w:rsidRPr="006B39C0" w:rsidRDefault="1D9DC7A6" w:rsidP="00391502">
            <w:pPr>
              <w:spacing w:before="150" w:after="45"/>
              <w:jc w:val="both"/>
              <w:rPr>
                <w:rFonts w:asciiTheme="minorHAnsi" w:hAnsiTheme="minorHAnsi" w:cstheme="minorHAnsi"/>
                <w:sz w:val="18"/>
                <w:szCs w:val="18"/>
              </w:rPr>
            </w:pPr>
          </w:p>
          <w:p w14:paraId="61D125F4" w14:textId="0C5CAA7D"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10</w:t>
            </w:r>
          </w:p>
          <w:p w14:paraId="7035D369" w14:textId="4691B443" w:rsidR="1D9DC7A6" w:rsidRPr="006B39C0" w:rsidRDefault="1D9DC7A6" w:rsidP="00391502">
            <w:pPr>
              <w:spacing w:before="150" w:after="45"/>
              <w:jc w:val="both"/>
              <w:rPr>
                <w:rFonts w:asciiTheme="minorHAnsi" w:hAnsiTheme="minorHAnsi" w:cstheme="minorHAnsi"/>
                <w:sz w:val="18"/>
                <w:szCs w:val="18"/>
              </w:rPr>
            </w:pPr>
          </w:p>
          <w:p w14:paraId="4BC9DEE4" w14:textId="1A16F50D"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79D53CD" w14:textId="06801EC5"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54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E1623F2" w14:textId="299E5ACE" w:rsidR="007720A1" w:rsidRPr="007720A1" w:rsidRDefault="007720A1" w:rsidP="007720A1">
            <w:pPr>
              <w:rPr>
                <w:rFonts w:asciiTheme="minorHAnsi" w:hAnsiTheme="minorHAnsi" w:cstheme="minorHAnsi"/>
                <w:i/>
                <w:iCs/>
                <w:sz w:val="18"/>
                <w:szCs w:val="18"/>
              </w:rPr>
            </w:pPr>
            <w:r w:rsidRPr="007720A1">
              <w:rPr>
                <w:rFonts w:asciiTheme="minorHAnsi" w:hAnsiTheme="minorHAnsi" w:cstheme="minorHAnsi"/>
                <w:i/>
                <w:iCs/>
                <w:sz w:val="18"/>
                <w:szCs w:val="18"/>
              </w:rPr>
              <w:t xml:space="preserve">Bajo la orientación y supervisión del Coordinador del Proyecto, del Director Administrativo y del Especialista Senior en Bioeconomía y Producción Responsable, el/la </w:t>
            </w:r>
            <w:r w:rsidRPr="007720A1">
              <w:rPr>
                <w:rFonts w:asciiTheme="minorHAnsi" w:hAnsiTheme="minorHAnsi" w:cstheme="minorHAnsi"/>
                <w:b/>
                <w:bCs/>
                <w:i/>
                <w:iCs/>
                <w:sz w:val="18"/>
                <w:szCs w:val="18"/>
              </w:rPr>
              <w:t>Asociado/a Técnico/a en Producción Sostenible y Bioeconomía</w:t>
            </w:r>
            <w:r w:rsidRPr="007720A1">
              <w:rPr>
                <w:rFonts w:asciiTheme="minorHAnsi" w:hAnsiTheme="minorHAnsi" w:cstheme="minorHAnsi"/>
                <w:i/>
                <w:iCs/>
                <w:sz w:val="18"/>
                <w:szCs w:val="18"/>
              </w:rPr>
              <w:t xml:space="preserve"> será responsable de brindar apoyo técnico para la identificación, implementación y sistematización de modelos de producción sostenible y prácticas de bioeconomía en los paisajes priorizados. Este cargo desempeña un rol clave en el fortalecimiento de la planificación operativa del proyecto y en la provisión de sustento técnico a los socios estratégicos, facilitando intervenciones territoriales alineadas con los objetivos del proyecto.</w:t>
            </w:r>
            <w:r>
              <w:rPr>
                <w:rFonts w:asciiTheme="minorHAnsi" w:hAnsiTheme="minorHAnsi" w:cstheme="minorHAnsi"/>
                <w:i/>
                <w:iCs/>
                <w:sz w:val="18"/>
                <w:szCs w:val="18"/>
              </w:rPr>
              <w:t xml:space="preserve"> </w:t>
            </w:r>
          </w:p>
          <w:p w14:paraId="5DA1E046" w14:textId="77777777" w:rsidR="007720A1" w:rsidRDefault="007720A1" w:rsidP="007720A1">
            <w:pPr>
              <w:rPr>
                <w:rFonts w:asciiTheme="minorHAnsi" w:hAnsiTheme="minorHAnsi" w:cstheme="minorHAnsi"/>
                <w:i/>
                <w:iCs/>
                <w:sz w:val="18"/>
                <w:szCs w:val="18"/>
              </w:rPr>
            </w:pPr>
          </w:p>
          <w:p w14:paraId="226DB549" w14:textId="754470A2" w:rsidR="007720A1" w:rsidRPr="007720A1" w:rsidRDefault="007720A1" w:rsidP="007720A1">
            <w:pPr>
              <w:rPr>
                <w:rFonts w:asciiTheme="minorHAnsi" w:hAnsiTheme="minorHAnsi" w:cstheme="minorHAnsi"/>
                <w:i/>
                <w:iCs/>
                <w:sz w:val="18"/>
                <w:szCs w:val="18"/>
              </w:rPr>
            </w:pPr>
            <w:r w:rsidRPr="007720A1">
              <w:rPr>
                <w:rFonts w:asciiTheme="minorHAnsi" w:hAnsiTheme="minorHAnsi" w:cstheme="minorHAnsi"/>
                <w:i/>
                <w:iCs/>
                <w:sz w:val="18"/>
                <w:szCs w:val="18"/>
              </w:rPr>
              <w:t>Roles y responsabilidades:</w:t>
            </w:r>
          </w:p>
          <w:p w14:paraId="65D0781A"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Brindar asistencia técnica en la implementación de sistemas de producción sostenible y modelos de bioeconomía adaptados a los contextos socioculturales y ambientales de los territorios priorizados.</w:t>
            </w:r>
          </w:p>
          <w:p w14:paraId="099C5B56"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Identificar y documentar experiencias comunitarias de bioeconomía y cadenas de valor sostenibles con potencial de réplica o escalamiento.</w:t>
            </w:r>
          </w:p>
          <w:p w14:paraId="4E689635"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Colaborar en la validación técnica y en la implementación de prácticas productivas sostenibles, en coordinación con organizaciones indígenas, productores y socios territoriales.</w:t>
            </w:r>
          </w:p>
          <w:p w14:paraId="1D57504A"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Sistematizar información técnica de campo para su uso en informes internos, productos de comunicación estratégica y procesos de movilización de recursos.</w:t>
            </w:r>
          </w:p>
          <w:p w14:paraId="39AFE2FA"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Elaborar resúmenes técnicos y notas de intervención que respalden la ejecución de actividades ante el MAE, el PNUD y otras entidades pertinentes.</w:t>
            </w:r>
          </w:p>
          <w:p w14:paraId="2BA35E39"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Apoyar la organización técnica y logística de talleres, procesos de capacitación e intercambios territoriales relacionados con la bioeconomía y la producción sostenible.</w:t>
            </w:r>
          </w:p>
          <w:p w14:paraId="35627C89"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Participar en procesos de coordinación con técnicos del MAE y otros actores institucionales para asegurar la pertinencia técnica y la coherencia de las intervenciones.</w:t>
            </w:r>
          </w:p>
          <w:p w14:paraId="1E5066B8"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Contribuir a la identificación de requerimientos técnicos, materiales y logísticos para la implementación de soluciones productivas sostenibles en territorio.</w:t>
            </w:r>
          </w:p>
          <w:p w14:paraId="0D81573F"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Asegurar la integración de los enfoques de género, interculturalidad y sostenibilidad en todas las actividades de campo.</w:t>
            </w:r>
          </w:p>
          <w:p w14:paraId="35FCBA6B" w14:textId="77777777" w:rsidR="007720A1"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Reportar periódicamente al Director Administrativo, al Coordinador del Proyecto y al Especialista Senior en Bioeconomía y Producción Responsable sobre avances, desafíos y recomendaciones técnicas.</w:t>
            </w:r>
          </w:p>
          <w:p w14:paraId="43EA8C89" w14:textId="3B886CFE" w:rsidR="1D9DC7A6" w:rsidRPr="007720A1" w:rsidRDefault="007720A1" w:rsidP="00EC2CBE">
            <w:pPr>
              <w:pStyle w:val="Prrafodelista"/>
              <w:numPr>
                <w:ilvl w:val="0"/>
                <w:numId w:val="99"/>
              </w:numPr>
              <w:rPr>
                <w:rFonts w:asciiTheme="minorHAnsi" w:hAnsiTheme="minorHAnsi" w:cstheme="minorHAnsi"/>
                <w:i/>
                <w:iCs/>
                <w:sz w:val="18"/>
                <w:szCs w:val="18"/>
              </w:rPr>
            </w:pPr>
            <w:r w:rsidRPr="007720A1">
              <w:rPr>
                <w:rFonts w:asciiTheme="minorHAnsi" w:hAnsiTheme="minorHAnsi" w:cstheme="minorHAnsi"/>
                <w:i/>
                <w:iCs/>
                <w:sz w:val="18"/>
                <w:szCs w:val="18"/>
              </w:rPr>
              <w:t>Trabajar en estrecha coordinación con el equipo técnico y administrativo de la Unidad de Gestión del Proyecto (UGP) para garantizar la coherencia de los enfoques técnicos implementados.</w:t>
            </w:r>
          </w:p>
          <w:p w14:paraId="54355627" w14:textId="4A523DB7" w:rsidR="1D9DC7A6" w:rsidRPr="006B39C0" w:rsidRDefault="1D9DC7A6" w:rsidP="00391502">
            <w:pPr>
              <w:spacing w:before="150" w:after="150"/>
              <w:rPr>
                <w:rFonts w:asciiTheme="minorHAnsi" w:hAnsiTheme="minorHAnsi" w:cstheme="minorHAnsi"/>
                <w:sz w:val="18"/>
                <w:szCs w:val="18"/>
              </w:rPr>
            </w:pPr>
          </w:p>
        </w:tc>
      </w:tr>
      <w:tr w:rsidR="1D9DC7A6" w:rsidRPr="006B39C0" w14:paraId="0A8333C2"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B68EF8A" w14:textId="7DBAC886"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1</w:t>
            </w:r>
            <w:r w:rsidRPr="004C38A2">
              <w:rPr>
                <w:rFonts w:asciiTheme="minorHAnsi" w:hAnsiTheme="minorHAnsi" w:cstheme="minorHAnsi"/>
                <w:i/>
                <w:iCs/>
                <w:sz w:val="18"/>
                <w:szCs w:val="18"/>
              </w:rPr>
              <w:t xml:space="preserve"> </w:t>
            </w:r>
            <w:r w:rsidR="004C38A2" w:rsidRPr="004C38A2">
              <w:rPr>
                <w:rFonts w:asciiTheme="minorHAnsi" w:hAnsiTheme="minorHAnsi" w:cstheme="minorHAnsi"/>
                <w:b/>
                <w:bCs/>
                <w:i/>
                <w:iCs/>
                <w:sz w:val="18"/>
                <w:szCs w:val="18"/>
              </w:rPr>
              <w:t xml:space="preserve">Especialista en Manejo Forestal </w:t>
            </w:r>
            <w:r w:rsidR="004C38A2" w:rsidRPr="004C38A2">
              <w:rPr>
                <w:rFonts w:asciiTheme="minorHAnsi" w:hAnsiTheme="minorHAnsi" w:cstheme="minorHAnsi"/>
                <w:b/>
                <w:bCs/>
                <w:i/>
                <w:iCs/>
                <w:sz w:val="18"/>
                <w:szCs w:val="18"/>
              </w:rPr>
              <w:lastRenderedPageBreak/>
              <w:t>Sostenible (MFS) y Recursos Hídricos</w:t>
            </w:r>
          </w:p>
          <w:p w14:paraId="3F9E0017" w14:textId="477A8F18" w:rsidR="1D9DC7A6" w:rsidRPr="006B39C0" w:rsidRDefault="1D9DC7A6" w:rsidP="00391502">
            <w:pPr>
              <w:spacing w:before="150" w:after="45"/>
              <w:jc w:val="both"/>
              <w:rPr>
                <w:rFonts w:asciiTheme="minorHAnsi" w:hAnsiTheme="minorHAnsi" w:cstheme="minorHAnsi"/>
                <w:sz w:val="18"/>
                <w:szCs w:val="18"/>
              </w:rPr>
            </w:pPr>
          </w:p>
          <w:p w14:paraId="273594B4" w14:textId="20BA303F"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004C38A2">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 xml:space="preserve">USD 2,412 / </w:t>
            </w:r>
            <w:r w:rsidRPr="006B39C0">
              <w:rPr>
                <w:rFonts w:asciiTheme="minorHAnsi" w:hAnsiTheme="minorHAnsi" w:cstheme="minorHAnsi"/>
                <w:i/>
                <w:iCs/>
                <w:sz w:val="18"/>
                <w:szCs w:val="18"/>
              </w:rPr>
              <w:t>Mes</w:t>
            </w:r>
          </w:p>
          <w:p w14:paraId="590A8BE6" w14:textId="1B929C61" w:rsidR="1D9DC7A6" w:rsidRPr="006B39C0" w:rsidRDefault="1D9DC7A6" w:rsidP="00391502">
            <w:pPr>
              <w:spacing w:before="150" w:after="45"/>
              <w:jc w:val="both"/>
              <w:rPr>
                <w:rFonts w:asciiTheme="minorHAnsi" w:hAnsiTheme="minorHAnsi" w:cstheme="minorHAnsi"/>
                <w:sz w:val="18"/>
                <w:szCs w:val="18"/>
              </w:rPr>
            </w:pPr>
          </w:p>
          <w:p w14:paraId="753ABE2D" w14:textId="121A9E32"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11</w:t>
            </w:r>
          </w:p>
          <w:p w14:paraId="420177CC" w14:textId="388AB31C" w:rsidR="1D9DC7A6" w:rsidRPr="006B39C0" w:rsidRDefault="1D9DC7A6" w:rsidP="00391502">
            <w:pPr>
              <w:spacing w:before="150" w:after="45"/>
              <w:jc w:val="both"/>
              <w:rPr>
                <w:rFonts w:asciiTheme="minorHAnsi" w:hAnsiTheme="minorHAnsi" w:cstheme="minorHAnsi"/>
                <w:sz w:val="18"/>
                <w:szCs w:val="18"/>
              </w:rPr>
            </w:pPr>
          </w:p>
          <w:p w14:paraId="1DE14BAE" w14:textId="35CBAB48" w:rsidR="1D9DC7A6" w:rsidRPr="006B39C0" w:rsidRDefault="1D9DC7A6" w:rsidP="00391502">
            <w:pPr>
              <w:spacing w:before="150" w:after="45"/>
              <w:jc w:val="both"/>
              <w:rPr>
                <w:rFonts w:asciiTheme="minorHAnsi" w:hAnsiTheme="minorHAnsi" w:cstheme="minorHAnsi"/>
                <w:sz w:val="18"/>
                <w:szCs w:val="18"/>
              </w:rPr>
            </w:pPr>
          </w:p>
          <w:p w14:paraId="64AAFC01" w14:textId="601FB615" w:rsidR="1D9DC7A6" w:rsidRPr="006B39C0" w:rsidRDefault="1D9DC7A6" w:rsidP="00391502">
            <w:pPr>
              <w:spacing w:before="150" w:after="45"/>
              <w:jc w:val="both"/>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F3E2AD5" w14:textId="5AFC6BA3"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r w:rsidR="004C38A2">
              <w:rPr>
                <w:rFonts w:asciiTheme="minorHAnsi" w:hAnsiTheme="minorHAnsi" w:cstheme="minorHAnsi"/>
                <w:i/>
                <w:iCs/>
                <w:sz w:val="18"/>
                <w:szCs w:val="18"/>
              </w:rPr>
              <w:t>tiempo completo</w:t>
            </w:r>
            <w:r w:rsidRPr="006B39C0">
              <w:rPr>
                <w:rFonts w:asciiTheme="minorHAnsi" w:hAnsiTheme="minorHAnsi" w:cstheme="minorHAnsi"/>
                <w:i/>
                <w:iCs/>
                <w:sz w:val="18"/>
                <w:szCs w:val="18"/>
              </w:rPr>
              <w:t xml:space="preserve"> – 12 </w:t>
            </w:r>
            <w:r w:rsidR="0072491F" w:rsidRPr="006B39C0">
              <w:rPr>
                <w:rFonts w:asciiTheme="minorHAnsi" w:hAnsiTheme="minorHAnsi" w:cstheme="minorHAnsi"/>
                <w:i/>
                <w:iCs/>
                <w:sz w:val="18"/>
                <w:szCs w:val="18"/>
              </w:rPr>
              <w:lastRenderedPageBreak/>
              <w:t>meses</w:t>
            </w:r>
            <w:r w:rsidRPr="006B39C0">
              <w:rPr>
                <w:rFonts w:asciiTheme="minorHAnsi" w:hAnsiTheme="minorHAnsi" w:cstheme="minorHAnsi"/>
                <w:i/>
                <w:iCs/>
                <w:sz w:val="18"/>
                <w:szCs w:val="18"/>
              </w:rPr>
              <w:t xml:space="preserve"> </w:t>
            </w:r>
            <w:r w:rsidR="004C38A2">
              <w:rPr>
                <w:rFonts w:asciiTheme="minorHAnsi" w:hAnsiTheme="minorHAnsi" w:cstheme="minorHAnsi"/>
                <w:i/>
                <w:iCs/>
                <w:sz w:val="18"/>
                <w:szCs w:val="18"/>
              </w:rPr>
              <w:t>tiempo parcial</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AEF9B8A" w14:textId="77777777" w:rsidR="004139E9" w:rsidRPr="004139E9" w:rsidRDefault="004139E9" w:rsidP="004139E9">
            <w:pPr>
              <w:jc w:val="both"/>
              <w:rPr>
                <w:rFonts w:asciiTheme="minorHAnsi" w:hAnsiTheme="minorHAnsi" w:cstheme="minorHAnsi"/>
                <w:sz w:val="18"/>
                <w:szCs w:val="18"/>
              </w:rPr>
            </w:pPr>
            <w:r w:rsidRPr="004139E9">
              <w:rPr>
                <w:rFonts w:asciiTheme="minorHAnsi" w:hAnsiTheme="minorHAnsi" w:cstheme="minorHAnsi"/>
                <w:sz w:val="18"/>
                <w:szCs w:val="18"/>
              </w:rPr>
              <w:lastRenderedPageBreak/>
              <w:t xml:space="preserve">Bajo la orientación y supervisión del Coordinador del Proyecto, el/la </w:t>
            </w:r>
            <w:r w:rsidRPr="004C38A2">
              <w:rPr>
                <w:rFonts w:asciiTheme="minorHAnsi" w:hAnsiTheme="minorHAnsi" w:cstheme="minorHAnsi"/>
                <w:b/>
                <w:bCs/>
                <w:sz w:val="18"/>
                <w:szCs w:val="18"/>
              </w:rPr>
              <w:t>Especialista en Manejo Forestal Sostenible (MFS) y Recursos Hídricos</w:t>
            </w:r>
            <w:r w:rsidRPr="004139E9">
              <w:rPr>
                <w:rFonts w:asciiTheme="minorHAnsi" w:hAnsiTheme="minorHAnsi" w:cstheme="minorHAnsi"/>
                <w:sz w:val="18"/>
                <w:szCs w:val="18"/>
              </w:rPr>
              <w:t xml:space="preserve"> será responsable de liderar el diseño técnico y la implementación de estrategias integradas de restauración ecológica, manejo forestal sostenible y gestión </w:t>
            </w:r>
            <w:r w:rsidRPr="004139E9">
              <w:rPr>
                <w:rFonts w:asciiTheme="minorHAnsi" w:hAnsiTheme="minorHAnsi" w:cstheme="minorHAnsi"/>
                <w:sz w:val="18"/>
                <w:szCs w:val="18"/>
              </w:rPr>
              <w:lastRenderedPageBreak/>
              <w:t>integral de los recursos hídricos en el territorio de intervención, articulando la planificación ambiental con el enfoque de paisaje y de resiliencia climática del proyecto.</w:t>
            </w:r>
          </w:p>
          <w:p w14:paraId="30FB52E4" w14:textId="77777777" w:rsidR="004139E9" w:rsidRDefault="004139E9" w:rsidP="004139E9">
            <w:pPr>
              <w:jc w:val="both"/>
              <w:rPr>
                <w:rFonts w:asciiTheme="minorHAnsi" w:hAnsiTheme="minorHAnsi" w:cstheme="minorHAnsi"/>
                <w:sz w:val="18"/>
                <w:szCs w:val="18"/>
              </w:rPr>
            </w:pPr>
          </w:p>
          <w:p w14:paraId="652ED7A5" w14:textId="4E912312" w:rsidR="004139E9" w:rsidRPr="004139E9" w:rsidRDefault="004139E9" w:rsidP="004139E9">
            <w:pPr>
              <w:jc w:val="both"/>
              <w:rPr>
                <w:rFonts w:asciiTheme="minorHAnsi" w:hAnsiTheme="minorHAnsi" w:cstheme="minorHAnsi"/>
                <w:sz w:val="18"/>
                <w:szCs w:val="18"/>
              </w:rPr>
            </w:pPr>
            <w:r w:rsidRPr="004139E9">
              <w:rPr>
                <w:rFonts w:asciiTheme="minorHAnsi" w:hAnsiTheme="minorHAnsi" w:cstheme="minorHAnsi"/>
                <w:sz w:val="18"/>
                <w:szCs w:val="18"/>
              </w:rPr>
              <w:t>Roles y responsabilidades:</w:t>
            </w:r>
          </w:p>
          <w:p w14:paraId="60F3C849"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Diseñar lineamientos técnicos y metodologías para la implementación de prácticas de restauración ecológica, manejo forestal sostenible y conservación del agua, con un enfoque basado en ecosistemas, sensible al género y culturalmente pertinente, en coherencia con los objetivos del proyecto.</w:t>
            </w:r>
          </w:p>
          <w:p w14:paraId="796E81D7"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Apoyar la formulación, actualización e implementación de planes de manejo para bosques protectores, áreas de protección hídrica (APH), zonas de recarga y áreas degradadas, asegurando su articulación con los Planes de Vida y los instrumentos de ordenamiento territorial (PDOT, PUGS).</w:t>
            </w:r>
          </w:p>
          <w:p w14:paraId="593A572F"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Coordinar la operacionalización del marco de gobernanza del agua en las unidades hidrográficas priorizadas, articulando los distintos instrumentos de planificación y la normativa vigente, en particular los productos 1.1.1 y 2.1.1 del proyecto.</w:t>
            </w:r>
          </w:p>
          <w:p w14:paraId="2A009F53"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Liderar la planificación y supervisión de acciones de restauración activa y pasiva en áreas degradadas, incluyendo el diseño de modelos agroforestales sostenibles y sistemas agrosilvopastoriles con especies nativas.</w:t>
            </w:r>
          </w:p>
          <w:p w14:paraId="602433E2"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 xml:space="preserve">Brindar supervisión técnica a los equipos de campo (técnicos y promotores) que implementan acciones de restauración, monitoreo hidrológico y manejo forestal sostenible, garantizando la calidad técnica y la </w:t>
            </w:r>
            <w:proofErr w:type="gramStart"/>
            <w:r w:rsidRPr="004139E9">
              <w:rPr>
                <w:rFonts w:asciiTheme="minorHAnsi" w:hAnsiTheme="minorHAnsi" w:cstheme="minorHAnsi"/>
                <w:i/>
                <w:iCs/>
                <w:sz w:val="18"/>
                <w:szCs w:val="18"/>
              </w:rPr>
              <w:t>participación activa</w:t>
            </w:r>
            <w:proofErr w:type="gramEnd"/>
            <w:r w:rsidRPr="004139E9">
              <w:rPr>
                <w:rFonts w:asciiTheme="minorHAnsi" w:hAnsiTheme="minorHAnsi" w:cstheme="minorHAnsi"/>
                <w:i/>
                <w:iCs/>
                <w:sz w:val="18"/>
                <w:szCs w:val="18"/>
              </w:rPr>
              <w:t xml:space="preserve"> de los actores comunitarios.</w:t>
            </w:r>
          </w:p>
          <w:p w14:paraId="1D4CEAE6"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Coordinar la implementación de diagnósticos hidrometeorológicos, balances hídricos y estudios de zonificación del agua, en alianza con el MAE, el INAMHI, universidades y otras entidades técnicas.</w:t>
            </w:r>
          </w:p>
          <w:p w14:paraId="0F6DD01B"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Apoyar el diseño y la operación del Sistema de Alerta Temprana (SAT) y del Plan de Monitoreo Comunitario, incorporando indicadores de calidad del agua, cobertura vegetal, caudal ecológico y otros servicios ecosistémicos.</w:t>
            </w:r>
          </w:p>
          <w:p w14:paraId="179504D5"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Contribuir a la identificación y evaluación de riesgos ambientales asociados a la gestión del agua y los bosques, y proponer medidas de mitigación en coordinación con el área de salvaguardas.</w:t>
            </w:r>
          </w:p>
          <w:p w14:paraId="76904E69"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Participar en el diseño e implementación de procesos de capacitación, asistencia técnica y transferencia tecnológica dirigidos a comunidades, gobiernos locales y otros actores clave, integrando conocimiento científico y saberes ancestrales.</w:t>
            </w:r>
          </w:p>
          <w:p w14:paraId="66726B74" w14:textId="77777777" w:rsidR="004139E9" w:rsidRPr="004139E9" w:rsidRDefault="004139E9" w:rsidP="00EC2CBE">
            <w:pPr>
              <w:pStyle w:val="Prrafodelista"/>
              <w:numPr>
                <w:ilvl w:val="0"/>
                <w:numId w:val="99"/>
              </w:numPr>
              <w:rPr>
                <w:rFonts w:asciiTheme="minorHAnsi" w:hAnsiTheme="minorHAnsi" w:cstheme="minorHAnsi"/>
                <w:i/>
                <w:iCs/>
                <w:sz w:val="18"/>
                <w:szCs w:val="18"/>
              </w:rPr>
            </w:pPr>
            <w:r w:rsidRPr="004139E9">
              <w:rPr>
                <w:rFonts w:asciiTheme="minorHAnsi" w:hAnsiTheme="minorHAnsi" w:cstheme="minorHAnsi"/>
                <w:i/>
                <w:iCs/>
                <w:sz w:val="18"/>
                <w:szCs w:val="18"/>
              </w:rPr>
              <w:t>Elaborar informes técnicos periódicos sobre avances, impactos y lecciones aprendidas en materia de gestión forestal y de recursos hídricos, contribuyendo a los sistemas de seguimiento y reporte del proyecto (MEL, PIR, entre otros).</w:t>
            </w:r>
          </w:p>
          <w:p w14:paraId="4722602C" w14:textId="2C58B3DC" w:rsidR="1D9DC7A6" w:rsidRPr="004139E9" w:rsidRDefault="1D9DC7A6" w:rsidP="004139E9">
            <w:pPr>
              <w:jc w:val="both"/>
              <w:rPr>
                <w:rFonts w:asciiTheme="minorHAnsi" w:hAnsiTheme="minorHAnsi" w:cstheme="minorHAnsi"/>
                <w:sz w:val="18"/>
                <w:szCs w:val="18"/>
              </w:rPr>
            </w:pPr>
          </w:p>
        </w:tc>
      </w:tr>
      <w:tr w:rsidR="1D9DC7A6" w:rsidRPr="006B39C0" w14:paraId="1041D36F"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5ECD9DE" w14:textId="197776C4"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1 </w:t>
            </w:r>
            <w:r w:rsidR="00982C49" w:rsidRPr="00982C49">
              <w:rPr>
                <w:rFonts w:asciiTheme="minorHAnsi" w:hAnsiTheme="minorHAnsi" w:cstheme="minorHAnsi"/>
                <w:b/>
                <w:bCs/>
                <w:i/>
                <w:iCs/>
                <w:sz w:val="18"/>
                <w:szCs w:val="18"/>
              </w:rPr>
              <w:t>Asistente Técnico/a en Manejo Forestal Sostenible y Recursos Hídricos</w:t>
            </w:r>
          </w:p>
          <w:p w14:paraId="0E9E1747" w14:textId="1CF26943" w:rsidR="1D9DC7A6" w:rsidRPr="006B39C0" w:rsidRDefault="1D9DC7A6" w:rsidP="00391502">
            <w:pPr>
              <w:spacing w:before="240" w:after="45"/>
              <w:rPr>
                <w:rFonts w:asciiTheme="minorHAnsi" w:hAnsiTheme="minorHAnsi" w:cstheme="minorHAnsi"/>
                <w:sz w:val="18"/>
                <w:szCs w:val="18"/>
              </w:rPr>
            </w:pPr>
          </w:p>
          <w:p w14:paraId="0D183FAF" w14:textId="42DFA492"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1,447.00 / </w:t>
            </w:r>
            <w:r w:rsidRPr="006B39C0">
              <w:rPr>
                <w:rFonts w:asciiTheme="minorHAnsi" w:hAnsiTheme="minorHAnsi" w:cstheme="minorHAnsi"/>
                <w:i/>
                <w:iCs/>
                <w:sz w:val="18"/>
                <w:szCs w:val="18"/>
              </w:rPr>
              <w:t>Mes</w:t>
            </w:r>
          </w:p>
          <w:p w14:paraId="314C53AE" w14:textId="650F17AC" w:rsidR="1D9DC7A6" w:rsidRPr="006B39C0" w:rsidRDefault="1D9DC7A6" w:rsidP="00391502">
            <w:pPr>
              <w:spacing w:before="150" w:after="45"/>
              <w:rPr>
                <w:rFonts w:asciiTheme="minorHAnsi" w:hAnsiTheme="minorHAnsi" w:cstheme="minorHAnsi"/>
                <w:sz w:val="18"/>
                <w:szCs w:val="18"/>
              </w:rPr>
            </w:pPr>
          </w:p>
          <w:p w14:paraId="44CE9978" w14:textId="301F4252"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TDR </w:t>
            </w:r>
            <w:r w:rsidR="1D9DC7A6" w:rsidRPr="006B39C0">
              <w:rPr>
                <w:rFonts w:asciiTheme="minorHAnsi" w:hAnsiTheme="minorHAnsi" w:cstheme="minorHAnsi"/>
                <w:i/>
                <w:iCs/>
                <w:sz w:val="18"/>
                <w:szCs w:val="18"/>
              </w:rPr>
              <w:t># 12</w:t>
            </w:r>
          </w:p>
          <w:p w14:paraId="7D1F3BD8" w14:textId="39009D1A" w:rsidR="1D9DC7A6" w:rsidRPr="006B39C0" w:rsidRDefault="1D9DC7A6" w:rsidP="00391502">
            <w:pPr>
              <w:spacing w:before="150" w:after="45"/>
              <w:rPr>
                <w:rFonts w:asciiTheme="minorHAnsi" w:hAnsiTheme="minorHAnsi" w:cstheme="minorHAnsi"/>
                <w:sz w:val="18"/>
                <w:szCs w:val="18"/>
              </w:rPr>
            </w:pPr>
          </w:p>
          <w:p w14:paraId="65F86042" w14:textId="5FC49BBE"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967FC01" w14:textId="2785D7D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54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A947497" w14:textId="77777777" w:rsidR="00982C49" w:rsidRPr="00982C49" w:rsidRDefault="00982C49" w:rsidP="00982C49">
            <w:pPr>
              <w:rPr>
                <w:rFonts w:asciiTheme="minorHAnsi" w:hAnsiTheme="minorHAnsi" w:cstheme="minorHAnsi"/>
                <w:i/>
                <w:iCs/>
                <w:sz w:val="18"/>
                <w:szCs w:val="18"/>
              </w:rPr>
            </w:pPr>
            <w:r w:rsidRPr="00982C49">
              <w:rPr>
                <w:rFonts w:asciiTheme="minorHAnsi" w:hAnsiTheme="minorHAnsi" w:cstheme="minorHAnsi"/>
                <w:i/>
                <w:iCs/>
                <w:sz w:val="18"/>
                <w:szCs w:val="18"/>
              </w:rPr>
              <w:t xml:space="preserve">Bajo la orientación y supervisión del Coordinador del Proyecto, del Director Administrativo y del Especialista en Manejo Forestal Sostenible (MFS) y Gestión de Cuencas, el/la </w:t>
            </w:r>
            <w:r w:rsidRPr="00982C49">
              <w:rPr>
                <w:rFonts w:asciiTheme="minorHAnsi" w:hAnsiTheme="minorHAnsi" w:cstheme="minorHAnsi"/>
                <w:b/>
                <w:bCs/>
                <w:i/>
                <w:iCs/>
                <w:sz w:val="18"/>
                <w:szCs w:val="18"/>
              </w:rPr>
              <w:t>Asistente Técnico/a en Manejo Forestal Sostenible y Recursos Hídricos</w:t>
            </w:r>
            <w:r w:rsidRPr="00982C49">
              <w:rPr>
                <w:rFonts w:asciiTheme="minorHAnsi" w:hAnsiTheme="minorHAnsi" w:cstheme="minorHAnsi"/>
                <w:i/>
                <w:iCs/>
                <w:sz w:val="18"/>
                <w:szCs w:val="18"/>
              </w:rPr>
              <w:t xml:space="preserve"> será responsable de brindar asistencia técnica específica en manejo forestal sostenible y conservación de los recursos hídricos, con un enfoque territorial. Este rol contribuye al apoyo de las decisiones operativas y estratégicas del proyecto mediante la provisión de insumos técnicos confiables, así como apoyo logístico para actividades de campo y eventos relacionados. Este cargo no incluye funciones de monitoreo y no se superpone con los perfiles de restauración, gestión territorial ni apoyo cartográfico.</w:t>
            </w:r>
          </w:p>
          <w:p w14:paraId="1E65E541" w14:textId="77777777" w:rsidR="00982C49" w:rsidRPr="00982C49" w:rsidRDefault="00982C49" w:rsidP="00982C49">
            <w:pPr>
              <w:rPr>
                <w:rFonts w:asciiTheme="minorHAnsi" w:hAnsiTheme="minorHAnsi" w:cstheme="minorHAnsi"/>
                <w:i/>
                <w:iCs/>
                <w:sz w:val="18"/>
                <w:szCs w:val="18"/>
              </w:rPr>
            </w:pPr>
          </w:p>
          <w:p w14:paraId="7C497F12" w14:textId="238AC9A1" w:rsidR="00982C49" w:rsidRPr="00982C49" w:rsidRDefault="00982C49" w:rsidP="00982C49">
            <w:pPr>
              <w:rPr>
                <w:rFonts w:asciiTheme="minorHAnsi" w:hAnsiTheme="minorHAnsi" w:cstheme="minorHAnsi"/>
                <w:i/>
                <w:iCs/>
                <w:sz w:val="18"/>
                <w:szCs w:val="18"/>
              </w:rPr>
            </w:pPr>
            <w:r w:rsidRPr="00982C49">
              <w:rPr>
                <w:rFonts w:asciiTheme="minorHAnsi" w:hAnsiTheme="minorHAnsi" w:cstheme="minorHAnsi"/>
                <w:i/>
                <w:iCs/>
                <w:sz w:val="18"/>
                <w:szCs w:val="18"/>
              </w:rPr>
              <w:t>Roles y responsabilidades:</w:t>
            </w:r>
          </w:p>
          <w:p w14:paraId="2A9CDAEA"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Brindar asistencia técnica en prácticas de manejo forestal sostenible (MFS) y conservación de los recursos hídricos, de conformidad con las líneas estratégicas del proyecto y las prioridades territoriales.</w:t>
            </w:r>
          </w:p>
          <w:p w14:paraId="5E8702C5"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Sistematizar información técnica de campo relacionada con las intervenciones en MFS y gestión del agua, para su incorporación en informes internos y en procesos de toma de decisiones administrativas.</w:t>
            </w:r>
          </w:p>
          <w:p w14:paraId="7C822F82"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lastRenderedPageBreak/>
              <w:t>Apoyar la planificación y ejecución de actividades vinculadas a buenas prácticas forestales y de gestión del agua, sin sustituir funciones de monitoreo o supervisión.</w:t>
            </w:r>
          </w:p>
          <w:p w14:paraId="2965764E"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Elaborar resúmenes técnicos y notas de intervención para respaldar los procesos operativos del proyecto ante el PNUD, el MAE u otros actores institucionales.</w:t>
            </w:r>
          </w:p>
          <w:p w14:paraId="34784D5A"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Colaborar en la preparación técnica y logística de talleres, jornadas comunitarias y eventos territoriales relacionados con los componentes forestales y de recursos hídricos.</w:t>
            </w:r>
          </w:p>
          <w:p w14:paraId="063C4652"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Participar en procesos de coordinación con técnicos del MAE y socios territoriales para asegurar la coherencia técnica de las intervenciones.</w:t>
            </w:r>
          </w:p>
          <w:p w14:paraId="51627C59"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Apoyar la identificación de necesidades técnicas, materiales y logísticas para la implementación de soluciones en las unidades hidrográficas priorizadas.</w:t>
            </w:r>
          </w:p>
          <w:p w14:paraId="4A4943E3"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Asegurar la integración de enfoques de género, interculturalidad y sostenibilidad en todas las actividades de campo en las que participe.</w:t>
            </w:r>
          </w:p>
          <w:p w14:paraId="77BE4855"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Contribuir a la sistematización de resultados técnicos y desafíos operativos en la implementación de soluciones sostenibles relacionadas con los recursos forestales y hídricos.</w:t>
            </w:r>
          </w:p>
          <w:p w14:paraId="59E9E228" w14:textId="77777777" w:rsidR="00982C49" w:rsidRPr="00982C49" w:rsidRDefault="00982C49" w:rsidP="00EC2CBE">
            <w:pPr>
              <w:pStyle w:val="Prrafodelista"/>
              <w:numPr>
                <w:ilvl w:val="0"/>
                <w:numId w:val="100"/>
              </w:numPr>
              <w:rPr>
                <w:rFonts w:asciiTheme="minorHAnsi" w:hAnsiTheme="minorHAnsi" w:cstheme="minorHAnsi"/>
                <w:i/>
                <w:iCs/>
                <w:sz w:val="18"/>
                <w:szCs w:val="18"/>
              </w:rPr>
            </w:pPr>
            <w:r w:rsidRPr="00982C49">
              <w:rPr>
                <w:rFonts w:asciiTheme="minorHAnsi" w:hAnsiTheme="minorHAnsi" w:cstheme="minorHAnsi"/>
                <w:i/>
                <w:iCs/>
                <w:sz w:val="18"/>
                <w:szCs w:val="18"/>
              </w:rPr>
              <w:t>Reportar periódicamente al Director Administrativo, al Coordinador del Proyecto y al Especialista en Manejo Forestal Sostenible y Gestión de Cuencas sobre avances, cuellos de botella y recomendaciones técnicas desde la perspectiva territorial.</w:t>
            </w:r>
          </w:p>
          <w:p w14:paraId="3D5F17E0" w14:textId="042B87BF" w:rsidR="1D9DC7A6" w:rsidRPr="00982C49" w:rsidRDefault="00982C49" w:rsidP="00EC2CBE">
            <w:pPr>
              <w:pStyle w:val="Prrafodelista"/>
              <w:numPr>
                <w:ilvl w:val="0"/>
                <w:numId w:val="100"/>
              </w:numPr>
              <w:rPr>
                <w:rFonts w:asciiTheme="minorHAnsi" w:hAnsiTheme="minorHAnsi" w:cstheme="minorHAnsi"/>
                <w:sz w:val="18"/>
                <w:szCs w:val="18"/>
              </w:rPr>
            </w:pPr>
            <w:r w:rsidRPr="00982C49">
              <w:rPr>
                <w:rFonts w:asciiTheme="minorHAnsi" w:hAnsiTheme="minorHAnsi" w:cstheme="minorHAnsi"/>
                <w:i/>
                <w:iCs/>
                <w:sz w:val="18"/>
                <w:szCs w:val="18"/>
              </w:rPr>
              <w:t>Coordinar estrechamente con el equipo técnico y administrativo de la UGP para asegurar la coherencia de la información técnica utilizada en la planificación y ejecución del proyecto.</w:t>
            </w:r>
          </w:p>
          <w:p w14:paraId="7418FBBA" w14:textId="7C960D57" w:rsidR="00982C49" w:rsidRPr="00982C49" w:rsidRDefault="00982C49" w:rsidP="00982C49">
            <w:pPr>
              <w:rPr>
                <w:rFonts w:asciiTheme="minorHAnsi" w:hAnsiTheme="minorHAnsi" w:cstheme="minorHAnsi"/>
                <w:sz w:val="18"/>
                <w:szCs w:val="18"/>
              </w:rPr>
            </w:pPr>
          </w:p>
        </w:tc>
      </w:tr>
      <w:tr w:rsidR="1D9DC7A6" w:rsidRPr="006B39C0" w14:paraId="0724B774"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F9ACA29" w14:textId="06928BA4"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2 </w:t>
            </w:r>
            <w:r w:rsidR="00123FC9" w:rsidRPr="00123FC9">
              <w:rPr>
                <w:rFonts w:asciiTheme="minorHAnsi" w:hAnsiTheme="minorHAnsi" w:cstheme="minorHAnsi"/>
                <w:b/>
                <w:bCs/>
                <w:i/>
                <w:iCs/>
                <w:sz w:val="18"/>
                <w:szCs w:val="18"/>
              </w:rPr>
              <w:t>Técnico/a Local en Manejo Sostenible de la Tierra y Producción</w:t>
            </w:r>
          </w:p>
          <w:p w14:paraId="27C53CBA" w14:textId="77FC8E6B" w:rsidR="1D9DC7A6" w:rsidRPr="006B39C0" w:rsidRDefault="1D9DC7A6" w:rsidP="00391502">
            <w:pPr>
              <w:spacing w:before="150" w:after="45"/>
              <w:rPr>
                <w:rFonts w:asciiTheme="minorHAnsi" w:hAnsiTheme="minorHAnsi" w:cstheme="minorHAnsi"/>
                <w:sz w:val="18"/>
                <w:szCs w:val="18"/>
              </w:rPr>
            </w:pPr>
          </w:p>
          <w:p w14:paraId="2471A21A" w14:textId="17E3019D"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1,447 / </w:t>
            </w:r>
            <w:r w:rsidRPr="006B39C0">
              <w:rPr>
                <w:rFonts w:asciiTheme="minorHAnsi" w:hAnsiTheme="minorHAnsi" w:cstheme="minorHAnsi"/>
                <w:i/>
                <w:iCs/>
                <w:sz w:val="18"/>
                <w:szCs w:val="18"/>
              </w:rPr>
              <w:t>Mes</w:t>
            </w:r>
          </w:p>
          <w:p w14:paraId="5F026B43" w14:textId="015277F7" w:rsidR="1D9DC7A6" w:rsidRPr="006B39C0" w:rsidRDefault="1D9DC7A6" w:rsidP="00391502">
            <w:pPr>
              <w:spacing w:before="150" w:after="45"/>
              <w:rPr>
                <w:rFonts w:asciiTheme="minorHAnsi" w:hAnsiTheme="minorHAnsi" w:cstheme="minorHAnsi"/>
                <w:sz w:val="18"/>
                <w:szCs w:val="18"/>
              </w:rPr>
            </w:pPr>
          </w:p>
          <w:p w14:paraId="7596DD9D" w14:textId="470E4E8F"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13</w:t>
            </w:r>
          </w:p>
          <w:p w14:paraId="151F080C" w14:textId="34092351"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FE82DE9" w14:textId="4C59BCFE"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54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0823B92" w14:textId="77777777" w:rsidR="00982C49" w:rsidRPr="00123FC9" w:rsidRDefault="00982C49" w:rsidP="00982C49">
            <w:pPr>
              <w:jc w:val="both"/>
              <w:rPr>
                <w:rFonts w:asciiTheme="minorHAnsi" w:hAnsiTheme="minorHAnsi" w:cstheme="minorHAnsi"/>
                <w:i/>
                <w:iCs/>
                <w:sz w:val="18"/>
                <w:szCs w:val="18"/>
              </w:rPr>
            </w:pPr>
            <w:r w:rsidRPr="00123FC9">
              <w:rPr>
                <w:rFonts w:asciiTheme="minorHAnsi" w:hAnsiTheme="minorHAnsi" w:cstheme="minorHAnsi"/>
                <w:i/>
                <w:iCs/>
                <w:sz w:val="18"/>
                <w:szCs w:val="18"/>
              </w:rPr>
              <w:t xml:space="preserve">Bajo la orientación del Coordinador del Proyecto, la supervisión directa de los Coordinadores Locales y la orientación técnica del Especialista en Producción Sostenible y Bioeconomía y del Especialista en Manejo Forestal Sostenible (MFS) y Recursos Hídricos, el/la </w:t>
            </w:r>
            <w:r w:rsidRPr="00123FC9">
              <w:rPr>
                <w:rFonts w:asciiTheme="minorHAnsi" w:hAnsiTheme="minorHAnsi" w:cstheme="minorHAnsi"/>
                <w:b/>
                <w:bCs/>
                <w:i/>
                <w:iCs/>
                <w:sz w:val="18"/>
                <w:szCs w:val="18"/>
              </w:rPr>
              <w:t>Técnico/a Local en Manejo Sostenible de la Tierra y Producción</w:t>
            </w:r>
            <w:r w:rsidRPr="00123FC9">
              <w:rPr>
                <w:rFonts w:asciiTheme="minorHAnsi" w:hAnsiTheme="minorHAnsi" w:cstheme="minorHAnsi"/>
                <w:i/>
                <w:iCs/>
                <w:sz w:val="18"/>
                <w:szCs w:val="18"/>
              </w:rPr>
              <w:t xml:space="preserve"> será responsable de brindar asistencia técnica continua en territorio para la implementación de prácticas sostenibles, restauración productiva y conservación, con un enfoque de género, resiliencia climática y pertinencia cultural.</w:t>
            </w:r>
          </w:p>
          <w:p w14:paraId="62C13044" w14:textId="77777777" w:rsidR="00123FC9" w:rsidRPr="00123FC9" w:rsidRDefault="00123FC9" w:rsidP="00982C49">
            <w:pPr>
              <w:jc w:val="both"/>
              <w:rPr>
                <w:rFonts w:asciiTheme="minorHAnsi" w:hAnsiTheme="minorHAnsi" w:cstheme="minorHAnsi"/>
                <w:i/>
                <w:iCs/>
                <w:sz w:val="18"/>
                <w:szCs w:val="18"/>
              </w:rPr>
            </w:pPr>
          </w:p>
          <w:p w14:paraId="4F343305" w14:textId="515270E0" w:rsidR="00982C49" w:rsidRPr="00123FC9" w:rsidRDefault="00982C49" w:rsidP="00982C49">
            <w:pPr>
              <w:jc w:val="both"/>
              <w:rPr>
                <w:rFonts w:asciiTheme="minorHAnsi" w:hAnsiTheme="minorHAnsi" w:cstheme="minorHAnsi"/>
                <w:i/>
                <w:iCs/>
                <w:sz w:val="18"/>
                <w:szCs w:val="18"/>
              </w:rPr>
            </w:pPr>
            <w:r w:rsidRPr="00123FC9">
              <w:rPr>
                <w:rFonts w:asciiTheme="minorHAnsi" w:hAnsiTheme="minorHAnsi" w:cstheme="minorHAnsi"/>
                <w:i/>
                <w:iCs/>
                <w:sz w:val="18"/>
                <w:szCs w:val="18"/>
              </w:rPr>
              <w:t>Roles y responsabilidades:</w:t>
            </w:r>
          </w:p>
          <w:p w14:paraId="20961EB6"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Apoyar la implementación de sistemas agroecológicos, agrosilvopastoriles y forestales sostenibles, integrando conocimientos ancestrales, técnicas regenerativas y prácticas adaptadas al contexto local.</w:t>
            </w:r>
          </w:p>
          <w:p w14:paraId="3A24E211"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Acompañar a familias productoras, asociaciones comunitarias y pueblos indígenas en la adopción de prácticas sostenibles y restaurativas que mejoren los medios de vida, la resiliencia climática y la conservación de la biodiversidad.</w:t>
            </w:r>
          </w:p>
          <w:p w14:paraId="340177A0"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Apoyar el desarrollo de bioemprendimientos locales, especialmente aquellos liderados por mujeres y jóvenes, vinculándolos a cadenas de valor con enfoque de género y sostenibilidad.</w:t>
            </w:r>
          </w:p>
          <w:p w14:paraId="3756F99C"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Colaborar en la elaboración e implementación de planes de manejo de tierras, bosques y producción sostenible, alineados con los Planes de Vida, PDOT, PUGS y otros instrumentos de planificación territorial.</w:t>
            </w:r>
          </w:p>
          <w:p w14:paraId="1EB2B043"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Asegurar la integración de criterios de cambio climático, restauración ecológica, gestión de cuencas y conservación de servicios ecosistémicos en las actividades productivas apoyadas por el proyecto.</w:t>
            </w:r>
          </w:p>
          <w:p w14:paraId="4820C4F8"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Brindar asistencia técnica en la instalación y manejo de viveros, uso de bioinsumos, manejo integrado de cultivos y técnicas de regeneración natural asistida, bajo la orientación de los especialistas temáticos.</w:t>
            </w:r>
          </w:p>
          <w:p w14:paraId="2C3134A3"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 xml:space="preserve">Apoyar procesos de capacitación, escuelas de campo y asistencia técnica en territorio, garantizando la </w:t>
            </w:r>
            <w:proofErr w:type="gramStart"/>
            <w:r w:rsidRPr="00123FC9">
              <w:rPr>
                <w:rFonts w:asciiTheme="minorHAnsi" w:hAnsiTheme="minorHAnsi" w:cstheme="minorHAnsi"/>
                <w:i/>
                <w:iCs/>
                <w:sz w:val="18"/>
                <w:szCs w:val="18"/>
              </w:rPr>
              <w:t>participación activa</w:t>
            </w:r>
            <w:proofErr w:type="gramEnd"/>
            <w:r w:rsidRPr="00123FC9">
              <w:rPr>
                <w:rFonts w:asciiTheme="minorHAnsi" w:hAnsiTheme="minorHAnsi" w:cstheme="minorHAnsi"/>
                <w:i/>
                <w:iCs/>
                <w:sz w:val="18"/>
                <w:szCs w:val="18"/>
              </w:rPr>
              <w:t xml:space="preserve"> de mujeres, jóvenes y pueblos indígenas.</w:t>
            </w:r>
          </w:p>
          <w:p w14:paraId="76BD232F"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Sistematizar buenas prácticas, experiencias comunitarias y resultados de implementación para alimentar los sistemas de gestión del conocimiento del proyecto, el sistema de Monitoreo, Evaluación y Aprendizaje (MEL) y los informes técnicos.</w:t>
            </w:r>
          </w:p>
          <w:p w14:paraId="50FBB756" w14:textId="77777777" w:rsidR="00982C49"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lastRenderedPageBreak/>
              <w:t>Colaborar con los equipos de monitoreo y SIG en la recolección y análisis de datos productivos, ambientales y sociales, contribuyendo al desarrollo de indicadores sensibles al género y a la sostenibilidad.</w:t>
            </w:r>
          </w:p>
          <w:p w14:paraId="1C252B47" w14:textId="77777777" w:rsidR="1D9DC7A6" w:rsidRPr="00123FC9" w:rsidRDefault="00982C49" w:rsidP="00EC2CBE">
            <w:pPr>
              <w:pStyle w:val="Prrafodelista"/>
              <w:numPr>
                <w:ilvl w:val="0"/>
                <w:numId w:val="101"/>
              </w:numPr>
              <w:jc w:val="both"/>
              <w:rPr>
                <w:rFonts w:asciiTheme="minorHAnsi" w:hAnsiTheme="minorHAnsi" w:cstheme="minorHAnsi"/>
                <w:i/>
                <w:iCs/>
                <w:sz w:val="18"/>
                <w:szCs w:val="18"/>
              </w:rPr>
            </w:pPr>
            <w:r w:rsidRPr="00123FC9">
              <w:rPr>
                <w:rFonts w:asciiTheme="minorHAnsi" w:hAnsiTheme="minorHAnsi" w:cstheme="minorHAnsi"/>
                <w:i/>
                <w:iCs/>
                <w:sz w:val="18"/>
                <w:szCs w:val="18"/>
              </w:rPr>
              <w:t>Elaborar informes técnicos periódicos que documenten avances, desafíos y recomendaciones en las actividades de producción sostenible y manejo forestal, asegurando su integración en los sistemas de seguimiento del proyecto.</w:t>
            </w:r>
          </w:p>
          <w:p w14:paraId="08ABA3C4" w14:textId="77777777" w:rsidR="00982C49" w:rsidRDefault="00982C49" w:rsidP="00982C49">
            <w:pPr>
              <w:jc w:val="both"/>
              <w:rPr>
                <w:rFonts w:asciiTheme="minorHAnsi" w:hAnsiTheme="minorHAnsi" w:cstheme="minorHAnsi"/>
                <w:sz w:val="18"/>
                <w:szCs w:val="18"/>
              </w:rPr>
            </w:pPr>
          </w:p>
          <w:p w14:paraId="0F1C55C2" w14:textId="63B5426B" w:rsidR="00982C49" w:rsidRPr="00982C49" w:rsidRDefault="00982C49" w:rsidP="00982C49">
            <w:pPr>
              <w:jc w:val="both"/>
              <w:rPr>
                <w:rFonts w:asciiTheme="minorHAnsi" w:hAnsiTheme="minorHAnsi" w:cstheme="minorHAnsi"/>
                <w:sz w:val="18"/>
                <w:szCs w:val="18"/>
              </w:rPr>
            </w:pPr>
          </w:p>
        </w:tc>
      </w:tr>
      <w:tr w:rsidR="1D9DC7A6" w:rsidRPr="006B39C0" w14:paraId="21E9ED82"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401601D" w14:textId="707CF12C" w:rsidR="1D9DC7A6" w:rsidRPr="006B39C0" w:rsidRDefault="1D9DC7A6" w:rsidP="005150D2">
            <w:pPr>
              <w:spacing w:before="150" w:after="45"/>
              <w:rPr>
                <w:rFonts w:asciiTheme="minorHAnsi" w:hAnsiTheme="minorHAnsi" w:cstheme="minorHAnsi"/>
                <w:sz w:val="18"/>
                <w:szCs w:val="18"/>
              </w:rPr>
            </w:pPr>
            <w:r w:rsidRPr="006B39C0">
              <w:rPr>
                <w:rFonts w:asciiTheme="minorHAnsi" w:hAnsiTheme="minorHAnsi" w:cstheme="minorHAnsi"/>
                <w:i/>
                <w:iCs/>
                <w:sz w:val="18"/>
                <w:szCs w:val="18"/>
              </w:rPr>
              <w:lastRenderedPageBreak/>
              <w:t xml:space="preserve">2 </w:t>
            </w:r>
            <w:r w:rsidR="005150D2" w:rsidRPr="005150D2">
              <w:rPr>
                <w:rFonts w:asciiTheme="minorHAnsi" w:hAnsiTheme="minorHAnsi" w:cstheme="minorHAnsi"/>
                <w:b/>
                <w:bCs/>
                <w:i/>
                <w:iCs/>
                <w:sz w:val="18"/>
                <w:szCs w:val="18"/>
              </w:rPr>
              <w:t xml:space="preserve">Técnico/a Local en Recursos Hídricos y Apoyo </w:t>
            </w:r>
            <w:proofErr w:type="spellStart"/>
            <w:r w:rsidR="005150D2" w:rsidRPr="005150D2">
              <w:rPr>
                <w:rFonts w:asciiTheme="minorHAnsi" w:hAnsiTheme="minorHAnsi" w:cstheme="minorHAnsi"/>
                <w:b/>
                <w:bCs/>
                <w:i/>
                <w:iCs/>
                <w:sz w:val="18"/>
                <w:szCs w:val="18"/>
              </w:rPr>
              <w:t>Cartográfic</w:t>
            </w:r>
            <w:proofErr w:type="spellEnd"/>
          </w:p>
          <w:p w14:paraId="720DD991" w14:textId="6ECD3A8C"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1,794 / </w:t>
            </w:r>
            <w:r w:rsidRPr="006B39C0">
              <w:rPr>
                <w:rFonts w:asciiTheme="minorHAnsi" w:hAnsiTheme="minorHAnsi" w:cstheme="minorHAnsi"/>
                <w:i/>
                <w:iCs/>
                <w:sz w:val="18"/>
                <w:szCs w:val="18"/>
              </w:rPr>
              <w:t>Mes</w:t>
            </w:r>
          </w:p>
          <w:p w14:paraId="5D65C75D" w14:textId="319653F5" w:rsidR="1D9DC7A6" w:rsidRPr="006B39C0" w:rsidRDefault="1D9DC7A6" w:rsidP="00391502">
            <w:pPr>
              <w:spacing w:before="150" w:after="45"/>
              <w:rPr>
                <w:rFonts w:asciiTheme="minorHAnsi" w:hAnsiTheme="minorHAnsi" w:cstheme="minorHAnsi"/>
                <w:sz w:val="18"/>
                <w:szCs w:val="18"/>
              </w:rPr>
            </w:pPr>
          </w:p>
          <w:p w14:paraId="1546289D" w14:textId="198F9955"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14</w:t>
            </w:r>
          </w:p>
          <w:p w14:paraId="59C1A03D" w14:textId="3F7D8B2E"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38ECD6B" w14:textId="00A6D28F"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54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0E71B09" w14:textId="77777777" w:rsidR="005150D2" w:rsidRPr="005150D2" w:rsidRDefault="005150D2" w:rsidP="005150D2">
            <w:pPr>
              <w:jc w:val="both"/>
              <w:rPr>
                <w:rFonts w:asciiTheme="minorHAnsi" w:hAnsiTheme="minorHAnsi" w:cstheme="minorHAnsi"/>
                <w:i/>
                <w:iCs/>
                <w:sz w:val="18"/>
                <w:szCs w:val="18"/>
              </w:rPr>
            </w:pPr>
            <w:r w:rsidRPr="005150D2">
              <w:rPr>
                <w:rFonts w:asciiTheme="minorHAnsi" w:hAnsiTheme="minorHAnsi" w:cstheme="minorHAnsi"/>
                <w:i/>
                <w:iCs/>
                <w:sz w:val="18"/>
                <w:szCs w:val="18"/>
              </w:rPr>
              <w:t xml:space="preserve">Bajo la orientación del Coordinador del Proyecto, la supervisión directa de los Coordinadores Locales y la orientación técnica del Especialista en Manejo Forestal Sostenible (MFS) y Recursos Hídricos, el/la </w:t>
            </w:r>
            <w:r w:rsidRPr="005150D2">
              <w:rPr>
                <w:rFonts w:asciiTheme="minorHAnsi" w:hAnsiTheme="minorHAnsi" w:cstheme="minorHAnsi"/>
                <w:b/>
                <w:bCs/>
                <w:i/>
                <w:iCs/>
                <w:sz w:val="18"/>
                <w:szCs w:val="18"/>
              </w:rPr>
              <w:t>Técnico/a Local en Recursos Hídricos y Apoyo Cartográfic</w:t>
            </w:r>
            <w:r w:rsidRPr="005150D2">
              <w:rPr>
                <w:rFonts w:asciiTheme="minorHAnsi" w:hAnsiTheme="minorHAnsi" w:cstheme="minorHAnsi"/>
                <w:i/>
                <w:iCs/>
                <w:sz w:val="18"/>
                <w:szCs w:val="18"/>
              </w:rPr>
              <w:t>o será responsable de realizar actividades de monitoreo hidrológico y geoespacial, así como de gestión participativa de cuencas, contribuyendo a la implementación de estrategias de restauración, planificación hídrica y gobernanza territorial.</w:t>
            </w:r>
          </w:p>
          <w:p w14:paraId="5F163804" w14:textId="77777777" w:rsidR="005150D2" w:rsidRPr="005150D2" w:rsidRDefault="005150D2" w:rsidP="005150D2">
            <w:pPr>
              <w:jc w:val="both"/>
              <w:rPr>
                <w:rFonts w:asciiTheme="minorHAnsi" w:hAnsiTheme="minorHAnsi" w:cstheme="minorHAnsi"/>
                <w:i/>
                <w:iCs/>
                <w:sz w:val="18"/>
                <w:szCs w:val="18"/>
              </w:rPr>
            </w:pPr>
          </w:p>
          <w:p w14:paraId="3D04D3E1" w14:textId="44F7521F" w:rsidR="005150D2" w:rsidRPr="005150D2" w:rsidRDefault="005150D2" w:rsidP="005150D2">
            <w:pPr>
              <w:jc w:val="both"/>
              <w:rPr>
                <w:rFonts w:asciiTheme="minorHAnsi" w:hAnsiTheme="minorHAnsi" w:cstheme="minorHAnsi"/>
                <w:i/>
                <w:iCs/>
                <w:sz w:val="18"/>
                <w:szCs w:val="18"/>
              </w:rPr>
            </w:pPr>
            <w:r w:rsidRPr="005150D2">
              <w:rPr>
                <w:rFonts w:asciiTheme="minorHAnsi" w:hAnsiTheme="minorHAnsi" w:cstheme="minorHAnsi"/>
                <w:i/>
                <w:iCs/>
                <w:sz w:val="18"/>
                <w:szCs w:val="18"/>
              </w:rPr>
              <w:t>Roles y responsabilidades:</w:t>
            </w:r>
          </w:p>
          <w:p w14:paraId="7D412DA3"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Apoyar la implementación de acciones de gestión integral de los recursos hídricos en las unidades hidrográficas priorizadas, incluyendo el desarrollo de modelos de gestión de cuencas, planes de manejo de Áreas de Protección Hídrica (APH) y zonas de recarga.</w:t>
            </w:r>
          </w:p>
          <w:p w14:paraId="4880B5C8"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Realizar la recopilación, análisis y visualización de información geoespacial mediante el uso de Sistemas de Información Geográfica (SIG), para apoyar los procesos de planificación, restauración ecológica y ordenamiento territorial.</w:t>
            </w:r>
          </w:p>
          <w:p w14:paraId="0CCAA555"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Participar en la elaboración de diagnósticos hidrometeorológicos, balances hídricos, mapas de riesgo y zonificación hídrica, en coordinación con el MAE, INAMHI, los gobiernos locales y universidades aliadas.</w:t>
            </w:r>
          </w:p>
          <w:p w14:paraId="55356207"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Apoyar el diseño y la implementación del Plan de Monitoreo Comunitario y del Sistema de Alerta Temprana (SAT), incluyendo la recolección de datos sobre calidad del agua, caudal ambiental, cobertura forestal y uso del suelo.</w:t>
            </w:r>
          </w:p>
          <w:p w14:paraId="7BFE9090"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Capacitar a brigadas comunitarias y equipos locales en monitoreo ambiental, lectura de instrumentos, uso de tecnologías accesibles (bioindicadores, sensores) y aplicación de protocolos participativos.</w:t>
            </w:r>
          </w:p>
          <w:p w14:paraId="6FFCE556"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Facilitar talleres y procesos de diálogo comunitario para fortalecer la gobernanza del agua y la apropiación social de la gestión de cuencas, con énfasis en la participación de mujeres y pueblos indígenas.</w:t>
            </w:r>
          </w:p>
          <w:p w14:paraId="53F70C5A"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Brindar apoyo técnico para la formulación y el seguimiento de acuerdos de cogestión para la protección del agua y el manejo comunitario de bosques, en el marco del Componente 1 del proyecto.</w:t>
            </w:r>
          </w:p>
          <w:p w14:paraId="47A1B921"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Asegurar la integración de los resultados de monitoreo en el sistema de gestión del conocimiento del proyecto y en los informes del sistema de Monitoreo, Evaluación y Aprendizaje (MEL), contribuyendo al reporte de indicadores ambientales y sociales.</w:t>
            </w:r>
          </w:p>
          <w:p w14:paraId="2247F810" w14:textId="77777777" w:rsidR="005150D2" w:rsidRPr="005150D2" w:rsidRDefault="005150D2" w:rsidP="00EC2CBE">
            <w:pPr>
              <w:pStyle w:val="Prrafodelista"/>
              <w:numPr>
                <w:ilvl w:val="0"/>
                <w:numId w:val="102"/>
              </w:numPr>
              <w:jc w:val="both"/>
              <w:rPr>
                <w:rFonts w:asciiTheme="minorHAnsi" w:hAnsiTheme="minorHAnsi" w:cstheme="minorHAnsi"/>
                <w:i/>
                <w:iCs/>
                <w:sz w:val="18"/>
                <w:szCs w:val="18"/>
              </w:rPr>
            </w:pPr>
            <w:r w:rsidRPr="005150D2">
              <w:rPr>
                <w:rFonts w:asciiTheme="minorHAnsi" w:hAnsiTheme="minorHAnsi" w:cstheme="minorHAnsi"/>
                <w:i/>
                <w:iCs/>
                <w:sz w:val="18"/>
                <w:szCs w:val="18"/>
              </w:rPr>
              <w:t>Sistematizar información técnica, elaborar mapas temáticos y preparar informes periódicos que documenten avances, desafíos y recomendaciones en la gestión territorial del agua.</w:t>
            </w:r>
          </w:p>
          <w:p w14:paraId="150BA609" w14:textId="77777777" w:rsidR="1D9DC7A6" w:rsidRPr="005150D2" w:rsidRDefault="005150D2" w:rsidP="00EC2CBE">
            <w:pPr>
              <w:pStyle w:val="Prrafodelista"/>
              <w:numPr>
                <w:ilvl w:val="0"/>
                <w:numId w:val="102"/>
              </w:numPr>
              <w:jc w:val="both"/>
              <w:rPr>
                <w:rFonts w:asciiTheme="minorHAnsi" w:hAnsiTheme="minorHAnsi" w:cstheme="minorHAnsi"/>
                <w:sz w:val="18"/>
                <w:szCs w:val="18"/>
              </w:rPr>
            </w:pPr>
            <w:r w:rsidRPr="005150D2">
              <w:rPr>
                <w:rFonts w:asciiTheme="minorHAnsi" w:hAnsiTheme="minorHAnsi" w:cstheme="minorHAnsi"/>
                <w:i/>
                <w:iCs/>
                <w:sz w:val="18"/>
                <w:szCs w:val="18"/>
              </w:rPr>
              <w:t>Colaborar estrechamente con otros técnicos del proyecto (restauración, producción, SIG, comunicaciones) para asegurar la coherencia técnica y territorial de las acciones implementadas.</w:t>
            </w:r>
          </w:p>
          <w:p w14:paraId="1FE28748" w14:textId="77777777" w:rsidR="005150D2" w:rsidRDefault="005150D2" w:rsidP="005150D2">
            <w:pPr>
              <w:jc w:val="both"/>
              <w:rPr>
                <w:rFonts w:asciiTheme="minorHAnsi" w:hAnsiTheme="minorHAnsi" w:cstheme="minorHAnsi"/>
                <w:sz w:val="18"/>
                <w:szCs w:val="18"/>
              </w:rPr>
            </w:pPr>
          </w:p>
          <w:p w14:paraId="021EEF14" w14:textId="3E0445D2" w:rsidR="005150D2" w:rsidRPr="005150D2" w:rsidRDefault="005150D2" w:rsidP="005150D2">
            <w:pPr>
              <w:jc w:val="both"/>
              <w:rPr>
                <w:rFonts w:asciiTheme="minorHAnsi" w:hAnsiTheme="minorHAnsi" w:cstheme="minorHAnsi"/>
                <w:sz w:val="18"/>
                <w:szCs w:val="18"/>
              </w:rPr>
            </w:pPr>
          </w:p>
        </w:tc>
      </w:tr>
      <w:tr w:rsidR="1D9DC7A6" w:rsidRPr="006B39C0" w14:paraId="550C8F5F"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BC29DF6" w14:textId="24E62EA9" w:rsidR="1D9DC7A6" w:rsidRPr="006B39C0" w:rsidRDefault="1D9DC7A6" w:rsidP="005150D2">
            <w:pPr>
              <w:spacing w:before="135" w:after="45"/>
              <w:rPr>
                <w:rFonts w:asciiTheme="minorHAnsi" w:eastAsia="Helvetica" w:hAnsiTheme="minorHAnsi" w:cstheme="minorHAnsi"/>
                <w:i/>
                <w:iCs/>
                <w:sz w:val="18"/>
                <w:szCs w:val="18"/>
              </w:rPr>
            </w:pPr>
            <w:r w:rsidRPr="006B39C0">
              <w:rPr>
                <w:rFonts w:asciiTheme="minorHAnsi" w:eastAsia="Helvetica" w:hAnsiTheme="minorHAnsi" w:cstheme="minorHAnsi"/>
                <w:i/>
                <w:iCs/>
                <w:sz w:val="18"/>
                <w:szCs w:val="18"/>
              </w:rPr>
              <w:t xml:space="preserve">4 </w:t>
            </w:r>
            <w:r w:rsidR="005150D2" w:rsidRPr="005150D2">
              <w:rPr>
                <w:rFonts w:asciiTheme="minorHAnsi" w:hAnsiTheme="minorHAnsi" w:cstheme="minorHAnsi"/>
                <w:b/>
                <w:bCs/>
                <w:i/>
                <w:iCs/>
                <w:sz w:val="18"/>
                <w:szCs w:val="18"/>
              </w:rPr>
              <w:t xml:space="preserve">Asistente Técnico/a en Restauración Productiva y </w:t>
            </w:r>
            <w:r w:rsidR="005150D2" w:rsidRPr="005150D2">
              <w:rPr>
                <w:rFonts w:asciiTheme="minorHAnsi" w:hAnsiTheme="minorHAnsi" w:cstheme="minorHAnsi"/>
                <w:b/>
                <w:bCs/>
                <w:i/>
                <w:iCs/>
                <w:sz w:val="18"/>
                <w:szCs w:val="18"/>
              </w:rPr>
              <w:lastRenderedPageBreak/>
              <w:t>Manejo de la Tierra</w:t>
            </w:r>
          </w:p>
          <w:p w14:paraId="57B1D5F9" w14:textId="64D9ECAB" w:rsidR="1D9DC7A6" w:rsidRPr="006B39C0" w:rsidRDefault="1D9DC7A6" w:rsidP="00391502">
            <w:pPr>
              <w:spacing w:before="150" w:after="45"/>
              <w:jc w:val="both"/>
              <w:rPr>
                <w:rFonts w:asciiTheme="minorHAnsi" w:hAnsiTheme="minorHAnsi" w:cstheme="minorHAnsi"/>
                <w:sz w:val="18"/>
                <w:szCs w:val="18"/>
              </w:rPr>
            </w:pPr>
          </w:p>
          <w:p w14:paraId="3AA281E5" w14:textId="45FDA5D7"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1,447 / </w:t>
            </w:r>
            <w:r w:rsidRPr="006B39C0">
              <w:rPr>
                <w:rFonts w:asciiTheme="minorHAnsi" w:hAnsiTheme="minorHAnsi" w:cstheme="minorHAnsi"/>
                <w:i/>
                <w:iCs/>
                <w:sz w:val="18"/>
                <w:szCs w:val="18"/>
              </w:rPr>
              <w:t>Mes</w:t>
            </w:r>
          </w:p>
          <w:p w14:paraId="411DE4F8" w14:textId="6F4EA9DA" w:rsidR="1D9DC7A6" w:rsidRPr="006B39C0" w:rsidRDefault="1D9DC7A6" w:rsidP="00391502">
            <w:pPr>
              <w:spacing w:before="150" w:after="45"/>
              <w:rPr>
                <w:rFonts w:asciiTheme="minorHAnsi" w:hAnsiTheme="minorHAnsi" w:cstheme="minorHAnsi"/>
                <w:sz w:val="18"/>
                <w:szCs w:val="18"/>
              </w:rPr>
            </w:pPr>
          </w:p>
          <w:p w14:paraId="4B430E39" w14:textId="78FC6B16"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15</w:t>
            </w:r>
          </w:p>
          <w:p w14:paraId="06D74945" w14:textId="049F5283" w:rsidR="1D9DC7A6" w:rsidRPr="006B39C0" w:rsidRDefault="1D9DC7A6" w:rsidP="00391502">
            <w:pPr>
              <w:spacing w:before="150" w:after="45"/>
              <w:rPr>
                <w:rFonts w:asciiTheme="minorHAnsi" w:hAnsiTheme="minorHAnsi" w:cstheme="minorHAnsi"/>
                <w:sz w:val="18"/>
                <w:szCs w:val="18"/>
              </w:rPr>
            </w:pPr>
          </w:p>
          <w:p w14:paraId="699C7F21" w14:textId="20407EDD" w:rsidR="1D9DC7A6" w:rsidRPr="006B39C0" w:rsidRDefault="1D9DC7A6" w:rsidP="00391502">
            <w:pPr>
              <w:spacing w:before="150" w:after="45"/>
              <w:jc w:val="both"/>
              <w:rPr>
                <w:rFonts w:asciiTheme="minorHAnsi" w:hAnsiTheme="minorHAnsi" w:cstheme="minorHAnsi"/>
                <w:sz w:val="18"/>
                <w:szCs w:val="18"/>
              </w:rPr>
            </w:pPr>
          </w:p>
          <w:p w14:paraId="6CA38D6F" w14:textId="2C77B704" w:rsidR="1D9DC7A6" w:rsidRPr="006B39C0" w:rsidRDefault="1D9DC7A6" w:rsidP="00391502">
            <w:pPr>
              <w:spacing w:before="150" w:after="45"/>
              <w:jc w:val="both"/>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2060FD2" w14:textId="5F06E1F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42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p w14:paraId="11BD0957" w14:textId="04094CF3" w:rsidR="1D9DC7A6" w:rsidRPr="006B39C0" w:rsidRDefault="1D9DC7A6" w:rsidP="00391502">
            <w:pPr>
              <w:spacing w:before="150" w:after="45"/>
              <w:jc w:val="both"/>
              <w:rPr>
                <w:rFonts w:asciiTheme="minorHAnsi" w:hAnsiTheme="minorHAnsi" w:cstheme="minorHAnsi"/>
                <w:sz w:val="18"/>
                <w:szCs w:val="18"/>
              </w:rPr>
            </w:pPr>
          </w:p>
          <w:p w14:paraId="0C53F8A7" w14:textId="162A491C" w:rsidR="1D9DC7A6" w:rsidRPr="006B39C0" w:rsidRDefault="1D9DC7A6" w:rsidP="00391502">
            <w:pPr>
              <w:spacing w:before="150" w:after="45"/>
              <w:jc w:val="both"/>
              <w:rPr>
                <w:rFonts w:asciiTheme="minorHAnsi" w:hAnsiTheme="minorHAnsi" w:cstheme="minorHAnsi"/>
                <w:sz w:val="18"/>
                <w:szCs w:val="18"/>
              </w:rPr>
            </w:pPr>
          </w:p>
          <w:p w14:paraId="4EFB3A84" w14:textId="74F21D9A" w:rsidR="1D9DC7A6" w:rsidRPr="006B39C0" w:rsidRDefault="1D9DC7A6" w:rsidP="00391502">
            <w:pPr>
              <w:spacing w:before="150" w:after="45"/>
              <w:jc w:val="both"/>
              <w:rPr>
                <w:rFonts w:asciiTheme="minorHAnsi" w:hAnsiTheme="minorHAnsi" w:cstheme="minorHAnsi"/>
                <w:sz w:val="18"/>
                <w:szCs w:val="18"/>
              </w:rPr>
            </w:pP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BA9B5D6" w14:textId="77777777" w:rsidR="005150D2" w:rsidRPr="005150D2" w:rsidRDefault="005150D2" w:rsidP="005150D2">
            <w:pPr>
              <w:jc w:val="both"/>
              <w:rPr>
                <w:rFonts w:asciiTheme="minorHAnsi" w:hAnsiTheme="minorHAnsi" w:cstheme="minorHAnsi"/>
                <w:i/>
                <w:iCs/>
                <w:sz w:val="18"/>
                <w:szCs w:val="18"/>
              </w:rPr>
            </w:pPr>
            <w:r w:rsidRPr="005150D2">
              <w:rPr>
                <w:rFonts w:asciiTheme="minorHAnsi" w:hAnsiTheme="minorHAnsi" w:cstheme="minorHAnsi"/>
                <w:i/>
                <w:iCs/>
                <w:sz w:val="18"/>
                <w:szCs w:val="18"/>
              </w:rPr>
              <w:lastRenderedPageBreak/>
              <w:t xml:space="preserve">Bajo la orientación del Coordinador del Proyecto, la supervisión directa de los Coordinadores Locales y en coordinación técnica con el Especialista en Producción Sostenible y Bioeconomía, el/la </w:t>
            </w:r>
            <w:r w:rsidRPr="005150D2">
              <w:rPr>
                <w:rFonts w:asciiTheme="minorHAnsi" w:hAnsiTheme="minorHAnsi" w:cstheme="minorHAnsi"/>
                <w:b/>
                <w:bCs/>
                <w:i/>
                <w:iCs/>
                <w:sz w:val="18"/>
                <w:szCs w:val="18"/>
              </w:rPr>
              <w:t>Asistente Técnico/a en Restauración Productiva y Manejo de la Tierra</w:t>
            </w:r>
            <w:r w:rsidRPr="005150D2">
              <w:rPr>
                <w:rFonts w:asciiTheme="minorHAnsi" w:hAnsiTheme="minorHAnsi" w:cstheme="minorHAnsi"/>
                <w:i/>
                <w:iCs/>
                <w:sz w:val="18"/>
                <w:szCs w:val="18"/>
              </w:rPr>
              <w:t xml:space="preserve"> será responsable de implementar en territorio actividades relacionadas con la restauración ecológica, el manejo forestal sostenible, la producción agroecológica y el desarrollo de bioemprendimientos, en estrecha colaboración con comunidades locales, pueblos indígenas, gobiernos locales y otros actores clave.</w:t>
            </w:r>
          </w:p>
          <w:p w14:paraId="23D6F8FF" w14:textId="77777777" w:rsidR="005150D2" w:rsidRPr="005150D2" w:rsidRDefault="005150D2" w:rsidP="005150D2">
            <w:pPr>
              <w:jc w:val="both"/>
              <w:rPr>
                <w:rFonts w:asciiTheme="minorHAnsi" w:hAnsiTheme="minorHAnsi" w:cstheme="minorHAnsi"/>
                <w:i/>
                <w:iCs/>
                <w:sz w:val="18"/>
                <w:szCs w:val="18"/>
              </w:rPr>
            </w:pPr>
          </w:p>
          <w:p w14:paraId="28B1A3E4" w14:textId="3F686AD3" w:rsidR="005150D2" w:rsidRPr="005150D2" w:rsidRDefault="005150D2" w:rsidP="005150D2">
            <w:pPr>
              <w:jc w:val="both"/>
              <w:rPr>
                <w:rFonts w:asciiTheme="minorHAnsi" w:hAnsiTheme="minorHAnsi" w:cstheme="minorHAnsi"/>
                <w:i/>
                <w:iCs/>
                <w:sz w:val="18"/>
                <w:szCs w:val="18"/>
              </w:rPr>
            </w:pPr>
            <w:r w:rsidRPr="005150D2">
              <w:rPr>
                <w:rFonts w:asciiTheme="minorHAnsi" w:hAnsiTheme="minorHAnsi" w:cstheme="minorHAnsi"/>
                <w:i/>
                <w:iCs/>
                <w:sz w:val="18"/>
                <w:szCs w:val="18"/>
              </w:rPr>
              <w:t>Roles y responsabilidades:</w:t>
            </w:r>
          </w:p>
          <w:p w14:paraId="41E930CE"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lastRenderedPageBreak/>
              <w:t>Implementar acciones de restauración productiva y ecológica en fincas, áreas degradadas y ecosistemas estratégicos, utilizando enfoques participativos, técnicas adecuadas al contexto y especies nativas.</w:t>
            </w:r>
          </w:p>
          <w:p w14:paraId="2A02138C"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Apoyar la formulación e implementación de planes de manejo forestal sostenible (PMFS), incluyendo componentes de productos forestales maderables y no maderables (PFNM), regeneración natural asistida y manejo silvopastoril.</w:t>
            </w:r>
          </w:p>
          <w:p w14:paraId="2CB4AAFE"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Apoyar la adopción de prácticas agroecológicas, la diversificación productiva y modelos de producción sostenible con enfoque de resiliencia climática, en coherencia con los contenidos del Componente 2.</w:t>
            </w:r>
          </w:p>
          <w:p w14:paraId="2A10908A"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Fortalecer capacidades locales mediante la facilitación de talleres, escuelas de campo, prácticas demostrativas y asistencia técnica continua a productores, asociaciones comunitarias y brigadas juveniles.</w:t>
            </w:r>
          </w:p>
          <w:p w14:paraId="5885D5CC"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Promover y brindar asistencia técnica para la implementación de bioemprendimientos liderados por mujeres y jóvenes, en coherencia con los Planes de Vida de los pueblos indígenas y el Plan de Acción de Género (PAG).</w:t>
            </w:r>
          </w:p>
          <w:p w14:paraId="2167E0E2"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Apoyar la recopilación de información técnica, productiva, ambiental y social para alimentar los sistemas de monitoreo del proyecto, incluido el Plan de Monitoreo Comunitario y el Sistema de Alerta Temprana (SAT).</w:t>
            </w:r>
          </w:p>
          <w:p w14:paraId="292AF58D"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proofErr w:type="gramStart"/>
            <w:r w:rsidRPr="005150D2">
              <w:rPr>
                <w:rFonts w:asciiTheme="minorHAnsi" w:hAnsiTheme="minorHAnsi" w:cstheme="minorHAnsi"/>
                <w:i/>
                <w:iCs/>
                <w:sz w:val="18"/>
                <w:szCs w:val="18"/>
              </w:rPr>
              <w:t>Asegurar</w:t>
            </w:r>
            <w:proofErr w:type="gramEnd"/>
            <w:r w:rsidRPr="005150D2">
              <w:rPr>
                <w:rFonts w:asciiTheme="minorHAnsi" w:hAnsiTheme="minorHAnsi" w:cstheme="minorHAnsi"/>
                <w:i/>
                <w:iCs/>
                <w:sz w:val="18"/>
                <w:szCs w:val="18"/>
              </w:rPr>
              <w:t xml:space="preserve"> que las acciones de restauración y producción estén alineadas con las políticas y normativas vigentes y articuladas con los instrumentos de planificación territorial (PDOT, PUGS, PVI, entre otros).</w:t>
            </w:r>
          </w:p>
          <w:p w14:paraId="701AE595"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 xml:space="preserve">Coordinar con promotores y facilitadores comunitarios para garantizar la </w:t>
            </w:r>
            <w:proofErr w:type="gramStart"/>
            <w:r w:rsidRPr="005150D2">
              <w:rPr>
                <w:rFonts w:asciiTheme="minorHAnsi" w:hAnsiTheme="minorHAnsi" w:cstheme="minorHAnsi"/>
                <w:i/>
                <w:iCs/>
                <w:sz w:val="18"/>
                <w:szCs w:val="18"/>
              </w:rPr>
              <w:t>participación activa</w:t>
            </w:r>
            <w:proofErr w:type="gramEnd"/>
            <w:r w:rsidRPr="005150D2">
              <w:rPr>
                <w:rFonts w:asciiTheme="minorHAnsi" w:hAnsiTheme="minorHAnsi" w:cstheme="minorHAnsi"/>
                <w:i/>
                <w:iCs/>
                <w:sz w:val="18"/>
                <w:szCs w:val="18"/>
              </w:rPr>
              <w:t>, informada e inclusiva de los actores locales, respetando la cosmovisión y las formas de organización de los pueblos indígenas.</w:t>
            </w:r>
          </w:p>
          <w:p w14:paraId="52E66A48" w14:textId="77777777" w:rsidR="005150D2"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Colaborar con universidades, ONG y otras organizaciones aliadas en procesos de investigación aplicada, monitoreo participativo y validación de modelos sostenibles replicables.</w:t>
            </w:r>
          </w:p>
          <w:p w14:paraId="6D0FF9FD" w14:textId="77777777" w:rsidR="1D9DC7A6" w:rsidRPr="005150D2" w:rsidRDefault="005150D2" w:rsidP="00EC2CBE">
            <w:pPr>
              <w:pStyle w:val="Prrafodelista"/>
              <w:numPr>
                <w:ilvl w:val="0"/>
                <w:numId w:val="103"/>
              </w:numPr>
              <w:jc w:val="both"/>
              <w:rPr>
                <w:rFonts w:asciiTheme="minorHAnsi" w:hAnsiTheme="minorHAnsi" w:cstheme="minorHAnsi"/>
                <w:i/>
                <w:iCs/>
                <w:sz w:val="18"/>
                <w:szCs w:val="18"/>
              </w:rPr>
            </w:pPr>
            <w:r w:rsidRPr="005150D2">
              <w:rPr>
                <w:rFonts w:asciiTheme="minorHAnsi" w:hAnsiTheme="minorHAnsi" w:cstheme="minorHAnsi"/>
                <w:i/>
                <w:iCs/>
                <w:sz w:val="18"/>
                <w:szCs w:val="18"/>
              </w:rPr>
              <w:t>Elaborar informes técnicos periódicos (mensuales y trimestrales) sobre el avance en campo, documentando buenas prácticas, resultados, desafíos y recomendaciones para la mejora continua.</w:t>
            </w:r>
          </w:p>
          <w:p w14:paraId="3BCEAE30" w14:textId="77777777" w:rsidR="005150D2" w:rsidRDefault="005150D2" w:rsidP="005150D2">
            <w:pPr>
              <w:jc w:val="both"/>
              <w:rPr>
                <w:rFonts w:asciiTheme="minorHAnsi" w:hAnsiTheme="minorHAnsi" w:cstheme="minorHAnsi"/>
                <w:sz w:val="18"/>
                <w:szCs w:val="18"/>
              </w:rPr>
            </w:pPr>
          </w:p>
          <w:p w14:paraId="00331DC0" w14:textId="6C882E63" w:rsidR="005150D2" w:rsidRPr="005150D2" w:rsidRDefault="005150D2" w:rsidP="005150D2">
            <w:pPr>
              <w:jc w:val="both"/>
              <w:rPr>
                <w:rFonts w:asciiTheme="minorHAnsi" w:hAnsiTheme="minorHAnsi" w:cstheme="minorHAnsi"/>
                <w:sz w:val="18"/>
                <w:szCs w:val="18"/>
              </w:rPr>
            </w:pPr>
          </w:p>
        </w:tc>
      </w:tr>
      <w:tr w:rsidR="1D9DC7A6" w:rsidRPr="006B39C0" w14:paraId="700FC479"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8DF49D9" w14:textId="5188CD43" w:rsidR="1D9DC7A6" w:rsidRPr="006B39C0" w:rsidRDefault="1D9DC7A6" w:rsidP="00391502">
            <w:pPr>
              <w:spacing w:before="135" w:after="45"/>
              <w:rPr>
                <w:rFonts w:asciiTheme="minorHAnsi" w:eastAsia="Helvetica" w:hAnsiTheme="minorHAnsi" w:cstheme="minorHAnsi"/>
                <w:i/>
                <w:iCs/>
                <w:sz w:val="18"/>
                <w:szCs w:val="18"/>
              </w:rPr>
            </w:pPr>
            <w:r w:rsidRPr="006B39C0">
              <w:rPr>
                <w:rFonts w:asciiTheme="minorHAnsi" w:eastAsia="Helvetica" w:hAnsiTheme="minorHAnsi" w:cstheme="minorHAnsi"/>
                <w:i/>
                <w:iCs/>
                <w:sz w:val="18"/>
                <w:szCs w:val="18"/>
              </w:rPr>
              <w:lastRenderedPageBreak/>
              <w:t>(2)</w:t>
            </w:r>
            <w:r w:rsidR="005150D2">
              <w:rPr>
                <w:rFonts w:asciiTheme="minorHAnsi" w:eastAsia="Helvetica" w:hAnsiTheme="minorHAnsi" w:cstheme="minorHAnsi"/>
                <w:i/>
                <w:iCs/>
                <w:sz w:val="18"/>
                <w:szCs w:val="18"/>
              </w:rPr>
              <w:t xml:space="preserve"> </w:t>
            </w:r>
            <w:r w:rsidR="005150D2" w:rsidRPr="005150D2">
              <w:rPr>
                <w:rFonts w:asciiTheme="minorHAnsi" w:hAnsiTheme="minorHAnsi" w:cstheme="minorHAnsi"/>
                <w:b/>
                <w:bCs/>
                <w:i/>
                <w:iCs/>
                <w:sz w:val="18"/>
                <w:szCs w:val="18"/>
              </w:rPr>
              <w:t>Facilitador/a Técnico/a para la Implementación de Subvenciones de Bajo Valor (SBV</w:t>
            </w:r>
            <w:r w:rsidRPr="006B39C0">
              <w:rPr>
                <w:rFonts w:asciiTheme="minorHAnsi" w:eastAsia="Helvetica" w:hAnsiTheme="minorHAnsi" w:cstheme="minorHAnsi"/>
                <w:i/>
                <w:iCs/>
                <w:sz w:val="18"/>
                <w:szCs w:val="18"/>
              </w:rPr>
              <w:t>)</w:t>
            </w:r>
          </w:p>
          <w:p w14:paraId="4F1F9E9B" w14:textId="1D8C20F3" w:rsidR="1D9DC7A6" w:rsidRPr="006B39C0" w:rsidRDefault="1D9DC7A6" w:rsidP="00391502">
            <w:pPr>
              <w:spacing w:before="135" w:after="45"/>
              <w:rPr>
                <w:rFonts w:asciiTheme="minorHAnsi" w:hAnsiTheme="minorHAnsi" w:cstheme="minorHAnsi"/>
                <w:sz w:val="18"/>
                <w:szCs w:val="18"/>
              </w:rPr>
            </w:pPr>
          </w:p>
          <w:p w14:paraId="41E47762" w14:textId="7F835343"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1,447 / </w:t>
            </w:r>
            <w:r w:rsidRPr="006B39C0">
              <w:rPr>
                <w:rFonts w:asciiTheme="minorHAnsi" w:hAnsiTheme="minorHAnsi" w:cstheme="minorHAnsi"/>
                <w:i/>
                <w:iCs/>
                <w:sz w:val="18"/>
                <w:szCs w:val="18"/>
              </w:rPr>
              <w:t>Mes</w:t>
            </w:r>
          </w:p>
          <w:p w14:paraId="70023749" w14:textId="1F2A0284" w:rsidR="1D9DC7A6" w:rsidRPr="006B39C0" w:rsidRDefault="1D9DC7A6" w:rsidP="00391502">
            <w:pPr>
              <w:spacing w:before="150" w:after="45"/>
              <w:rPr>
                <w:rFonts w:asciiTheme="minorHAnsi" w:hAnsiTheme="minorHAnsi" w:cstheme="minorHAnsi"/>
                <w:sz w:val="18"/>
                <w:szCs w:val="18"/>
              </w:rPr>
            </w:pPr>
          </w:p>
          <w:p w14:paraId="555838AC" w14:textId="08A7F83A"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16</w:t>
            </w:r>
          </w:p>
          <w:p w14:paraId="682FF2ED" w14:textId="1CAAC4B4" w:rsidR="1D9DC7A6" w:rsidRPr="006B39C0" w:rsidRDefault="1D9DC7A6" w:rsidP="00391502">
            <w:pPr>
              <w:spacing w:before="150" w:after="45"/>
              <w:rPr>
                <w:rFonts w:asciiTheme="minorHAnsi" w:hAnsiTheme="minorHAnsi" w:cstheme="minorHAnsi"/>
                <w:sz w:val="18"/>
                <w:szCs w:val="18"/>
              </w:rPr>
            </w:pPr>
          </w:p>
          <w:p w14:paraId="7D713227" w14:textId="3C21FF1F" w:rsidR="1D9DC7A6" w:rsidRPr="006B39C0" w:rsidRDefault="1D9DC7A6" w:rsidP="00391502">
            <w:pPr>
              <w:spacing w:before="135"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E4C5513" w14:textId="5769AD86"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54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588009F" w14:textId="77777777" w:rsidR="005150D2" w:rsidRPr="005150D2" w:rsidRDefault="005150D2" w:rsidP="005150D2">
            <w:pPr>
              <w:rPr>
                <w:rFonts w:asciiTheme="minorHAnsi" w:hAnsiTheme="minorHAnsi" w:cstheme="minorHAnsi"/>
                <w:i/>
                <w:iCs/>
                <w:sz w:val="18"/>
                <w:szCs w:val="18"/>
              </w:rPr>
            </w:pPr>
            <w:r w:rsidRPr="005150D2">
              <w:rPr>
                <w:rFonts w:asciiTheme="minorHAnsi" w:hAnsiTheme="minorHAnsi" w:cstheme="minorHAnsi"/>
                <w:i/>
                <w:iCs/>
                <w:sz w:val="18"/>
                <w:szCs w:val="18"/>
              </w:rPr>
              <w:t xml:space="preserve">Bajo la orientación y supervisión del Coordinador del Proyecto, del Responsable Administrativo y Financiero, de los Coordinadores Territoriales en Napo y Sucumbíos, del Especialista Senior en Bioeconomía y Producción Responsable y del Especialista en Manejo Forestal Sostenible y Gestión de Cuencas, el/la </w:t>
            </w:r>
            <w:r w:rsidRPr="005150D2">
              <w:rPr>
                <w:rFonts w:asciiTheme="minorHAnsi" w:hAnsiTheme="minorHAnsi" w:cstheme="minorHAnsi"/>
                <w:b/>
                <w:bCs/>
                <w:i/>
                <w:iCs/>
                <w:sz w:val="18"/>
                <w:szCs w:val="18"/>
              </w:rPr>
              <w:t>Facilitador/a Técnico/a para la Implementación de Subvenciones de Bajo Valor (SBV</w:t>
            </w:r>
            <w:r w:rsidRPr="005150D2">
              <w:rPr>
                <w:rFonts w:asciiTheme="minorHAnsi" w:hAnsiTheme="minorHAnsi" w:cstheme="minorHAnsi"/>
                <w:i/>
                <w:iCs/>
                <w:sz w:val="18"/>
                <w:szCs w:val="18"/>
              </w:rPr>
              <w:t>) será responsable de brindar apoyo técnico, logístico y administrativo para la implementación eficiente y transparente de las Subvenciones de Bajo Valor (SBV) en los paisajes priorizados. Este puesto garantiza que las actividades financiadas mediante subvenciones estén alineadas con los objetivos del proyecto, sean técnicamente viables y promuevan la participación efectiva de los actores locales. Este rol es central para la entrega de soluciones sostenibles en las áreas de producción responsable, restauración, conservación de la biodiversidad y manejo forestal sostenible.</w:t>
            </w:r>
          </w:p>
          <w:p w14:paraId="6799E40F" w14:textId="77777777" w:rsidR="005150D2" w:rsidRPr="005150D2" w:rsidRDefault="005150D2" w:rsidP="005150D2">
            <w:pPr>
              <w:rPr>
                <w:rFonts w:asciiTheme="minorHAnsi" w:hAnsiTheme="minorHAnsi" w:cstheme="minorHAnsi"/>
                <w:i/>
                <w:iCs/>
                <w:sz w:val="18"/>
                <w:szCs w:val="18"/>
              </w:rPr>
            </w:pPr>
          </w:p>
          <w:p w14:paraId="0D8CA0A4" w14:textId="08BD7764" w:rsidR="005150D2" w:rsidRPr="005150D2" w:rsidRDefault="005150D2" w:rsidP="005150D2">
            <w:pPr>
              <w:rPr>
                <w:rFonts w:asciiTheme="minorHAnsi" w:hAnsiTheme="minorHAnsi" w:cstheme="minorHAnsi"/>
                <w:i/>
                <w:iCs/>
                <w:sz w:val="18"/>
                <w:szCs w:val="18"/>
              </w:rPr>
            </w:pPr>
            <w:r w:rsidRPr="005150D2">
              <w:rPr>
                <w:rFonts w:asciiTheme="minorHAnsi" w:hAnsiTheme="minorHAnsi" w:cstheme="minorHAnsi"/>
                <w:i/>
                <w:iCs/>
                <w:sz w:val="18"/>
                <w:szCs w:val="18"/>
              </w:rPr>
              <w:t>Roles y responsabilidades:</w:t>
            </w:r>
          </w:p>
          <w:p w14:paraId="66FB74FD"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Brindar asistencia técnica a los beneficiarios de las SBV en el diseño, planificación e implementación de actividades relacionadas con la producción sostenible, la restauración, la conservación y el manejo forestal, en coherencia con los objetivos estratégicos del proyecto.</w:t>
            </w:r>
          </w:p>
          <w:p w14:paraId="57C3FDB4"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Apoyar la validación técnica y la evaluación de factibilidad de las actividades propuestas en el marco de las subvenciones, asegurando su alineación con las prioridades territoriales y su pertinencia cultural.</w:t>
            </w:r>
          </w:p>
          <w:p w14:paraId="14E8BC88"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Coordinar con los equipos técnicos y administrativos de la Unidad de Gestión del Proyecto (UGP) para asegurar que la implementación de las subvenciones cumpla con los procedimientos financieros, técnicos y logísticos establecidos.</w:t>
            </w:r>
          </w:p>
          <w:p w14:paraId="3F957497"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Facilitar procesos participativos para la identificación de iniciativas impulsadas por las comunidades y el fortalecimiento de capacidades locales para su ejecución.</w:t>
            </w:r>
          </w:p>
          <w:p w14:paraId="63A68DC2"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lastRenderedPageBreak/>
              <w:t>Realizar visitas de campo para dar seguimiento a las actividades financiadas, identificar desafíos de implementación y proponer acciones correctivas cuando sea necesario.</w:t>
            </w:r>
          </w:p>
          <w:p w14:paraId="07994191"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Preparar insumos técnicos y borradores de informes de avance relacionados con la implementación de las SBV, en coordinación con los beneficiarios y socios del proyecto.</w:t>
            </w:r>
          </w:p>
          <w:p w14:paraId="1D751558"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Sistematizar las lecciones aprendidas, buenas prácticas y desafíos derivados de la implementación de las SBV, alimentando el sistema de gestión del conocimiento del proyecto.</w:t>
            </w:r>
          </w:p>
          <w:p w14:paraId="2FC09741"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Asegurar la integración de los enfoques de género, interculturalidad y sostenibilidad ambiental en todas las actividades apoyadas mediante subvenciones.</w:t>
            </w:r>
          </w:p>
          <w:p w14:paraId="0A775AA1"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Coordinar la adquisición y entrega de insumos, la logística para la implementación en campo y la organización de talleres y eventos de fortalecimiento de capacidades.</w:t>
            </w:r>
          </w:p>
          <w:p w14:paraId="1FDC86F1" w14:textId="77777777" w:rsidR="005150D2"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Mantener una coordinación activa con los Coordinadores Territoriales, los Especialistas temáticos y el equipo administrativo-financiero, para asegurar una implementación integrada y coherente.</w:t>
            </w:r>
          </w:p>
          <w:p w14:paraId="40F8C475" w14:textId="77777777" w:rsidR="1D9DC7A6" w:rsidRPr="005150D2" w:rsidRDefault="005150D2" w:rsidP="00EC2CBE">
            <w:pPr>
              <w:pStyle w:val="Prrafodelista"/>
              <w:numPr>
                <w:ilvl w:val="0"/>
                <w:numId w:val="104"/>
              </w:numPr>
              <w:rPr>
                <w:rFonts w:asciiTheme="minorHAnsi" w:hAnsiTheme="minorHAnsi" w:cstheme="minorHAnsi"/>
                <w:i/>
                <w:iCs/>
                <w:sz w:val="18"/>
                <w:szCs w:val="18"/>
              </w:rPr>
            </w:pPr>
            <w:r w:rsidRPr="005150D2">
              <w:rPr>
                <w:rFonts w:asciiTheme="minorHAnsi" w:hAnsiTheme="minorHAnsi" w:cstheme="minorHAnsi"/>
                <w:i/>
                <w:iCs/>
                <w:sz w:val="18"/>
                <w:szCs w:val="18"/>
              </w:rPr>
              <w:t>Contribuir a la justificación técnica y a la documentación requerida para los informes dirigidos a socios estratégicos, donantes y contrapartes institucionales.</w:t>
            </w:r>
          </w:p>
          <w:p w14:paraId="5EAA2BAB" w14:textId="77777777" w:rsidR="005150D2" w:rsidRDefault="005150D2" w:rsidP="005150D2">
            <w:pPr>
              <w:rPr>
                <w:rFonts w:asciiTheme="minorHAnsi" w:hAnsiTheme="minorHAnsi" w:cstheme="minorHAnsi"/>
                <w:i/>
                <w:iCs/>
                <w:sz w:val="18"/>
                <w:szCs w:val="18"/>
              </w:rPr>
            </w:pPr>
          </w:p>
          <w:p w14:paraId="2B420CF8" w14:textId="6A3184B8" w:rsidR="005150D2" w:rsidRPr="005150D2" w:rsidRDefault="005150D2" w:rsidP="005150D2">
            <w:pPr>
              <w:rPr>
                <w:rFonts w:asciiTheme="minorHAnsi" w:hAnsiTheme="minorHAnsi" w:cstheme="minorHAnsi"/>
                <w:sz w:val="18"/>
                <w:szCs w:val="18"/>
              </w:rPr>
            </w:pPr>
          </w:p>
        </w:tc>
      </w:tr>
      <w:tr w:rsidR="1D9DC7A6" w:rsidRPr="006B39C0" w14:paraId="0E23E6CA"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65775EB" w14:textId="5E87B029"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4 </w:t>
            </w:r>
            <w:r w:rsidR="006A1806" w:rsidRPr="006A1806">
              <w:rPr>
                <w:rFonts w:asciiTheme="minorHAnsi" w:hAnsiTheme="minorHAnsi" w:cstheme="minorHAnsi"/>
                <w:b/>
                <w:bCs/>
                <w:i/>
                <w:iCs/>
                <w:sz w:val="18"/>
                <w:szCs w:val="18"/>
              </w:rPr>
              <w:t>Promotor/a Territorial de Apoyo Comunitario</w:t>
            </w:r>
          </w:p>
          <w:p w14:paraId="762626C5" w14:textId="72106FD3" w:rsidR="1D9DC7A6" w:rsidRPr="006B39C0" w:rsidRDefault="1D9DC7A6" w:rsidP="00391502">
            <w:pPr>
              <w:spacing w:before="150" w:after="45"/>
              <w:rPr>
                <w:rFonts w:asciiTheme="minorHAnsi" w:hAnsiTheme="minorHAnsi" w:cstheme="minorHAnsi"/>
                <w:sz w:val="18"/>
                <w:szCs w:val="18"/>
              </w:rPr>
            </w:pPr>
          </w:p>
          <w:p w14:paraId="4893F876" w14:textId="5A48F6BB"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1,167 / </w:t>
            </w:r>
            <w:r w:rsidRPr="006B39C0">
              <w:rPr>
                <w:rFonts w:asciiTheme="minorHAnsi" w:hAnsiTheme="minorHAnsi" w:cstheme="minorHAnsi"/>
                <w:i/>
                <w:iCs/>
                <w:sz w:val="18"/>
                <w:szCs w:val="18"/>
              </w:rPr>
              <w:t>Mes</w:t>
            </w:r>
          </w:p>
          <w:p w14:paraId="105A5FA5" w14:textId="69151DE8" w:rsidR="1D9DC7A6" w:rsidRPr="006B39C0" w:rsidRDefault="1D9DC7A6" w:rsidP="00391502">
            <w:pPr>
              <w:spacing w:before="150" w:after="45"/>
              <w:rPr>
                <w:rFonts w:asciiTheme="minorHAnsi" w:hAnsiTheme="minorHAnsi" w:cstheme="minorHAnsi"/>
                <w:sz w:val="18"/>
                <w:szCs w:val="18"/>
              </w:rPr>
            </w:pPr>
          </w:p>
          <w:p w14:paraId="499CAA9C" w14:textId="742BFEDE"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17</w:t>
            </w:r>
          </w:p>
          <w:p w14:paraId="749F8A13" w14:textId="14B21020" w:rsidR="1D9DC7A6" w:rsidRPr="006B39C0" w:rsidRDefault="1D9DC7A6" w:rsidP="00391502">
            <w:pPr>
              <w:spacing w:before="150" w:after="45"/>
              <w:rPr>
                <w:rFonts w:asciiTheme="minorHAnsi" w:hAnsiTheme="minorHAnsi" w:cstheme="minorHAnsi"/>
                <w:sz w:val="18"/>
                <w:szCs w:val="18"/>
              </w:rPr>
            </w:pPr>
          </w:p>
          <w:p w14:paraId="54CB2DB4" w14:textId="3420320C" w:rsidR="1D9DC7A6" w:rsidRPr="006B39C0" w:rsidRDefault="1D9DC7A6" w:rsidP="00391502">
            <w:pPr>
              <w:spacing w:before="150" w:after="45"/>
              <w:rPr>
                <w:rFonts w:asciiTheme="minorHAnsi" w:hAnsiTheme="minorHAnsi" w:cstheme="minorHAnsi"/>
                <w:sz w:val="18"/>
                <w:szCs w:val="18"/>
              </w:rPr>
            </w:pPr>
          </w:p>
          <w:p w14:paraId="18D464FB" w14:textId="06B53696" w:rsidR="1D9DC7A6" w:rsidRPr="006B39C0" w:rsidRDefault="1D9DC7A6" w:rsidP="00391502">
            <w:pPr>
              <w:spacing w:before="135"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9E7CA91" w14:textId="126AD30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54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0B1C51B"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 xml:space="preserve">Bajo la orientación del Coordinador del Proyecto, la supervisión de los Coordinadores Locales y en estrecha coordinación con los Especialistas del Componente 2 (Restauración y Producción Sostenible) y del Componente 3 (Finanzas Verdes y Mercados), el/la </w:t>
            </w:r>
            <w:r w:rsidRPr="006A1806">
              <w:rPr>
                <w:rFonts w:asciiTheme="minorHAnsi" w:hAnsiTheme="minorHAnsi" w:cstheme="minorHAnsi"/>
                <w:b/>
                <w:bCs/>
                <w:i/>
                <w:iCs/>
                <w:sz w:val="18"/>
                <w:szCs w:val="18"/>
              </w:rPr>
              <w:t>Promotor/a Territorial de Apoyo Comunitario</w:t>
            </w:r>
            <w:r w:rsidRPr="006A1806">
              <w:rPr>
                <w:rFonts w:asciiTheme="minorHAnsi" w:hAnsiTheme="minorHAnsi" w:cstheme="minorHAnsi"/>
                <w:i/>
                <w:iCs/>
                <w:sz w:val="18"/>
                <w:szCs w:val="18"/>
              </w:rPr>
              <w:t xml:space="preserve"> desempeñará un papel clave en la provisión de apoyo social y técnico para la implementación territorial de las acciones del proyecto, con un enfoque participativo, intercultural y de equidad.</w:t>
            </w:r>
          </w:p>
          <w:p w14:paraId="30588535" w14:textId="77777777" w:rsidR="006A1806" w:rsidRPr="006A1806" w:rsidRDefault="006A1806" w:rsidP="006A1806">
            <w:pPr>
              <w:jc w:val="both"/>
              <w:rPr>
                <w:rFonts w:asciiTheme="minorHAnsi" w:hAnsiTheme="minorHAnsi" w:cstheme="minorHAnsi"/>
                <w:i/>
                <w:iCs/>
                <w:sz w:val="18"/>
                <w:szCs w:val="18"/>
              </w:rPr>
            </w:pPr>
          </w:p>
          <w:p w14:paraId="6EE39BCF" w14:textId="0C839E31"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Roles y responsabilidades:</w:t>
            </w:r>
          </w:p>
          <w:p w14:paraId="2CDD4FE8"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Brindar apoyo continuo a comunidades, pueblos indígenas, asociaciones y grupos de mujeres en la implementación de prácticas de producción sostenible, restauración ecológica, conservación de recursos naturales y manejo forestal con fines de desarrollo comunitario.</w:t>
            </w:r>
          </w:p>
          <w:p w14:paraId="414F4CED"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Facilitar procesos de diálogo, planificación participativa, validación comunitaria y seguimiento de actividades en territorio, garantizando la apropiación social de los objetivos del proyecto y el respeto a la cosmovisión local.</w:t>
            </w:r>
          </w:p>
          <w:p w14:paraId="1A46EB2E"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Proporcionar apoyo técnico y organizativo para actividades de capacitación, intercambio de experiencias, instalación de viveros, desarrollo de bioemprendimientos, monitoreo ambiental y acciones de restauración productiva.</w:t>
            </w:r>
          </w:p>
          <w:p w14:paraId="2DB8F757"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 xml:space="preserve">Promover la </w:t>
            </w:r>
            <w:proofErr w:type="gramStart"/>
            <w:r w:rsidRPr="006A1806">
              <w:rPr>
                <w:rFonts w:asciiTheme="minorHAnsi" w:hAnsiTheme="minorHAnsi" w:cstheme="minorHAnsi"/>
                <w:i/>
                <w:iCs/>
                <w:sz w:val="18"/>
                <w:szCs w:val="18"/>
              </w:rPr>
              <w:t>participación activa</w:t>
            </w:r>
            <w:proofErr w:type="gramEnd"/>
            <w:r w:rsidRPr="006A1806">
              <w:rPr>
                <w:rFonts w:asciiTheme="minorHAnsi" w:hAnsiTheme="minorHAnsi" w:cstheme="minorHAnsi"/>
                <w:i/>
                <w:iCs/>
                <w:sz w:val="18"/>
                <w:szCs w:val="18"/>
              </w:rPr>
              <w:t xml:space="preserve"> de mujeres, jóvenes, personas adultas mayores y otros grupos en situación de vulnerabilidad, asegurando que sus voces sean incorporadas en los espacios de gobernanza, planificación y toma de decisiones.</w:t>
            </w:r>
          </w:p>
          <w:p w14:paraId="2BF57DDA"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Colaborar con los técnicos locales para fortalecer capacidades locales, implementar metodologías accesibles y adaptar los contenidos técnicos a los contextos socioculturales de cada comunidad.</w:t>
            </w:r>
          </w:p>
          <w:p w14:paraId="03E9E559"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Sistematizar testimonios, prácticas, aprendizajes comunitarios y evidencias de transformación en medios de vida, organización y resiliencia territorial.</w:t>
            </w:r>
          </w:p>
          <w:p w14:paraId="3F102FF2"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Apoyar la recolección de datos comunitarios para los sistemas de monitoreo del proyecto (Plan de Monitoreo Comunitario, Sistema de Alerta Temprana – SAT, y MEL), respetando los principios de consentimiento libre, previo e informado.</w:t>
            </w:r>
          </w:p>
          <w:p w14:paraId="6B0C1B9F"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Fortalecer la coordinación entre comunidades y gobiernos locales (GAD), asegurando que las acciones del proyecto se articulen con los Planes de Vida, PDOT, PUGS y otros instrumentos locales de planificación.</w:t>
            </w:r>
          </w:p>
          <w:p w14:paraId="4A8C9241" w14:textId="77777777" w:rsidR="006A1806" w:rsidRPr="006A1806" w:rsidRDefault="006A1806" w:rsidP="00EC2CBE">
            <w:pPr>
              <w:pStyle w:val="Prrafodelista"/>
              <w:numPr>
                <w:ilvl w:val="0"/>
                <w:numId w:val="105"/>
              </w:numPr>
              <w:jc w:val="both"/>
              <w:rPr>
                <w:rFonts w:asciiTheme="minorHAnsi" w:hAnsiTheme="minorHAnsi" w:cstheme="minorHAnsi"/>
                <w:i/>
                <w:iCs/>
                <w:sz w:val="18"/>
                <w:szCs w:val="18"/>
              </w:rPr>
            </w:pPr>
            <w:r w:rsidRPr="006A1806">
              <w:rPr>
                <w:rFonts w:asciiTheme="minorHAnsi" w:hAnsiTheme="minorHAnsi" w:cstheme="minorHAnsi"/>
                <w:i/>
                <w:iCs/>
                <w:sz w:val="18"/>
                <w:szCs w:val="18"/>
              </w:rPr>
              <w:t>Apoyar la implementación de proyectos productivos y mecanismos de financiamiento impulsados por mujeres y jóvenes, en coordinación con los especialistas en bioeconomía, mercados y género.</w:t>
            </w:r>
          </w:p>
          <w:p w14:paraId="500B4565" w14:textId="79CCFB7B" w:rsidR="006A1806" w:rsidRPr="006A1806" w:rsidRDefault="006A1806" w:rsidP="00EC2CBE">
            <w:pPr>
              <w:pStyle w:val="Prrafodelista"/>
              <w:numPr>
                <w:ilvl w:val="0"/>
                <w:numId w:val="105"/>
              </w:numPr>
              <w:jc w:val="both"/>
              <w:rPr>
                <w:rFonts w:asciiTheme="minorHAnsi" w:hAnsiTheme="minorHAnsi" w:cstheme="minorHAnsi"/>
                <w:sz w:val="18"/>
                <w:szCs w:val="18"/>
              </w:rPr>
            </w:pPr>
            <w:r w:rsidRPr="006A1806">
              <w:rPr>
                <w:rFonts w:asciiTheme="minorHAnsi" w:hAnsiTheme="minorHAnsi" w:cstheme="minorHAnsi"/>
                <w:i/>
                <w:iCs/>
                <w:sz w:val="18"/>
                <w:szCs w:val="18"/>
              </w:rPr>
              <w:lastRenderedPageBreak/>
              <w:t>Reportar periódicamente al equipo técnico sobre avances, logros, alertas y desafíos identificados en el territorio, proponiendo soluciones basadas en una gestión territorial colaborativa y participativa.</w:t>
            </w:r>
          </w:p>
        </w:tc>
      </w:tr>
      <w:tr w:rsidR="1D9DC7A6" w:rsidRPr="006B39C0" w14:paraId="2864DF66"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91B025F" w14:textId="3203B018" w:rsidR="1D9DC7A6" w:rsidRPr="006B39C0" w:rsidRDefault="1D9DC7A6" w:rsidP="00391502">
            <w:pPr>
              <w:spacing w:before="150" w:after="45"/>
              <w:jc w:val="both"/>
              <w:rPr>
                <w:rFonts w:asciiTheme="minorHAnsi" w:hAnsiTheme="minorHAnsi" w:cstheme="minorHAnsi"/>
                <w:b/>
                <w:bCs/>
                <w:i/>
                <w:iCs/>
                <w:sz w:val="18"/>
                <w:szCs w:val="18"/>
              </w:rPr>
            </w:pPr>
            <w:r w:rsidRPr="006B39C0">
              <w:rPr>
                <w:rFonts w:asciiTheme="minorHAnsi" w:hAnsiTheme="minorHAnsi" w:cstheme="minorHAnsi"/>
                <w:b/>
                <w:bCs/>
                <w:i/>
                <w:iCs/>
                <w:sz w:val="18"/>
                <w:szCs w:val="18"/>
              </w:rPr>
              <w:lastRenderedPageBreak/>
              <w:t>Component</w:t>
            </w:r>
            <w:r w:rsidR="004F711B">
              <w:rPr>
                <w:rFonts w:asciiTheme="minorHAnsi" w:hAnsiTheme="minorHAnsi" w:cstheme="minorHAnsi"/>
                <w:b/>
                <w:bCs/>
                <w:i/>
                <w:iCs/>
                <w:sz w:val="18"/>
                <w:szCs w:val="18"/>
              </w:rPr>
              <w:t>e</w:t>
            </w:r>
            <w:r w:rsidRPr="006B39C0">
              <w:rPr>
                <w:rFonts w:asciiTheme="minorHAnsi" w:hAnsiTheme="minorHAnsi" w:cstheme="minorHAnsi"/>
                <w:b/>
                <w:bCs/>
                <w:i/>
                <w:iCs/>
                <w:sz w:val="18"/>
                <w:szCs w:val="18"/>
              </w:rPr>
              <w:t xml:space="preserve"> 3</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F636CE9" w14:textId="7EEF6FFF" w:rsidR="1D9DC7A6" w:rsidRPr="006B39C0" w:rsidRDefault="1D9DC7A6" w:rsidP="00391502">
            <w:pPr>
              <w:spacing w:before="150" w:after="45"/>
              <w:jc w:val="both"/>
              <w:rPr>
                <w:rFonts w:asciiTheme="minorHAnsi" w:hAnsiTheme="minorHAnsi" w:cstheme="minorHAnsi"/>
                <w:sz w:val="18"/>
                <w:szCs w:val="18"/>
              </w:rPr>
            </w:pP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414AA96" w14:textId="59BCB85B" w:rsidR="1D9DC7A6" w:rsidRPr="006B39C0" w:rsidRDefault="1D9DC7A6" w:rsidP="00391502">
            <w:pPr>
              <w:spacing w:before="150" w:after="45"/>
              <w:jc w:val="both"/>
              <w:rPr>
                <w:rFonts w:asciiTheme="minorHAnsi" w:hAnsiTheme="minorHAnsi" w:cstheme="minorHAnsi"/>
                <w:sz w:val="18"/>
                <w:szCs w:val="18"/>
              </w:rPr>
            </w:pPr>
          </w:p>
        </w:tc>
      </w:tr>
      <w:tr w:rsidR="1D9DC7A6" w:rsidRPr="006B39C0" w14:paraId="45A3EB2F"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079CD9D" w14:textId="1018F69D" w:rsidR="1D9DC7A6" w:rsidRPr="006B39C0" w:rsidRDefault="1D9DC7A6" w:rsidP="00391502">
            <w:pPr>
              <w:spacing w:before="150" w:after="150"/>
              <w:rPr>
                <w:rFonts w:asciiTheme="minorHAnsi" w:hAnsiTheme="minorHAnsi" w:cstheme="minorHAnsi"/>
                <w:i/>
                <w:iCs/>
                <w:sz w:val="18"/>
                <w:szCs w:val="18"/>
              </w:rPr>
            </w:pPr>
            <w:r w:rsidRPr="006B39C0">
              <w:rPr>
                <w:rFonts w:asciiTheme="minorHAnsi" w:hAnsiTheme="minorHAnsi" w:cstheme="minorHAnsi"/>
                <w:i/>
                <w:iCs/>
                <w:sz w:val="18"/>
                <w:szCs w:val="18"/>
              </w:rPr>
              <w:t xml:space="preserve">1 </w:t>
            </w:r>
            <w:r w:rsidR="006A1806" w:rsidRPr="006A1806">
              <w:rPr>
                <w:rFonts w:asciiTheme="minorHAnsi" w:hAnsiTheme="minorHAnsi" w:cstheme="minorHAnsi"/>
                <w:b/>
                <w:bCs/>
                <w:i/>
                <w:iCs/>
                <w:sz w:val="18"/>
                <w:szCs w:val="18"/>
              </w:rPr>
              <w:t>Especialista en Financiamiento Climático y Mercados Sostenibles</w:t>
            </w:r>
          </w:p>
          <w:p w14:paraId="63397793" w14:textId="68440489" w:rsidR="1D9DC7A6" w:rsidRPr="006B39C0" w:rsidRDefault="1D9DC7A6" w:rsidP="00391502">
            <w:pPr>
              <w:spacing w:before="150" w:after="45"/>
              <w:jc w:val="both"/>
              <w:rPr>
                <w:rFonts w:asciiTheme="minorHAnsi" w:hAnsiTheme="minorHAnsi" w:cstheme="minorHAnsi"/>
                <w:sz w:val="18"/>
                <w:szCs w:val="18"/>
              </w:rPr>
            </w:pPr>
          </w:p>
          <w:p w14:paraId="153E8716" w14:textId="1E0AC3B7" w:rsidR="1D9DC7A6" w:rsidRPr="006B39C0" w:rsidRDefault="00970E5E" w:rsidP="00EF57B7">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00EF57B7">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USD</w:t>
            </w:r>
            <w:r w:rsidR="00EF57B7">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2,412.00</w:t>
            </w:r>
            <w:r w:rsidR="00EF57B7">
              <w:rPr>
                <w:rFonts w:asciiTheme="minorHAnsi" w:hAnsiTheme="minorHAnsi" w:cstheme="minorHAnsi"/>
                <w:i/>
                <w:iCs/>
                <w:sz w:val="18"/>
                <w:szCs w:val="18"/>
              </w:rPr>
              <w:t xml:space="preserve"> </w:t>
            </w:r>
            <w:r w:rsidR="1D9DC7A6" w:rsidRPr="006B39C0">
              <w:rPr>
                <w:rFonts w:asciiTheme="minorHAnsi" w:hAnsiTheme="minorHAnsi" w:cstheme="minorHAnsi"/>
                <w:i/>
                <w:iCs/>
                <w:sz w:val="18"/>
                <w:szCs w:val="18"/>
              </w:rPr>
              <w:t>/</w:t>
            </w:r>
            <w:r w:rsidRPr="006B39C0">
              <w:rPr>
                <w:rFonts w:asciiTheme="minorHAnsi" w:hAnsiTheme="minorHAnsi" w:cstheme="minorHAnsi"/>
                <w:i/>
                <w:iCs/>
                <w:sz w:val="18"/>
                <w:szCs w:val="18"/>
              </w:rPr>
              <w:t>Mes</w:t>
            </w:r>
          </w:p>
          <w:p w14:paraId="20007EE5" w14:textId="3DE3753E" w:rsidR="1D9DC7A6" w:rsidRPr="006B39C0" w:rsidRDefault="1D9DC7A6" w:rsidP="00391502">
            <w:pPr>
              <w:spacing w:before="150" w:after="45"/>
              <w:jc w:val="both"/>
              <w:rPr>
                <w:rFonts w:asciiTheme="minorHAnsi" w:hAnsiTheme="minorHAnsi" w:cstheme="minorHAnsi"/>
                <w:sz w:val="18"/>
                <w:szCs w:val="18"/>
              </w:rPr>
            </w:pPr>
          </w:p>
          <w:p w14:paraId="020E9E70" w14:textId="07D7B067"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18</w:t>
            </w:r>
          </w:p>
          <w:p w14:paraId="131361F8" w14:textId="61AFFF32" w:rsidR="1D9DC7A6" w:rsidRPr="006B39C0" w:rsidRDefault="1D9DC7A6" w:rsidP="00391502">
            <w:pPr>
              <w:spacing w:before="150" w:after="45"/>
              <w:jc w:val="both"/>
              <w:rPr>
                <w:rFonts w:asciiTheme="minorHAnsi" w:hAnsiTheme="minorHAnsi" w:cstheme="minorHAnsi"/>
                <w:sz w:val="18"/>
                <w:szCs w:val="18"/>
              </w:rPr>
            </w:pPr>
          </w:p>
          <w:p w14:paraId="38DB5641" w14:textId="5D5606E4" w:rsidR="1D9DC7A6" w:rsidRPr="006B39C0" w:rsidRDefault="1D9DC7A6" w:rsidP="00391502">
            <w:pPr>
              <w:spacing w:before="150" w:after="45"/>
              <w:jc w:val="both"/>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E505951" w14:textId="212E9CA1"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36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78D1142"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 xml:space="preserve">Bajo la orientación y supervisión del Coordinador del Proyecto, el/la </w:t>
            </w:r>
            <w:r w:rsidRPr="006A1806">
              <w:rPr>
                <w:rFonts w:asciiTheme="minorHAnsi" w:hAnsiTheme="minorHAnsi" w:cstheme="minorHAnsi"/>
                <w:b/>
                <w:bCs/>
                <w:i/>
                <w:iCs/>
                <w:sz w:val="18"/>
                <w:szCs w:val="18"/>
              </w:rPr>
              <w:t>Especialista en Financiamiento Climático y Mercados Sostenibles</w:t>
            </w:r>
            <w:r w:rsidRPr="006A1806">
              <w:rPr>
                <w:rFonts w:asciiTheme="minorHAnsi" w:hAnsiTheme="minorHAnsi" w:cstheme="minorHAnsi"/>
                <w:i/>
                <w:iCs/>
                <w:sz w:val="18"/>
                <w:szCs w:val="18"/>
              </w:rPr>
              <w:t xml:space="preserve"> será responsable de liderar el diseño y la implementación de estrategias para el acceso al financiamiento climático, el escalamiento de bioemprendimientos comunitarios y el desarrollo de mercados sostenibles, con un enfoque de género, resiliencia climática y sostenibilidad financiera.</w:t>
            </w:r>
          </w:p>
          <w:p w14:paraId="3C4662A7" w14:textId="77777777" w:rsidR="006A1806" w:rsidRPr="006A1806" w:rsidRDefault="006A1806" w:rsidP="006A1806">
            <w:pPr>
              <w:jc w:val="both"/>
              <w:rPr>
                <w:rFonts w:asciiTheme="minorHAnsi" w:hAnsiTheme="minorHAnsi" w:cstheme="minorHAnsi"/>
                <w:i/>
                <w:iCs/>
                <w:sz w:val="18"/>
                <w:szCs w:val="18"/>
              </w:rPr>
            </w:pPr>
          </w:p>
          <w:p w14:paraId="59DBECB0" w14:textId="7218CB91"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Roles y responsabilidades:</w:t>
            </w:r>
          </w:p>
          <w:p w14:paraId="4BAB8F3D"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Diseñar e implementar una estrategia de financiamiento sostenible que articule mecanismos innovadores (Fondo Rotatorio Verde, pagos por servicios ecosistémicos, incentivos climáticos, créditos verdes), asegurando su viabilidad técnica, financiera y social.</w:t>
            </w:r>
          </w:p>
          <w:p w14:paraId="0FA2EEC1"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Coordinar con actores clave (PNUD, BIOFIN, CONAFIPS, BanEcuador, CTEA, FODESNA y el sector privado) para facilitar el acceso del proyecto y de sus beneficiarios a recursos financieros públicos y privados, tanto nacionales como internacionales.</w:t>
            </w:r>
          </w:p>
          <w:p w14:paraId="78AE228C"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Apoyar la estructuración y operación de programas financieros dirigidos a mujeres, pueblos indígenas y jóvenes, garantizando la aplicación de enfoques de equidad, inclusión y corresponsabilidad comunitaria.</w:t>
            </w:r>
          </w:p>
          <w:p w14:paraId="4B705D27"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Fortalecer las capacidades técnicas y financieras de gobiernos locales, comunidades y organizaciones de base en planificación financiera, educación económica, formulación de propuestas e inversión responsable.</w:t>
            </w:r>
          </w:p>
          <w:p w14:paraId="30B28A98"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Apoyar el diseño de proyectos e iniciativas de bioeconomía, agroecología y restauración sostenible con potencial de acceso a mercados diferenciados, certificaciones de sostenibilidad y alianzas de comercio justo.</w:t>
            </w:r>
          </w:p>
          <w:p w14:paraId="4C7BB280"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Coordinar la estrategia de financiamiento con los instrumentos de planificación territorial y los Planes de Vida indígenas, asegurando coherencia con los productos 1.1.2, 1.1.3 y 3.1.3 del proyecto.</w:t>
            </w:r>
          </w:p>
          <w:p w14:paraId="407BA4B4"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Promover el desarrollo de cadenas de valor sostenibles para productos forestales no maderables (PFNM), sistemas agroforestales como las chakras y productos con potencial de comercialización diferenciada.</w:t>
            </w:r>
          </w:p>
          <w:p w14:paraId="626A5CD0"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Coordinar con el/la Técnico/a de Diseño de Proyectos y Movilización de Recursos para identificar fuentes de financiamiento, preparar propuestas y gestionar alianzas estratégicas.</w:t>
            </w:r>
          </w:p>
          <w:p w14:paraId="25778615" w14:textId="77777777" w:rsidR="006A180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Sistematizar experiencias exitosas en financiamiento verde y acceso a mercados sostenibles, contribuyendo al escalamiento, la sostenibilidad y la estrategia de gestión del conocimiento del proyecto.</w:t>
            </w:r>
          </w:p>
          <w:p w14:paraId="7BC3014C" w14:textId="77777777" w:rsidR="1D9DC7A6" w:rsidRPr="006A1806" w:rsidRDefault="006A1806" w:rsidP="006A1806">
            <w:pPr>
              <w:jc w:val="both"/>
              <w:rPr>
                <w:rFonts w:asciiTheme="minorHAnsi" w:hAnsiTheme="minorHAnsi" w:cstheme="minorHAnsi"/>
                <w:i/>
                <w:iCs/>
                <w:sz w:val="18"/>
                <w:szCs w:val="18"/>
              </w:rPr>
            </w:pPr>
            <w:r w:rsidRPr="006A1806">
              <w:rPr>
                <w:rFonts w:asciiTheme="minorHAnsi" w:hAnsiTheme="minorHAnsi" w:cstheme="minorHAnsi"/>
                <w:i/>
                <w:iCs/>
                <w:sz w:val="18"/>
                <w:szCs w:val="18"/>
              </w:rPr>
              <w:t>Participar en espacios de coordinación interinstitucional, mesas técnicas y foros nacionales o regionales, representando al proyecto y promoviendo sus resultados en financiamiento climático y bioeconomía.</w:t>
            </w:r>
          </w:p>
          <w:p w14:paraId="720EDA47" w14:textId="77777777" w:rsidR="006A1806" w:rsidRDefault="006A1806" w:rsidP="006A1806">
            <w:pPr>
              <w:jc w:val="both"/>
              <w:rPr>
                <w:rFonts w:asciiTheme="minorHAnsi" w:hAnsiTheme="minorHAnsi" w:cstheme="minorHAnsi"/>
                <w:sz w:val="18"/>
                <w:szCs w:val="18"/>
              </w:rPr>
            </w:pPr>
          </w:p>
          <w:p w14:paraId="1B776EB5" w14:textId="755FAA65" w:rsidR="006A1806" w:rsidRPr="006A1806" w:rsidRDefault="006A1806" w:rsidP="006A1806">
            <w:pPr>
              <w:jc w:val="both"/>
              <w:rPr>
                <w:rFonts w:asciiTheme="minorHAnsi" w:hAnsiTheme="minorHAnsi" w:cstheme="minorHAnsi"/>
                <w:sz w:val="18"/>
                <w:szCs w:val="18"/>
              </w:rPr>
            </w:pPr>
          </w:p>
        </w:tc>
      </w:tr>
      <w:tr w:rsidR="1D9DC7A6" w:rsidRPr="006B39C0" w14:paraId="5D2315A1"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B2EB894" w14:textId="5ACA6B6F" w:rsidR="1D9DC7A6" w:rsidRPr="006B39C0" w:rsidRDefault="1D9DC7A6" w:rsidP="00391502">
            <w:pPr>
              <w:spacing w:before="150" w:after="45"/>
              <w:jc w:val="both"/>
              <w:rPr>
                <w:rFonts w:asciiTheme="minorHAnsi" w:hAnsiTheme="minorHAnsi" w:cstheme="minorHAnsi"/>
                <w:b/>
                <w:bCs/>
                <w:i/>
                <w:iCs/>
                <w:sz w:val="18"/>
                <w:szCs w:val="18"/>
              </w:rPr>
            </w:pPr>
            <w:r w:rsidRPr="006B39C0">
              <w:rPr>
                <w:rFonts w:asciiTheme="minorHAnsi" w:hAnsiTheme="minorHAnsi" w:cstheme="minorHAnsi"/>
                <w:b/>
                <w:bCs/>
                <w:i/>
                <w:iCs/>
                <w:sz w:val="18"/>
                <w:szCs w:val="18"/>
              </w:rPr>
              <w:t>Component</w:t>
            </w:r>
            <w:r w:rsidR="00EF57B7">
              <w:rPr>
                <w:rFonts w:asciiTheme="minorHAnsi" w:hAnsiTheme="minorHAnsi" w:cstheme="minorHAnsi"/>
                <w:b/>
                <w:bCs/>
                <w:i/>
                <w:iCs/>
                <w:sz w:val="18"/>
                <w:szCs w:val="18"/>
              </w:rPr>
              <w:t>e</w:t>
            </w:r>
            <w:r w:rsidRPr="006B39C0">
              <w:rPr>
                <w:rFonts w:asciiTheme="minorHAnsi" w:hAnsiTheme="minorHAnsi" w:cstheme="minorHAnsi"/>
                <w:b/>
                <w:bCs/>
                <w:i/>
                <w:iCs/>
                <w:sz w:val="18"/>
                <w:szCs w:val="18"/>
              </w:rPr>
              <w:t xml:space="preserve"> 4</w:t>
            </w:r>
          </w:p>
        </w:tc>
        <w:tc>
          <w:tcPr>
            <w:tcW w:w="1605" w:type="dxa"/>
            <w:vAlign w:val="center"/>
          </w:tcPr>
          <w:p w14:paraId="28D52591" w14:textId="65CF48E9" w:rsidR="1D9DC7A6" w:rsidRPr="006B39C0" w:rsidRDefault="1D9DC7A6">
            <w:pPr>
              <w:rPr>
                <w:rFonts w:asciiTheme="minorHAnsi" w:hAnsiTheme="minorHAnsi" w:cstheme="minorHAnsi"/>
                <w:sz w:val="18"/>
                <w:szCs w:val="18"/>
              </w:rPr>
            </w:pPr>
          </w:p>
        </w:tc>
        <w:tc>
          <w:tcPr>
            <w:tcW w:w="11235" w:type="dxa"/>
            <w:vAlign w:val="center"/>
          </w:tcPr>
          <w:p w14:paraId="5C0326B2" w14:textId="5BC0B34E" w:rsidR="1D9DC7A6" w:rsidRPr="006B39C0" w:rsidRDefault="1D9DC7A6">
            <w:pPr>
              <w:rPr>
                <w:rFonts w:asciiTheme="minorHAnsi" w:hAnsiTheme="minorHAnsi" w:cstheme="minorHAnsi"/>
                <w:sz w:val="18"/>
                <w:szCs w:val="18"/>
              </w:rPr>
            </w:pPr>
          </w:p>
        </w:tc>
      </w:tr>
      <w:tr w:rsidR="1D9DC7A6" w:rsidRPr="006B39C0" w14:paraId="7F85715B"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224B4E1" w14:textId="670E6616" w:rsidR="1D9DC7A6" w:rsidRPr="006B39C0" w:rsidRDefault="00EF57B7" w:rsidP="00391502">
            <w:pPr>
              <w:spacing w:before="150" w:after="45"/>
              <w:rPr>
                <w:rFonts w:asciiTheme="minorHAnsi" w:hAnsiTheme="minorHAnsi" w:cstheme="minorHAnsi"/>
                <w:sz w:val="18"/>
                <w:szCs w:val="18"/>
              </w:rPr>
            </w:pPr>
            <w:r w:rsidRPr="00EF57B7">
              <w:rPr>
                <w:rFonts w:asciiTheme="minorHAnsi" w:hAnsiTheme="minorHAnsi" w:cstheme="minorHAnsi"/>
                <w:b/>
                <w:bCs/>
                <w:i/>
                <w:iCs/>
                <w:sz w:val="18"/>
                <w:szCs w:val="18"/>
              </w:rPr>
              <w:t>Coordinador/a de Gestión del Conocimiento y Aprendizaje</w:t>
            </w:r>
          </w:p>
          <w:p w14:paraId="0D396356" w14:textId="569E579E"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2,412 / </w:t>
            </w:r>
            <w:r w:rsidRPr="006B39C0">
              <w:rPr>
                <w:rFonts w:asciiTheme="minorHAnsi" w:hAnsiTheme="minorHAnsi" w:cstheme="minorHAnsi"/>
                <w:i/>
                <w:iCs/>
                <w:sz w:val="18"/>
                <w:szCs w:val="18"/>
              </w:rPr>
              <w:t>Mes</w:t>
            </w:r>
          </w:p>
          <w:p w14:paraId="250B101B" w14:textId="5F260BC8" w:rsidR="1D9DC7A6" w:rsidRPr="006B39C0" w:rsidRDefault="1D9DC7A6" w:rsidP="00391502">
            <w:pPr>
              <w:spacing w:before="150" w:after="45"/>
              <w:rPr>
                <w:rFonts w:asciiTheme="minorHAnsi" w:hAnsiTheme="minorHAnsi" w:cstheme="minorHAnsi"/>
                <w:sz w:val="18"/>
                <w:szCs w:val="18"/>
              </w:rPr>
            </w:pPr>
          </w:p>
          <w:p w14:paraId="7F4C88E1" w14:textId="577D4433"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19</w:t>
            </w:r>
          </w:p>
          <w:p w14:paraId="199B9678" w14:textId="46CFDB68" w:rsidR="1D9DC7A6" w:rsidRPr="006B39C0" w:rsidRDefault="1D9DC7A6" w:rsidP="00391502">
            <w:pPr>
              <w:spacing w:before="150" w:after="45"/>
              <w:rPr>
                <w:rFonts w:asciiTheme="minorHAnsi" w:hAnsiTheme="minorHAnsi" w:cstheme="minorHAnsi"/>
                <w:sz w:val="18"/>
                <w:szCs w:val="18"/>
              </w:rPr>
            </w:pPr>
          </w:p>
          <w:p w14:paraId="531C7162" w14:textId="432624EA" w:rsidR="652B211E" w:rsidRPr="006B39C0" w:rsidRDefault="652B211E" w:rsidP="00391502">
            <w:pPr>
              <w:spacing w:before="150" w:after="45"/>
              <w:rPr>
                <w:rFonts w:asciiTheme="minorHAnsi" w:hAnsiTheme="minorHAnsi" w:cstheme="minorHAnsi"/>
                <w:sz w:val="18"/>
                <w:szCs w:val="18"/>
              </w:rPr>
            </w:pPr>
            <w:r w:rsidRPr="006B39C0">
              <w:rPr>
                <w:rFonts w:asciiTheme="minorHAnsi" w:hAnsiTheme="minorHAnsi" w:cstheme="minorHAnsi"/>
                <w:sz w:val="18"/>
                <w:szCs w:val="18"/>
              </w:rPr>
              <w:tab/>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E73C778" w14:textId="4B8622EF"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C636CFB" w14:textId="77777777" w:rsidR="00EF57B7" w:rsidRPr="00EF57B7" w:rsidRDefault="00EF57B7" w:rsidP="00EF57B7">
            <w:pPr>
              <w:jc w:val="both"/>
              <w:rPr>
                <w:rFonts w:asciiTheme="minorHAnsi" w:hAnsiTheme="minorHAnsi" w:cstheme="minorHAnsi"/>
                <w:i/>
                <w:iCs/>
                <w:sz w:val="18"/>
                <w:szCs w:val="18"/>
              </w:rPr>
            </w:pPr>
            <w:r w:rsidRPr="00EF57B7">
              <w:rPr>
                <w:rFonts w:asciiTheme="minorHAnsi" w:hAnsiTheme="minorHAnsi" w:cstheme="minorHAnsi"/>
                <w:i/>
                <w:iCs/>
                <w:sz w:val="18"/>
                <w:szCs w:val="18"/>
              </w:rPr>
              <w:t xml:space="preserve">Bajo la orientación y supervisión del Coordinador del Proyecto, el/la </w:t>
            </w:r>
            <w:r w:rsidRPr="00EF57B7">
              <w:rPr>
                <w:rFonts w:asciiTheme="minorHAnsi" w:hAnsiTheme="minorHAnsi" w:cstheme="minorHAnsi"/>
                <w:b/>
                <w:bCs/>
                <w:i/>
                <w:iCs/>
                <w:sz w:val="18"/>
                <w:szCs w:val="18"/>
              </w:rPr>
              <w:t>Coordinador/a de Gestión del Conocimiento y Aprendizaje</w:t>
            </w:r>
            <w:r w:rsidRPr="00EF57B7">
              <w:rPr>
                <w:rFonts w:asciiTheme="minorHAnsi" w:hAnsiTheme="minorHAnsi" w:cstheme="minorHAnsi"/>
                <w:i/>
                <w:iCs/>
                <w:sz w:val="18"/>
                <w:szCs w:val="18"/>
              </w:rPr>
              <w:t xml:space="preserve"> será responsable de liderar el diseño, la implementación y la operacionalización de la estrategia integral de gestión del conocimiento del proyecto, asegurando su alineación con los enfoques de género, interculturalidad, sostenibilidad y gobernanza inclusiva que orientan la intervención en la cuenca del río Napo.</w:t>
            </w:r>
          </w:p>
          <w:p w14:paraId="2418221B" w14:textId="77777777" w:rsidR="00EF57B7" w:rsidRDefault="00EF57B7" w:rsidP="00EF57B7">
            <w:pPr>
              <w:jc w:val="both"/>
              <w:rPr>
                <w:rFonts w:asciiTheme="minorHAnsi" w:hAnsiTheme="minorHAnsi" w:cstheme="minorHAnsi"/>
                <w:i/>
                <w:iCs/>
                <w:sz w:val="18"/>
                <w:szCs w:val="18"/>
              </w:rPr>
            </w:pPr>
          </w:p>
          <w:p w14:paraId="2D589B92" w14:textId="6DFD28EE" w:rsidR="00EF57B7" w:rsidRPr="00EF57B7" w:rsidRDefault="00EF57B7" w:rsidP="00EF57B7">
            <w:pPr>
              <w:jc w:val="both"/>
              <w:rPr>
                <w:rFonts w:asciiTheme="minorHAnsi" w:hAnsiTheme="minorHAnsi" w:cstheme="minorHAnsi"/>
                <w:i/>
                <w:iCs/>
                <w:sz w:val="18"/>
                <w:szCs w:val="18"/>
              </w:rPr>
            </w:pPr>
            <w:r w:rsidRPr="00EF57B7">
              <w:rPr>
                <w:rFonts w:asciiTheme="minorHAnsi" w:hAnsiTheme="minorHAnsi" w:cstheme="minorHAnsi"/>
                <w:i/>
                <w:iCs/>
                <w:sz w:val="18"/>
                <w:szCs w:val="18"/>
              </w:rPr>
              <w:t>Roles y responsabilidades:</w:t>
            </w:r>
          </w:p>
          <w:p w14:paraId="3B550755"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Diseñar e implementar la estrategia de gestión del conocimiento, garantizando su integración transversal en todos los componentes del proyecto y su alineación con las prioridades del FMAM, el MAE y el PNUD.</w:t>
            </w:r>
          </w:p>
          <w:p w14:paraId="480712CF"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lastRenderedPageBreak/>
              <w:t>Coordinar la recopilación, sistematización, análisis y difusión de la información generada por el proyecto (técnica, ambiental, social, de género, climática y financiera), facilitando su uso en la toma de decisiones, la planificación territorial y la formulación de políticas públicas.</w:t>
            </w:r>
          </w:p>
          <w:p w14:paraId="52695B40"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Liderar el desarrollo e implementación de la plataforma virtual de aprendizaje (e-learning), asegurando el acceso de actores locales, técnicos, mujeres, jóvenes y pueblos indígenas a contenidos pertinentes, actualizados y culturalmente adecuados.</w:t>
            </w:r>
          </w:p>
          <w:p w14:paraId="2EDE8E1A"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Apoyar el diseño de procesos de formación técnica, capacitación participativa y fortalecimiento de capacidades, en coordinación con universidades, centros de investigación, organizaciones no gubernamentales y redes comunitarias.</w:t>
            </w:r>
          </w:p>
          <w:p w14:paraId="2AFE4BD8"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Integrar los sistemas y herramientas del proyecto, tales como el Sistema de Alerta Temprana (SAT), el Plan de Monitoreo Comunitario, los sistemas de trazabilidad y los indicadores del sistema de Monitoreo, Evaluación y Aprendizaje (MEL), dentro de la arquitectura de gestión del conocimiento.</w:t>
            </w:r>
          </w:p>
          <w:p w14:paraId="78B0737C"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Sistematizar y documentar buenas prácticas, lecciones aprendidas, innovaciones técnicas y metodológicas, y experiencias de incidencia territorial, para su replicabilidad y escalamiento.</w:t>
            </w:r>
          </w:p>
          <w:p w14:paraId="244B49F8"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Coordinar estrechamente con los equipos de MEL, comunicaciones, género, salvaguardas y financiamiento verde, asegurando que sus aportes se integren en los productos de conocimiento.</w:t>
            </w:r>
          </w:p>
          <w:p w14:paraId="7761748D"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Facilitar procesos de retroalimentación territorial mediante la organización de intercambios de experiencias, ferias de conocimiento, talleres de aprendizaje colectivo y diálogos interculturales.</w:t>
            </w:r>
          </w:p>
          <w:p w14:paraId="70C12DAC" w14:textId="77777777" w:rsidR="00EF57B7"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Garantizar que todos los materiales de capacitación, contenidos digitales y productos de difusión cumplan con las directrices de visibilidad del FMAM y del PNUD, incluyendo el uso adecuado de logotipos, mensajes clave y referencias institucionales.</w:t>
            </w:r>
          </w:p>
          <w:p w14:paraId="260F295D" w14:textId="3E02016B" w:rsidR="1D9DC7A6" w:rsidRPr="00EF57B7" w:rsidRDefault="00EF57B7" w:rsidP="00EC2CBE">
            <w:pPr>
              <w:pStyle w:val="Prrafodelista"/>
              <w:numPr>
                <w:ilvl w:val="0"/>
                <w:numId w:val="106"/>
              </w:numPr>
              <w:jc w:val="both"/>
              <w:rPr>
                <w:rFonts w:asciiTheme="minorHAnsi" w:hAnsiTheme="minorHAnsi" w:cstheme="minorHAnsi"/>
                <w:i/>
                <w:iCs/>
                <w:sz w:val="18"/>
                <w:szCs w:val="18"/>
              </w:rPr>
            </w:pPr>
            <w:r w:rsidRPr="00EF57B7">
              <w:rPr>
                <w:rFonts w:asciiTheme="minorHAnsi" w:hAnsiTheme="minorHAnsi" w:cstheme="minorHAnsi"/>
                <w:i/>
                <w:iCs/>
                <w:sz w:val="18"/>
                <w:szCs w:val="18"/>
              </w:rPr>
              <w:t>Elaborar informes técnicos periódicos sobre el avance y los resultados de la gestión del conocimiento, incorporando indicadores de acceso, participación, apropiación y uso de la información por parte de los distintos grupos de actores del proyecto.</w:t>
            </w:r>
          </w:p>
          <w:p w14:paraId="573D9A50" w14:textId="102C7DEF" w:rsidR="1D9DC7A6" w:rsidRPr="006B39C0" w:rsidRDefault="1D9DC7A6" w:rsidP="00391502">
            <w:pPr>
              <w:spacing w:before="150" w:after="150"/>
              <w:jc w:val="both"/>
              <w:rPr>
                <w:rFonts w:asciiTheme="minorHAnsi" w:hAnsiTheme="minorHAnsi" w:cstheme="minorHAnsi"/>
                <w:sz w:val="18"/>
                <w:szCs w:val="18"/>
              </w:rPr>
            </w:pPr>
          </w:p>
        </w:tc>
      </w:tr>
      <w:tr w:rsidR="1D9DC7A6" w:rsidRPr="006B39C0" w14:paraId="0EAE3566"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66C0238" w14:textId="2573B724" w:rsidR="1D9DC7A6" w:rsidRPr="006B39C0" w:rsidRDefault="1D9DC7A6" w:rsidP="00391502">
            <w:pPr>
              <w:spacing w:before="150" w:after="150"/>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1 </w:t>
            </w:r>
            <w:r w:rsidR="00E62E5E" w:rsidRPr="00E62E5E">
              <w:rPr>
                <w:rFonts w:asciiTheme="minorHAnsi" w:hAnsiTheme="minorHAnsi" w:cstheme="minorHAnsi"/>
                <w:b/>
                <w:bCs/>
                <w:i/>
                <w:iCs/>
                <w:sz w:val="18"/>
                <w:szCs w:val="18"/>
              </w:rPr>
              <w:t>Especialista en Cumplimiento de Salvaguardas Ambientales y Sociales</w:t>
            </w:r>
          </w:p>
          <w:p w14:paraId="41003248" w14:textId="6AB38293" w:rsidR="1D9DC7A6" w:rsidRPr="006B39C0" w:rsidRDefault="1D9DC7A6" w:rsidP="00391502">
            <w:pPr>
              <w:spacing w:before="150" w:after="150"/>
              <w:rPr>
                <w:rFonts w:asciiTheme="minorHAnsi" w:hAnsiTheme="minorHAnsi" w:cstheme="minorHAnsi"/>
                <w:sz w:val="18"/>
                <w:szCs w:val="18"/>
              </w:rPr>
            </w:pPr>
          </w:p>
          <w:p w14:paraId="7659DE05" w14:textId="38C3A3DD"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USD2,412/</w:t>
            </w:r>
            <w:r w:rsidRPr="006B39C0">
              <w:rPr>
                <w:rFonts w:asciiTheme="minorHAnsi" w:hAnsiTheme="minorHAnsi" w:cstheme="minorHAnsi"/>
                <w:i/>
                <w:iCs/>
                <w:sz w:val="18"/>
                <w:szCs w:val="18"/>
              </w:rPr>
              <w:t>Mes</w:t>
            </w:r>
          </w:p>
          <w:p w14:paraId="4BCE0D8B" w14:textId="1C94E88C" w:rsidR="1D9DC7A6" w:rsidRPr="006B39C0" w:rsidRDefault="1D9DC7A6" w:rsidP="00391502">
            <w:pPr>
              <w:spacing w:before="150" w:after="45"/>
              <w:jc w:val="both"/>
              <w:rPr>
                <w:rFonts w:asciiTheme="minorHAnsi" w:hAnsiTheme="minorHAnsi" w:cstheme="minorHAnsi"/>
                <w:sz w:val="18"/>
                <w:szCs w:val="18"/>
              </w:rPr>
            </w:pPr>
          </w:p>
          <w:p w14:paraId="2C913409" w14:textId="639E5F87"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20</w:t>
            </w:r>
          </w:p>
          <w:p w14:paraId="21C0149E" w14:textId="420FDF3E" w:rsidR="1D9DC7A6" w:rsidRPr="006B39C0" w:rsidRDefault="1D9DC7A6" w:rsidP="00391502">
            <w:pPr>
              <w:spacing w:before="150" w:after="45"/>
              <w:jc w:val="both"/>
              <w:rPr>
                <w:rFonts w:asciiTheme="minorHAnsi" w:hAnsiTheme="minorHAnsi" w:cstheme="minorHAnsi"/>
                <w:sz w:val="18"/>
                <w:szCs w:val="18"/>
              </w:rPr>
            </w:pPr>
          </w:p>
          <w:p w14:paraId="117EE2EE" w14:textId="549D45DB" w:rsidR="1D9DC7A6" w:rsidRPr="006B39C0" w:rsidRDefault="1D9DC7A6" w:rsidP="00391502">
            <w:pPr>
              <w:spacing w:before="150" w:after="150"/>
              <w:rPr>
                <w:rFonts w:asciiTheme="minorHAnsi" w:hAnsiTheme="minorHAnsi" w:cstheme="minorHAnsi"/>
                <w:sz w:val="18"/>
                <w:szCs w:val="18"/>
              </w:rPr>
            </w:pPr>
          </w:p>
          <w:p w14:paraId="5F884029" w14:textId="711237B6"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D985D65" w14:textId="6760B515"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EE8690B" w14:textId="77777777" w:rsidR="00E62E5E" w:rsidRPr="00E62E5E" w:rsidRDefault="00E62E5E" w:rsidP="00E62E5E">
            <w:pPr>
              <w:jc w:val="both"/>
              <w:rPr>
                <w:rFonts w:asciiTheme="minorHAnsi" w:hAnsiTheme="minorHAnsi" w:cstheme="minorHAnsi"/>
                <w:i/>
                <w:iCs/>
                <w:sz w:val="18"/>
                <w:szCs w:val="18"/>
              </w:rPr>
            </w:pPr>
            <w:r w:rsidRPr="00E62E5E">
              <w:rPr>
                <w:rFonts w:asciiTheme="minorHAnsi" w:hAnsiTheme="minorHAnsi" w:cstheme="minorHAnsi"/>
                <w:i/>
                <w:iCs/>
                <w:sz w:val="18"/>
                <w:szCs w:val="18"/>
              </w:rPr>
              <w:t xml:space="preserve">Bajo la orientación y supervisión del Coordinador del Proyecto, el/la </w:t>
            </w:r>
            <w:r w:rsidRPr="00E62E5E">
              <w:rPr>
                <w:rFonts w:asciiTheme="minorHAnsi" w:hAnsiTheme="minorHAnsi" w:cstheme="minorHAnsi"/>
                <w:b/>
                <w:bCs/>
                <w:i/>
                <w:iCs/>
                <w:sz w:val="18"/>
                <w:szCs w:val="18"/>
              </w:rPr>
              <w:t>Especialista en Cumplimiento de Salvaguardas Ambientales y Sociales</w:t>
            </w:r>
            <w:r w:rsidRPr="00E62E5E">
              <w:rPr>
                <w:rFonts w:asciiTheme="minorHAnsi" w:hAnsiTheme="minorHAnsi" w:cstheme="minorHAnsi"/>
                <w:i/>
                <w:iCs/>
                <w:sz w:val="18"/>
                <w:szCs w:val="18"/>
              </w:rPr>
              <w:t xml:space="preserve"> será responsable de asegurar la implementación efectiva de las normas sociales y ambientales del PNUD y del FMAM a lo largo de todo el ciclo del proyecto, promoviendo una gestión de riesgos responsable, participativa e inclusiva.</w:t>
            </w:r>
          </w:p>
          <w:p w14:paraId="4EB8985F" w14:textId="77777777" w:rsidR="00E62E5E" w:rsidRPr="00E62E5E" w:rsidRDefault="00E62E5E" w:rsidP="00E62E5E">
            <w:pPr>
              <w:jc w:val="both"/>
              <w:rPr>
                <w:rFonts w:asciiTheme="minorHAnsi" w:hAnsiTheme="minorHAnsi" w:cstheme="minorHAnsi"/>
                <w:i/>
                <w:iCs/>
                <w:sz w:val="18"/>
                <w:szCs w:val="18"/>
              </w:rPr>
            </w:pPr>
          </w:p>
          <w:p w14:paraId="1512BEC3" w14:textId="15A3F9F3" w:rsidR="00E62E5E" w:rsidRPr="00E62E5E" w:rsidRDefault="00E62E5E" w:rsidP="00E62E5E">
            <w:pPr>
              <w:jc w:val="both"/>
              <w:rPr>
                <w:rFonts w:asciiTheme="minorHAnsi" w:hAnsiTheme="minorHAnsi" w:cstheme="minorHAnsi"/>
                <w:i/>
                <w:iCs/>
                <w:sz w:val="18"/>
                <w:szCs w:val="18"/>
              </w:rPr>
            </w:pPr>
            <w:r w:rsidRPr="00E62E5E">
              <w:rPr>
                <w:rFonts w:asciiTheme="minorHAnsi" w:hAnsiTheme="minorHAnsi" w:cstheme="minorHAnsi"/>
                <w:i/>
                <w:iCs/>
                <w:sz w:val="18"/>
                <w:szCs w:val="18"/>
              </w:rPr>
              <w:t>Roles y responsabilidades:</w:t>
            </w:r>
          </w:p>
          <w:p w14:paraId="0B2D0AAC"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Coordinar la implementación del Plan de Salvaguardas Sociales y Ambientales del proyecto, en cumplimiento con las políticas del PNUD y del FMAM, así como con la normativa nacional aplicable.</w:t>
            </w:r>
          </w:p>
          <w:p w14:paraId="59FF1511"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Apoyar el desarrollo de herramientas, protocolos y metodologías para la identificación, evaluación y gestión de riesgos e impactos socioambientales en todas las actividades del proyecto.</w:t>
            </w:r>
          </w:p>
          <w:p w14:paraId="29D809F0"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Apoyar la elaboración e implementación de los estudios de Evaluación de Impacto Ambiental y Social (EIAS), asegurando la incorporación de enfoques diferenciados por género, edad y etnicidad.</w:t>
            </w:r>
          </w:p>
          <w:p w14:paraId="60021114"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Coordinar con los equipos territoriales, especialistas temáticos y actores comunitarios para garantizar la aplicación práctica de las salvaguardas en actividades de restauración, producción sostenible, acceso a financiamiento y gestión del agua.</w:t>
            </w:r>
          </w:p>
          <w:p w14:paraId="4A5624C0"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Monitorear el cumplimiento de los estándares de consulta libre, previa e informada en las intervenciones que involucren a pueblos y nacionalidades indígenas.</w:t>
            </w:r>
          </w:p>
          <w:p w14:paraId="65CCB696"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Apoyar la creación y operación de mecanismos de quejas y retroalimentación (MQR), asegurando su efectividad, accesibilidad y pertinencia cultural en los territorios de intervención.</w:t>
            </w:r>
          </w:p>
          <w:p w14:paraId="7985745A"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Brindar asistencia técnica para la incorporación de criterios de sostenibilidad ambiental, reducción de riesgos y adaptación al cambio climático en el diseño de proyectos territoriales y mecanismos financieros.</w:t>
            </w:r>
          </w:p>
          <w:p w14:paraId="0FCD9510"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lastRenderedPageBreak/>
              <w:t>Asegurar la integración de los requisitos de salvaguardas en el sistema de Monitoreo, Evaluación y Aprendizaje (MEL), generando indicadores y reportes periódicos de cumplimiento.</w:t>
            </w:r>
          </w:p>
          <w:p w14:paraId="5CDC3DBC" w14:textId="77777777" w:rsidR="00E62E5E" w:rsidRPr="00E62E5E" w:rsidRDefault="00E62E5E" w:rsidP="00EC2CBE">
            <w:pPr>
              <w:pStyle w:val="Prrafodelista"/>
              <w:numPr>
                <w:ilvl w:val="0"/>
                <w:numId w:val="107"/>
              </w:numPr>
              <w:jc w:val="both"/>
              <w:rPr>
                <w:rFonts w:asciiTheme="minorHAnsi" w:hAnsiTheme="minorHAnsi" w:cstheme="minorHAnsi"/>
                <w:i/>
                <w:iCs/>
                <w:sz w:val="18"/>
                <w:szCs w:val="18"/>
              </w:rPr>
            </w:pPr>
            <w:r w:rsidRPr="00E62E5E">
              <w:rPr>
                <w:rFonts w:asciiTheme="minorHAnsi" w:hAnsiTheme="minorHAnsi" w:cstheme="minorHAnsi"/>
                <w:i/>
                <w:iCs/>
                <w:sz w:val="18"/>
                <w:szCs w:val="18"/>
              </w:rPr>
              <w:t>Capacitar a los equipos del proyecto, socios locales y beneficiarios en la aplicación de las salvaguardas, incluyendo temas de gestión ambiental, derechos humanos, equidad de género e interculturalidad.</w:t>
            </w:r>
          </w:p>
          <w:p w14:paraId="370E87D0" w14:textId="77777777" w:rsidR="1D9DC7A6" w:rsidRPr="00994AB8" w:rsidRDefault="00E62E5E" w:rsidP="00EC2CBE">
            <w:pPr>
              <w:pStyle w:val="Prrafodelista"/>
              <w:numPr>
                <w:ilvl w:val="0"/>
                <w:numId w:val="107"/>
              </w:numPr>
              <w:jc w:val="both"/>
              <w:rPr>
                <w:rFonts w:asciiTheme="minorHAnsi" w:hAnsiTheme="minorHAnsi" w:cstheme="minorHAnsi"/>
                <w:sz w:val="18"/>
                <w:szCs w:val="18"/>
              </w:rPr>
            </w:pPr>
            <w:r w:rsidRPr="00E62E5E">
              <w:rPr>
                <w:rFonts w:asciiTheme="minorHAnsi" w:hAnsiTheme="minorHAnsi" w:cstheme="minorHAnsi"/>
                <w:i/>
                <w:iCs/>
                <w:sz w:val="18"/>
                <w:szCs w:val="18"/>
              </w:rPr>
              <w:t>Elaborar informes técnicos de seguimiento, alertas tempranas y recomendaciones, contribuyendo a los informes oficiales del proyecto (PIR, RMT y EFI) y al mejoramiento continuo de la implementación.</w:t>
            </w:r>
          </w:p>
          <w:p w14:paraId="6FD93ABB" w14:textId="77777777" w:rsidR="00994AB8" w:rsidRDefault="00994AB8" w:rsidP="00994AB8">
            <w:pPr>
              <w:jc w:val="both"/>
              <w:rPr>
                <w:rFonts w:asciiTheme="minorHAnsi" w:hAnsiTheme="minorHAnsi" w:cstheme="minorHAnsi"/>
                <w:sz w:val="18"/>
                <w:szCs w:val="18"/>
              </w:rPr>
            </w:pPr>
          </w:p>
          <w:p w14:paraId="05395847" w14:textId="0839349C" w:rsidR="00994AB8" w:rsidRPr="00994AB8" w:rsidRDefault="00994AB8" w:rsidP="00994AB8">
            <w:pPr>
              <w:jc w:val="both"/>
              <w:rPr>
                <w:rFonts w:asciiTheme="minorHAnsi" w:hAnsiTheme="minorHAnsi" w:cstheme="minorHAnsi"/>
                <w:sz w:val="18"/>
                <w:szCs w:val="18"/>
              </w:rPr>
            </w:pPr>
          </w:p>
        </w:tc>
      </w:tr>
      <w:tr w:rsidR="1D9DC7A6" w:rsidRPr="006B39C0" w14:paraId="44E6B797"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7BFB977" w14:textId="3E0F8544"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1 </w:t>
            </w:r>
            <w:r w:rsidR="00994AB8" w:rsidRPr="00994AB8">
              <w:rPr>
                <w:rFonts w:asciiTheme="minorHAnsi" w:hAnsiTheme="minorHAnsi" w:cstheme="minorHAnsi"/>
                <w:b/>
                <w:bCs/>
                <w:i/>
                <w:iCs/>
                <w:sz w:val="18"/>
                <w:szCs w:val="18"/>
              </w:rPr>
              <w:t>Asistente Técnico/a en Procesamiento de Datos, Monitoreo y Reporte</w:t>
            </w:r>
          </w:p>
          <w:p w14:paraId="5D880610" w14:textId="5533CB62" w:rsidR="1D9DC7A6" w:rsidRPr="006B39C0" w:rsidRDefault="1D9DC7A6" w:rsidP="00391502">
            <w:pPr>
              <w:spacing w:before="150" w:after="45"/>
              <w:jc w:val="both"/>
              <w:rPr>
                <w:rFonts w:asciiTheme="minorHAnsi" w:hAnsiTheme="minorHAnsi" w:cstheme="minorHAnsi"/>
                <w:sz w:val="18"/>
                <w:szCs w:val="18"/>
              </w:rPr>
            </w:pPr>
          </w:p>
          <w:p w14:paraId="13E4BC32" w14:textId="687313BB"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2,412.00 / </w:t>
            </w:r>
            <w:r w:rsidRPr="006B39C0">
              <w:rPr>
                <w:rFonts w:asciiTheme="minorHAnsi" w:hAnsiTheme="minorHAnsi" w:cstheme="minorHAnsi"/>
                <w:i/>
                <w:iCs/>
                <w:sz w:val="18"/>
                <w:szCs w:val="18"/>
              </w:rPr>
              <w:t>Mes</w:t>
            </w:r>
          </w:p>
          <w:p w14:paraId="56C6AA76" w14:textId="4907BF69" w:rsidR="1D9DC7A6" w:rsidRPr="006B39C0" w:rsidRDefault="1D9DC7A6" w:rsidP="00391502">
            <w:pPr>
              <w:spacing w:before="150" w:after="45"/>
              <w:jc w:val="both"/>
              <w:rPr>
                <w:rFonts w:asciiTheme="minorHAnsi" w:hAnsiTheme="minorHAnsi" w:cstheme="minorHAnsi"/>
                <w:sz w:val="18"/>
                <w:szCs w:val="18"/>
              </w:rPr>
            </w:pPr>
          </w:p>
          <w:p w14:paraId="47E1D98A" w14:textId="65CE71F1"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21</w:t>
            </w:r>
          </w:p>
          <w:p w14:paraId="00573F97" w14:textId="4F8FD640" w:rsidR="1D9DC7A6" w:rsidRPr="006B39C0" w:rsidRDefault="1D9DC7A6" w:rsidP="00391502">
            <w:pPr>
              <w:spacing w:before="150" w:after="45"/>
              <w:jc w:val="both"/>
              <w:rPr>
                <w:rFonts w:asciiTheme="minorHAnsi" w:hAnsiTheme="minorHAnsi" w:cstheme="minorHAnsi"/>
                <w:sz w:val="18"/>
                <w:szCs w:val="18"/>
              </w:rPr>
            </w:pPr>
          </w:p>
          <w:p w14:paraId="55D0E57F" w14:textId="444B5DC0" w:rsidR="1D9DC7A6" w:rsidRPr="006B39C0" w:rsidRDefault="1D9DC7A6" w:rsidP="00391502">
            <w:pPr>
              <w:spacing w:before="150" w:after="45"/>
              <w:jc w:val="both"/>
              <w:rPr>
                <w:rFonts w:asciiTheme="minorHAnsi" w:hAnsiTheme="minorHAnsi" w:cstheme="minorHAnsi"/>
                <w:sz w:val="18"/>
                <w:szCs w:val="18"/>
              </w:rPr>
            </w:pPr>
          </w:p>
          <w:p w14:paraId="726936AB" w14:textId="746F70AC" w:rsidR="1D9DC7A6" w:rsidRPr="006B39C0" w:rsidRDefault="1D9DC7A6" w:rsidP="00391502">
            <w:pPr>
              <w:spacing w:before="150" w:after="45"/>
              <w:jc w:val="both"/>
              <w:rPr>
                <w:rFonts w:asciiTheme="minorHAnsi" w:hAnsiTheme="minorHAnsi" w:cstheme="minorHAnsi"/>
                <w:sz w:val="18"/>
                <w:szCs w:val="18"/>
              </w:rPr>
            </w:pPr>
          </w:p>
          <w:p w14:paraId="2AA5C2DE" w14:textId="26CC98CE" w:rsidR="1D9DC7A6" w:rsidRPr="006B39C0" w:rsidRDefault="1D9DC7A6" w:rsidP="00391502">
            <w:pPr>
              <w:spacing w:before="150" w:after="45"/>
              <w:jc w:val="both"/>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1648031" w14:textId="6DA1F2E1"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9FC2BB4" w14:textId="77777777" w:rsidR="00994AB8" w:rsidRPr="00994AB8" w:rsidRDefault="00994AB8" w:rsidP="00994AB8">
            <w:pPr>
              <w:jc w:val="both"/>
              <w:rPr>
                <w:rFonts w:asciiTheme="minorHAnsi" w:hAnsiTheme="minorHAnsi" w:cstheme="minorHAnsi"/>
                <w:i/>
                <w:iCs/>
                <w:sz w:val="18"/>
                <w:szCs w:val="18"/>
              </w:rPr>
            </w:pPr>
            <w:r w:rsidRPr="00994AB8">
              <w:rPr>
                <w:rFonts w:asciiTheme="minorHAnsi" w:hAnsiTheme="minorHAnsi" w:cstheme="minorHAnsi"/>
                <w:i/>
                <w:iCs/>
                <w:sz w:val="18"/>
                <w:szCs w:val="18"/>
              </w:rPr>
              <w:t xml:space="preserve">Bajo la orientación y supervisión del Coordinador del Proyecto y del Especialista en Gestión del Conocimiento, el/la </w:t>
            </w:r>
            <w:r w:rsidRPr="00994AB8">
              <w:rPr>
                <w:rFonts w:asciiTheme="minorHAnsi" w:hAnsiTheme="minorHAnsi" w:cstheme="minorHAnsi"/>
                <w:b/>
                <w:bCs/>
                <w:i/>
                <w:iCs/>
                <w:sz w:val="18"/>
                <w:szCs w:val="18"/>
              </w:rPr>
              <w:t>Asistente Técnico/a en Procesamiento de Datos, Monitoreo y Reporte</w:t>
            </w:r>
            <w:r w:rsidRPr="00994AB8">
              <w:rPr>
                <w:rFonts w:asciiTheme="minorHAnsi" w:hAnsiTheme="minorHAnsi" w:cstheme="minorHAnsi"/>
                <w:i/>
                <w:iCs/>
                <w:sz w:val="18"/>
                <w:szCs w:val="18"/>
              </w:rPr>
              <w:t xml:space="preserve"> será responsable de apoyar la implementación del sistema de Monitoreo, Evaluación y Aprendizaje (MEL) del proyecto. El cargo se enfoca en la recolección, verificación y sistematización de datos a nivel de campo, contribuyendo al seguimiento efectivo de resultados, a la toma de decisiones informada y a la integración de los enfoques de género, interculturalidad y salvaguardas socioambientales en las intervenciones del proyecto.</w:t>
            </w:r>
          </w:p>
          <w:p w14:paraId="6354BA1D" w14:textId="77777777" w:rsidR="00994AB8" w:rsidRDefault="00994AB8" w:rsidP="00994AB8">
            <w:pPr>
              <w:jc w:val="both"/>
              <w:rPr>
                <w:rFonts w:asciiTheme="minorHAnsi" w:hAnsiTheme="minorHAnsi" w:cstheme="minorHAnsi"/>
                <w:i/>
                <w:iCs/>
                <w:sz w:val="18"/>
                <w:szCs w:val="18"/>
              </w:rPr>
            </w:pPr>
          </w:p>
          <w:p w14:paraId="5A25802A" w14:textId="074B003C" w:rsidR="00994AB8" w:rsidRPr="00994AB8" w:rsidRDefault="00994AB8" w:rsidP="00994AB8">
            <w:pPr>
              <w:jc w:val="both"/>
              <w:rPr>
                <w:rFonts w:asciiTheme="minorHAnsi" w:hAnsiTheme="minorHAnsi" w:cstheme="minorHAnsi"/>
                <w:i/>
                <w:iCs/>
                <w:sz w:val="18"/>
                <w:szCs w:val="18"/>
              </w:rPr>
            </w:pPr>
            <w:r w:rsidRPr="00994AB8">
              <w:rPr>
                <w:rFonts w:asciiTheme="minorHAnsi" w:hAnsiTheme="minorHAnsi" w:cstheme="minorHAnsi"/>
                <w:i/>
                <w:iCs/>
                <w:sz w:val="18"/>
                <w:szCs w:val="18"/>
              </w:rPr>
              <w:t>Roles y responsabilidades:</w:t>
            </w:r>
          </w:p>
          <w:p w14:paraId="6BB2BB20"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Apoyar la implementación del Plan de Monitoreo y Evaluación del proyecto, de conformidad con los lineamientos del PNUD y el FMAM y la estrategia de Gestión del Conocimiento.</w:t>
            </w:r>
          </w:p>
          <w:p w14:paraId="42C19BBB"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Recolectar, validar y consolidar información técnica y de campo para alimentar los indicadores del marco de resultados del proyecto.</w:t>
            </w:r>
          </w:p>
          <w:p w14:paraId="18803E5C"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Apoyar el monitoreo de riesgos sociales y ambientales y el cumplimiento de las salvaguardas en las actividades de campo.</w:t>
            </w:r>
          </w:p>
          <w:p w14:paraId="0AE518B5"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Contribuir a la sistematización de lecciones aprendidas, desafíos de implementación y buenas prácticas, en coordinación con el/la Especialista en Gestión del Conocimiento.</w:t>
            </w:r>
          </w:p>
          <w:p w14:paraId="11F17D99"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Coordinar con los equipos técnicos locales y los socios del proyecto para asegurar la recolección y el reporte oportuno y de calidad de la información.</w:t>
            </w:r>
          </w:p>
          <w:p w14:paraId="786BFFA4"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Mantener y actualizar bases de datos y herramientas digitales utilizadas para el seguimiento de indicadores y resultados.</w:t>
            </w:r>
          </w:p>
          <w:p w14:paraId="623B2518"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Apoyar la elaboración de informes técnicos de avance, incluidos los informes trimestrales, anuales, de la Revisión de Medio Término (RMT) y de la Evaluación Final Independiente (EFI).</w:t>
            </w:r>
          </w:p>
          <w:p w14:paraId="120B06ED"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Participar en procesos de aprendizaje, retroalimentación y gestión adaptativa orientados a mejorar la implementación del proyecto.</w:t>
            </w:r>
          </w:p>
          <w:p w14:paraId="4C157994"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Colaborar con los equipos de género y salvaguardas para asegurar la integración de estos enfoques en los procesos de MEL.</w:t>
            </w:r>
          </w:p>
          <w:p w14:paraId="6EE6078B"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Brindar apoyo en la capacitación de actores locales y socios del proyecto en el uso de herramientas y metodologías de monitoreo y evaluación.</w:t>
            </w:r>
          </w:p>
          <w:p w14:paraId="09BC451A" w14:textId="77777777" w:rsidR="00994AB8" w:rsidRPr="00994AB8"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Generar insumos para los mecanismos de rendición de cuentas y la toma de decisiones estratégicas por parte de la Unidad de Gestión del Proyecto y el Comité Directivo.</w:t>
            </w:r>
          </w:p>
          <w:p w14:paraId="62807A9A" w14:textId="77777777" w:rsidR="1D9DC7A6" w:rsidRDefault="00994AB8" w:rsidP="00EC2CBE">
            <w:pPr>
              <w:pStyle w:val="Prrafodelista"/>
              <w:numPr>
                <w:ilvl w:val="0"/>
                <w:numId w:val="108"/>
              </w:numPr>
              <w:jc w:val="both"/>
              <w:rPr>
                <w:rFonts w:asciiTheme="minorHAnsi" w:hAnsiTheme="minorHAnsi" w:cstheme="minorHAnsi"/>
                <w:i/>
                <w:iCs/>
                <w:sz w:val="18"/>
                <w:szCs w:val="18"/>
              </w:rPr>
            </w:pPr>
            <w:r w:rsidRPr="00994AB8">
              <w:rPr>
                <w:rFonts w:asciiTheme="minorHAnsi" w:hAnsiTheme="minorHAnsi" w:cstheme="minorHAnsi"/>
                <w:i/>
                <w:iCs/>
                <w:sz w:val="18"/>
                <w:szCs w:val="18"/>
              </w:rPr>
              <w:t>Asegurar claridad, precisión y coherencia en la consolidación de la información de campo para los reportes técnicos y financieros.</w:t>
            </w:r>
          </w:p>
          <w:p w14:paraId="618D3F8C" w14:textId="77777777" w:rsidR="00994AB8" w:rsidRDefault="00994AB8" w:rsidP="00994AB8">
            <w:pPr>
              <w:jc w:val="both"/>
              <w:rPr>
                <w:rFonts w:asciiTheme="minorHAnsi" w:hAnsiTheme="minorHAnsi" w:cstheme="minorHAnsi"/>
                <w:i/>
                <w:iCs/>
                <w:sz w:val="18"/>
                <w:szCs w:val="18"/>
              </w:rPr>
            </w:pPr>
          </w:p>
          <w:p w14:paraId="312519EB" w14:textId="16B3B59D" w:rsidR="00994AB8" w:rsidRPr="00994AB8" w:rsidRDefault="00994AB8" w:rsidP="00994AB8">
            <w:pPr>
              <w:jc w:val="both"/>
              <w:rPr>
                <w:rFonts w:asciiTheme="minorHAnsi" w:hAnsiTheme="minorHAnsi" w:cstheme="minorHAnsi"/>
                <w:i/>
                <w:iCs/>
                <w:sz w:val="18"/>
                <w:szCs w:val="18"/>
              </w:rPr>
            </w:pPr>
          </w:p>
        </w:tc>
      </w:tr>
      <w:tr w:rsidR="1D9DC7A6" w:rsidRPr="006B39C0" w14:paraId="69A1C3DE"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B72B39E" w14:textId="7589AAFA" w:rsidR="1D9DC7A6" w:rsidRPr="006B39C0" w:rsidRDefault="00994AB8" w:rsidP="00391502">
            <w:pPr>
              <w:spacing w:before="150" w:after="45"/>
              <w:rPr>
                <w:rFonts w:asciiTheme="minorHAnsi" w:hAnsiTheme="minorHAnsi" w:cstheme="minorHAnsi"/>
                <w:sz w:val="18"/>
                <w:szCs w:val="18"/>
              </w:rPr>
            </w:pPr>
            <w:r w:rsidRPr="00994AB8">
              <w:rPr>
                <w:rFonts w:asciiTheme="minorHAnsi" w:hAnsiTheme="minorHAnsi" w:cstheme="minorHAnsi"/>
                <w:b/>
                <w:bCs/>
                <w:i/>
                <w:iCs/>
                <w:sz w:val="18"/>
                <w:szCs w:val="18"/>
              </w:rPr>
              <w:t>Responsable de Comunicación Estratégica y Articulación Territorial</w:t>
            </w:r>
            <w:r w:rsidRPr="00994AB8">
              <w:rPr>
                <w:rFonts w:asciiTheme="minorHAnsi" w:hAnsiTheme="minorHAnsi" w:cstheme="minorHAnsi"/>
                <w:i/>
                <w:iCs/>
                <w:sz w:val="18"/>
                <w:szCs w:val="18"/>
              </w:rPr>
              <w:t xml:space="preserve"> </w:t>
            </w:r>
          </w:p>
          <w:p w14:paraId="1BBCC04A" w14:textId="30EB4FAB" w:rsidR="1D9DC7A6" w:rsidRPr="006B39C0" w:rsidRDefault="00970E5E"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Tarifa:</w:t>
            </w:r>
            <w:r w:rsidR="1D9DC7A6" w:rsidRPr="006B39C0">
              <w:rPr>
                <w:rFonts w:asciiTheme="minorHAnsi" w:hAnsiTheme="minorHAnsi" w:cstheme="minorHAnsi"/>
                <w:i/>
                <w:iCs/>
                <w:sz w:val="18"/>
                <w:szCs w:val="18"/>
              </w:rPr>
              <w:t xml:space="preserve"> USD 2,412 / </w:t>
            </w:r>
            <w:r w:rsidRPr="006B39C0">
              <w:rPr>
                <w:rFonts w:asciiTheme="minorHAnsi" w:hAnsiTheme="minorHAnsi" w:cstheme="minorHAnsi"/>
                <w:i/>
                <w:iCs/>
                <w:sz w:val="18"/>
                <w:szCs w:val="18"/>
              </w:rPr>
              <w:t>Mes</w:t>
            </w:r>
          </w:p>
          <w:p w14:paraId="46F718D3" w14:textId="29DADC37" w:rsidR="1D9DC7A6" w:rsidRPr="006B39C0" w:rsidRDefault="1D9DC7A6" w:rsidP="00391502">
            <w:pPr>
              <w:spacing w:before="150" w:after="45"/>
              <w:rPr>
                <w:rFonts w:asciiTheme="minorHAnsi" w:hAnsiTheme="minorHAnsi" w:cstheme="minorHAnsi"/>
                <w:sz w:val="18"/>
                <w:szCs w:val="18"/>
              </w:rPr>
            </w:pPr>
          </w:p>
          <w:p w14:paraId="4755E39C" w14:textId="6A29E9F1"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22</w:t>
            </w:r>
          </w:p>
          <w:p w14:paraId="572996DA" w14:textId="276A1BB1" w:rsidR="1D9DC7A6" w:rsidRPr="006B39C0" w:rsidRDefault="1D9DC7A6" w:rsidP="00391502">
            <w:pPr>
              <w:spacing w:before="150" w:after="45"/>
              <w:rPr>
                <w:rFonts w:asciiTheme="minorHAnsi" w:hAnsiTheme="minorHAnsi" w:cstheme="minorHAnsi"/>
                <w:sz w:val="18"/>
                <w:szCs w:val="18"/>
              </w:rPr>
            </w:pPr>
          </w:p>
          <w:p w14:paraId="133A66CD" w14:textId="2B2B1EDB" w:rsidR="1D9DC7A6" w:rsidRPr="006B39C0" w:rsidRDefault="1D9DC7A6" w:rsidP="00391502">
            <w:pPr>
              <w:spacing w:before="150" w:after="45"/>
              <w:rPr>
                <w:rFonts w:asciiTheme="minorHAnsi" w:hAnsiTheme="minorHAnsi" w:cstheme="minorHAnsi"/>
                <w:sz w:val="18"/>
                <w:szCs w:val="18"/>
              </w:rPr>
            </w:pPr>
          </w:p>
          <w:p w14:paraId="44B955B4" w14:textId="10C09ACD"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9DD1D55" w14:textId="1C91A763"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E76F100" w14:textId="77777777" w:rsidR="00994AB8" w:rsidRPr="00994AB8" w:rsidRDefault="00994AB8" w:rsidP="00994AB8">
            <w:pPr>
              <w:jc w:val="both"/>
              <w:rPr>
                <w:rFonts w:asciiTheme="minorHAnsi" w:hAnsiTheme="minorHAnsi" w:cstheme="minorHAnsi"/>
                <w:i/>
                <w:iCs/>
                <w:sz w:val="18"/>
                <w:szCs w:val="18"/>
              </w:rPr>
            </w:pPr>
            <w:r w:rsidRPr="00994AB8">
              <w:rPr>
                <w:rFonts w:asciiTheme="minorHAnsi" w:hAnsiTheme="minorHAnsi" w:cstheme="minorHAnsi"/>
                <w:i/>
                <w:iCs/>
                <w:sz w:val="18"/>
                <w:szCs w:val="18"/>
              </w:rPr>
              <w:t xml:space="preserve">Bajo la orientación y supervisión del Coordinador del Proyecto y del Especialista en Gestión del Conocimiento, el/la </w:t>
            </w:r>
            <w:r w:rsidRPr="00994AB8">
              <w:rPr>
                <w:rFonts w:asciiTheme="minorHAnsi" w:hAnsiTheme="minorHAnsi" w:cstheme="minorHAnsi"/>
                <w:b/>
                <w:bCs/>
                <w:i/>
                <w:iCs/>
                <w:sz w:val="18"/>
                <w:szCs w:val="18"/>
              </w:rPr>
              <w:t>Responsable de Comunicación Estratégica y Articulación Territorial</w:t>
            </w:r>
            <w:r w:rsidRPr="00994AB8">
              <w:rPr>
                <w:rFonts w:asciiTheme="minorHAnsi" w:hAnsiTheme="minorHAnsi" w:cstheme="minorHAnsi"/>
                <w:i/>
                <w:iCs/>
                <w:sz w:val="18"/>
                <w:szCs w:val="18"/>
              </w:rPr>
              <w:t xml:space="preserve"> ejecutará la estrategia de comunicación del proyecto.</w:t>
            </w:r>
          </w:p>
          <w:p w14:paraId="79E4CF31" w14:textId="77777777" w:rsidR="00994AB8" w:rsidRDefault="00994AB8" w:rsidP="00994AB8">
            <w:pPr>
              <w:jc w:val="both"/>
              <w:rPr>
                <w:rFonts w:asciiTheme="minorHAnsi" w:hAnsiTheme="minorHAnsi" w:cstheme="minorHAnsi"/>
                <w:i/>
                <w:iCs/>
                <w:sz w:val="18"/>
                <w:szCs w:val="18"/>
              </w:rPr>
            </w:pPr>
          </w:p>
          <w:p w14:paraId="64086D81" w14:textId="026BBAAA" w:rsidR="00994AB8" w:rsidRPr="00994AB8" w:rsidRDefault="00994AB8" w:rsidP="00994AB8">
            <w:pPr>
              <w:jc w:val="both"/>
              <w:rPr>
                <w:rFonts w:asciiTheme="minorHAnsi" w:hAnsiTheme="minorHAnsi" w:cstheme="minorHAnsi"/>
                <w:i/>
                <w:iCs/>
                <w:sz w:val="18"/>
                <w:szCs w:val="18"/>
              </w:rPr>
            </w:pPr>
            <w:r w:rsidRPr="00994AB8">
              <w:rPr>
                <w:rFonts w:asciiTheme="minorHAnsi" w:hAnsiTheme="minorHAnsi" w:cstheme="minorHAnsi"/>
                <w:i/>
                <w:iCs/>
                <w:sz w:val="18"/>
                <w:szCs w:val="18"/>
              </w:rPr>
              <w:t>Roles y responsabilidades:</w:t>
            </w:r>
          </w:p>
          <w:p w14:paraId="325DEC45"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Diseñar e implementar la estrategia integral de comunicación del proyecto, asegurando su coherencia con los objetivos del FMAM-8, el enfoque de gestión del conocimiento y el Plan de Acción de Género (PAG).</w:t>
            </w:r>
          </w:p>
          <w:p w14:paraId="583DD6F3"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lastRenderedPageBreak/>
              <w:t>Desarrollar campañas de comunicación accesibles, inclusivas y culturalmente pertinentes que visibilicen las acciones del proyecto y promuevan la apropiación local entre pueblos indígenas, mujeres, jóvenes y actores clave del territorio.</w:t>
            </w:r>
          </w:p>
          <w:p w14:paraId="576C17D8"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Producir materiales gráficos, audiovisuales y radiales (videos, infografías, cápsulas comunitarias, boletines) que reflejen historias de cambio, liderazgo femenino, prácticas sostenibles y saberes ancestrales.</w:t>
            </w:r>
          </w:p>
          <w:p w14:paraId="68DBA510"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Coordinar con los equipos técnicos y territoriales la cobertura y difusión de actividades clave, incluidos talleres, acuerdos de cogestión, procesos de restauración, bioemprendimientos y mecanismos financieros sostenibles.</w:t>
            </w:r>
          </w:p>
          <w:p w14:paraId="4D5850B8"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Fortalecer la visibilidad institucional del proyecto mediante la aplicación de las directrices de marca del PNUD y del FMAM, garantizando la inclusión de logotipos y mensajes estratégicos en todos los productos y plataformas del proyecto.</w:t>
            </w:r>
          </w:p>
          <w:p w14:paraId="501D90FD"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Apoyar la articulación de mensajes clave para posicionar el proyecto en medios locales, nacionales e internacionales, incluyendo la promoción de alianzas con medios comunitarios y redes juveniles.</w:t>
            </w:r>
          </w:p>
          <w:p w14:paraId="19501434"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Desarrollar y mantener los canales digitales de comunicación (sitio web, redes sociales, plataforma de aprendizaje virtual), asegurando la actualización permanente de contenidos relevantes y resultados del proyecto.</w:t>
            </w:r>
          </w:p>
          <w:p w14:paraId="3023BDA6"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Coordinar con los equipos de gestión del conocimiento, MEL y género para integrar sus aportes en los materiales de comunicación y asegurar la coherencia narrativa del proyecto.</w:t>
            </w:r>
          </w:p>
          <w:p w14:paraId="662F49F7" w14:textId="77777777" w:rsidR="00994AB8"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Sistematizar y documentar experiencias exitosas y lecciones aprendidas para informar procesos de replicación y escalamiento en otros territorios amazónicos.</w:t>
            </w:r>
          </w:p>
          <w:p w14:paraId="12B39491" w14:textId="3F357F91" w:rsidR="1D9DC7A6" w:rsidRPr="00994AB8" w:rsidRDefault="00994AB8" w:rsidP="00EC2CBE">
            <w:pPr>
              <w:pStyle w:val="Prrafodelista"/>
              <w:numPr>
                <w:ilvl w:val="0"/>
                <w:numId w:val="109"/>
              </w:numPr>
              <w:jc w:val="both"/>
              <w:rPr>
                <w:rFonts w:asciiTheme="minorHAnsi" w:hAnsiTheme="minorHAnsi" w:cstheme="minorHAnsi"/>
                <w:i/>
                <w:iCs/>
                <w:sz w:val="18"/>
                <w:szCs w:val="18"/>
              </w:rPr>
            </w:pPr>
            <w:r w:rsidRPr="00994AB8">
              <w:rPr>
                <w:rFonts w:asciiTheme="minorHAnsi" w:hAnsiTheme="minorHAnsi" w:cstheme="minorHAnsi"/>
                <w:i/>
                <w:iCs/>
                <w:sz w:val="18"/>
                <w:szCs w:val="18"/>
              </w:rPr>
              <w:t>Elaborar informes técnicos de comunicación que reflejen el impacto de las acciones comunicacionales, incluyendo indicadores de alcance, participación, percepción y empoderamiento comunitario.</w:t>
            </w:r>
          </w:p>
          <w:p w14:paraId="177FED16" w14:textId="1BE280B1" w:rsidR="1D9DC7A6" w:rsidRPr="006B39C0" w:rsidRDefault="1D9DC7A6" w:rsidP="00391502">
            <w:pPr>
              <w:spacing w:before="150" w:after="150"/>
              <w:jc w:val="both"/>
              <w:rPr>
                <w:rFonts w:asciiTheme="minorHAnsi" w:hAnsiTheme="minorHAnsi" w:cstheme="minorHAnsi"/>
                <w:sz w:val="18"/>
                <w:szCs w:val="18"/>
              </w:rPr>
            </w:pPr>
          </w:p>
        </w:tc>
      </w:tr>
      <w:tr w:rsidR="1D9DC7A6" w:rsidRPr="006B39C0" w14:paraId="0343E30C"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BA2F5E7" w14:textId="242A0BBC"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1 </w:t>
            </w:r>
            <w:r w:rsidR="00B46181" w:rsidRPr="00B46181">
              <w:rPr>
                <w:rFonts w:asciiTheme="minorHAnsi" w:hAnsiTheme="minorHAnsi" w:cstheme="minorHAnsi"/>
                <w:b/>
                <w:bCs/>
                <w:i/>
                <w:iCs/>
                <w:sz w:val="18"/>
                <w:szCs w:val="18"/>
              </w:rPr>
              <w:t>Especialista en Igualdad de Género, Diversidad y Pueblos Indígenas</w:t>
            </w:r>
          </w:p>
          <w:p w14:paraId="7EAAB604" w14:textId="1879A86D" w:rsidR="1D9DC7A6" w:rsidRPr="006B39C0" w:rsidRDefault="1D9DC7A6" w:rsidP="00391502">
            <w:pPr>
              <w:spacing w:before="150" w:after="45"/>
              <w:rPr>
                <w:rFonts w:asciiTheme="minorHAnsi" w:hAnsiTheme="minorHAnsi" w:cstheme="minorHAnsi"/>
                <w:sz w:val="18"/>
                <w:szCs w:val="18"/>
              </w:rPr>
            </w:pPr>
          </w:p>
          <w:p w14:paraId="7B5CDCCB" w14:textId="3FF97944" w:rsidR="1D9DC7A6" w:rsidRPr="006B39C0" w:rsidRDefault="00970E5E"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 xml:space="preserve"> USD 2,412 / </w:t>
            </w:r>
            <w:r w:rsidRPr="006B39C0">
              <w:rPr>
                <w:rFonts w:asciiTheme="minorHAnsi" w:hAnsiTheme="minorHAnsi" w:cstheme="minorHAnsi"/>
                <w:i/>
                <w:iCs/>
                <w:sz w:val="18"/>
                <w:szCs w:val="18"/>
              </w:rPr>
              <w:t>Mes</w:t>
            </w:r>
          </w:p>
          <w:p w14:paraId="06D4ED48" w14:textId="7A30D35F" w:rsidR="1D9DC7A6" w:rsidRPr="006B39C0" w:rsidRDefault="1D9DC7A6" w:rsidP="00391502">
            <w:pPr>
              <w:spacing w:before="150" w:after="45"/>
              <w:jc w:val="both"/>
              <w:rPr>
                <w:rFonts w:asciiTheme="minorHAnsi" w:hAnsiTheme="minorHAnsi" w:cstheme="minorHAnsi"/>
                <w:sz w:val="18"/>
                <w:szCs w:val="18"/>
              </w:rPr>
            </w:pPr>
          </w:p>
          <w:p w14:paraId="03C2747E" w14:textId="6947B744"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23</w:t>
            </w:r>
          </w:p>
          <w:p w14:paraId="4375A231" w14:textId="03D14729" w:rsidR="1D9DC7A6" w:rsidRPr="006B39C0" w:rsidRDefault="1D9DC7A6" w:rsidP="00391502">
            <w:pPr>
              <w:spacing w:before="150" w:after="45"/>
              <w:jc w:val="both"/>
              <w:rPr>
                <w:rFonts w:asciiTheme="minorHAnsi" w:hAnsiTheme="minorHAnsi" w:cstheme="minorHAnsi"/>
                <w:sz w:val="18"/>
                <w:szCs w:val="18"/>
              </w:rPr>
            </w:pPr>
          </w:p>
          <w:p w14:paraId="3F97AB05" w14:textId="450E67C5" w:rsidR="1D9DC7A6" w:rsidRPr="006B39C0" w:rsidRDefault="1D9DC7A6" w:rsidP="00391502">
            <w:pPr>
              <w:spacing w:before="150" w:after="45"/>
              <w:rPr>
                <w:rFonts w:asciiTheme="minorHAnsi" w:hAnsiTheme="minorHAnsi" w:cstheme="minorHAnsi"/>
                <w:sz w:val="18"/>
                <w:szCs w:val="18"/>
              </w:rPr>
            </w:pPr>
          </w:p>
          <w:p w14:paraId="23A1D6AF" w14:textId="742E8337"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454D7F7" w14:textId="1A9FDEC7" w:rsidR="1D9DC7A6" w:rsidRPr="006B39C0" w:rsidRDefault="1D9DC7A6" w:rsidP="00391502">
            <w:pPr>
              <w:spacing w:before="150" w:after="45"/>
              <w:rPr>
                <w:rFonts w:asciiTheme="minorHAnsi" w:hAnsiTheme="minorHAnsi" w:cstheme="minorHAnsi"/>
                <w:i/>
                <w:iCs/>
                <w:sz w:val="18"/>
                <w:szCs w:val="18"/>
              </w:rPr>
            </w:pPr>
            <w:r w:rsidRPr="006B39C0">
              <w:rPr>
                <w:rFonts w:asciiTheme="minorHAnsi" w:hAnsiTheme="minorHAnsi" w:cstheme="minorHAnsi"/>
                <w:i/>
                <w:iCs/>
                <w:sz w:val="18"/>
                <w:szCs w:val="18"/>
              </w:rPr>
              <w:t xml:space="preserve">36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7DFBCBE" w14:textId="77777777" w:rsidR="00B46181" w:rsidRPr="00B46181" w:rsidRDefault="00B46181" w:rsidP="00B46181">
            <w:pPr>
              <w:jc w:val="both"/>
              <w:rPr>
                <w:rFonts w:asciiTheme="minorHAnsi" w:hAnsiTheme="minorHAnsi" w:cstheme="minorHAnsi"/>
                <w:i/>
                <w:iCs/>
                <w:sz w:val="18"/>
                <w:szCs w:val="18"/>
              </w:rPr>
            </w:pPr>
            <w:r w:rsidRPr="00B46181">
              <w:rPr>
                <w:rFonts w:asciiTheme="minorHAnsi" w:hAnsiTheme="minorHAnsi" w:cstheme="minorHAnsi"/>
                <w:i/>
                <w:iCs/>
                <w:sz w:val="18"/>
                <w:szCs w:val="18"/>
              </w:rPr>
              <w:t xml:space="preserve">Bajo la orientación y supervisión del Coordinador del Proyecto, el/la </w:t>
            </w:r>
            <w:r w:rsidRPr="00B46181">
              <w:rPr>
                <w:rFonts w:asciiTheme="minorHAnsi" w:hAnsiTheme="minorHAnsi" w:cstheme="minorHAnsi"/>
                <w:b/>
                <w:bCs/>
                <w:i/>
                <w:iCs/>
                <w:sz w:val="18"/>
                <w:szCs w:val="18"/>
              </w:rPr>
              <w:t>Especialista en Igualdad de Género, Diversidad y Pueblos Indígenas</w:t>
            </w:r>
            <w:r w:rsidRPr="00B46181">
              <w:rPr>
                <w:rFonts w:asciiTheme="minorHAnsi" w:hAnsiTheme="minorHAnsi" w:cstheme="minorHAnsi"/>
                <w:i/>
                <w:iCs/>
                <w:sz w:val="18"/>
                <w:szCs w:val="18"/>
              </w:rPr>
              <w:t xml:space="preserve"> será responsable de asegurar la transversalización efectiva del enfoque de género, la interseccionalidad y los derechos colectivos en todas las fases del proyecto, garantizando que las acciones respondan a las prioridades, saberes y cosmovisiones de las mujeres indígenas, los pueblos y las nacionalidades de la cuenca del río Napo.</w:t>
            </w:r>
          </w:p>
          <w:p w14:paraId="5CD56032" w14:textId="77777777" w:rsidR="00B46181" w:rsidRDefault="00B46181" w:rsidP="00B46181">
            <w:pPr>
              <w:jc w:val="both"/>
              <w:rPr>
                <w:rFonts w:asciiTheme="minorHAnsi" w:hAnsiTheme="minorHAnsi" w:cstheme="minorHAnsi"/>
                <w:i/>
                <w:iCs/>
                <w:sz w:val="18"/>
                <w:szCs w:val="18"/>
              </w:rPr>
            </w:pPr>
          </w:p>
          <w:p w14:paraId="0D58A2B0" w14:textId="6DD699C1" w:rsidR="00B46181" w:rsidRPr="00B46181" w:rsidRDefault="00B46181" w:rsidP="00B46181">
            <w:pPr>
              <w:jc w:val="both"/>
              <w:rPr>
                <w:rFonts w:asciiTheme="minorHAnsi" w:hAnsiTheme="minorHAnsi" w:cstheme="minorHAnsi"/>
                <w:i/>
                <w:iCs/>
                <w:sz w:val="18"/>
                <w:szCs w:val="18"/>
              </w:rPr>
            </w:pPr>
            <w:r w:rsidRPr="00B46181">
              <w:rPr>
                <w:rFonts w:asciiTheme="minorHAnsi" w:hAnsiTheme="minorHAnsi" w:cstheme="minorHAnsi"/>
                <w:i/>
                <w:iCs/>
                <w:sz w:val="18"/>
                <w:szCs w:val="18"/>
              </w:rPr>
              <w:t>Roles y responsabilidades:</w:t>
            </w:r>
          </w:p>
          <w:p w14:paraId="1C65EF5D"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Coordinar la implementación del Plan de Acción de Género (PAG) del proyecto, asegurando su integración efectiva en la planificación, ejecución, monitoreo y evaluación de los cinco componentes.</w:t>
            </w:r>
          </w:p>
          <w:p w14:paraId="0D9C89D2"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 xml:space="preserve">Brindar asistencia técnica a los equipos de Quito y de territorio para asegurar que las actividades, productos y mecanismos de gobernanza territorial promuevan la </w:t>
            </w:r>
            <w:proofErr w:type="gramStart"/>
            <w:r w:rsidRPr="00B46181">
              <w:rPr>
                <w:rFonts w:asciiTheme="minorHAnsi" w:hAnsiTheme="minorHAnsi" w:cstheme="minorHAnsi"/>
                <w:i/>
                <w:iCs/>
                <w:sz w:val="18"/>
                <w:szCs w:val="18"/>
              </w:rPr>
              <w:t>participación activa</w:t>
            </w:r>
            <w:proofErr w:type="gramEnd"/>
            <w:r w:rsidRPr="00B46181">
              <w:rPr>
                <w:rFonts w:asciiTheme="minorHAnsi" w:hAnsiTheme="minorHAnsi" w:cstheme="minorHAnsi"/>
                <w:i/>
                <w:iCs/>
                <w:sz w:val="18"/>
                <w:szCs w:val="18"/>
              </w:rPr>
              <w:t xml:space="preserve"> de mujeres, jóvenes y pueblos indígenas, desde un enfoque de equidad y derechos.</w:t>
            </w:r>
          </w:p>
          <w:p w14:paraId="495FF842"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Diseñar estrategias y metodologías interculturales para la participación efectiva en los procesos de planificación (PDOT, PUGS, Planes de Vida), acuerdos de cogestión, restauración, producción sostenible y acceso a financiamiento.</w:t>
            </w:r>
          </w:p>
          <w:p w14:paraId="01C3D3F2"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proofErr w:type="gramStart"/>
            <w:r w:rsidRPr="00B46181">
              <w:rPr>
                <w:rFonts w:asciiTheme="minorHAnsi" w:hAnsiTheme="minorHAnsi" w:cstheme="minorHAnsi"/>
                <w:i/>
                <w:iCs/>
                <w:sz w:val="18"/>
                <w:szCs w:val="18"/>
              </w:rPr>
              <w:t>Asegurar</w:t>
            </w:r>
            <w:proofErr w:type="gramEnd"/>
            <w:r w:rsidRPr="00B46181">
              <w:rPr>
                <w:rFonts w:asciiTheme="minorHAnsi" w:hAnsiTheme="minorHAnsi" w:cstheme="minorHAnsi"/>
                <w:i/>
                <w:iCs/>
                <w:sz w:val="18"/>
                <w:szCs w:val="18"/>
              </w:rPr>
              <w:t xml:space="preserve"> que todos los instrumentos técnicos y operativos del proyecto (salvaguardas, sistemas de monitoreo, procesos de capacitación, trazabilidad) incorporen indicadores sensibles al género, desagregados por sexo, edad y etnia.</w:t>
            </w:r>
          </w:p>
          <w:p w14:paraId="50A6A7D4"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Promover mecanismos para fortalecer el liderazgo de mujeres indígenas, jóvenes y redes territoriales, incluyendo su participación en espacios de toma de decisiones (Consejo de Cuenca, comités de cogestión, Mesa REDD+, entre otros).</w:t>
            </w:r>
          </w:p>
          <w:p w14:paraId="248163B6"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Asesorar al equipo en la aplicación de la normativa nacional e internacional pertinente en materia de género, derechos colectivos y consulta libre, previa e informada, según corresponda.</w:t>
            </w:r>
          </w:p>
          <w:p w14:paraId="12DAF29E"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Apoyar la articulación con organizaciones indígenas, organizaciones de mujeres, redes juveniles y universidades para el diseño de estrategias de formación, comunicación y gestión del conocimiento con enfoque intercultural y transformador.</w:t>
            </w:r>
          </w:p>
          <w:p w14:paraId="749A6565"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lastRenderedPageBreak/>
              <w:t>Participar en el diseño y validación de proyectos territoriales (Producto 1.1.3 y Componente 3), asegurando que respondan a las prioridades de los Planes de Vida y promuevan la igualdad sustantiva.</w:t>
            </w:r>
          </w:p>
          <w:p w14:paraId="6230D744" w14:textId="77777777" w:rsidR="00B46181"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Contribuir a los informes técnicos del proyecto (narrativos, PIR, MEL, entre otros), incorporando análisis cualitativos y cuantitativos sobre los avances en la integración del enfoque de género e interculturalidad.</w:t>
            </w:r>
          </w:p>
          <w:p w14:paraId="46DB4858" w14:textId="06BF240C" w:rsidR="1D9DC7A6" w:rsidRPr="00B46181" w:rsidRDefault="00B46181" w:rsidP="00EC2CBE">
            <w:pPr>
              <w:pStyle w:val="Prrafodelista"/>
              <w:numPr>
                <w:ilvl w:val="0"/>
                <w:numId w:val="110"/>
              </w:numPr>
              <w:jc w:val="both"/>
              <w:rPr>
                <w:rFonts w:asciiTheme="minorHAnsi" w:hAnsiTheme="minorHAnsi" w:cstheme="minorHAnsi"/>
                <w:i/>
                <w:iCs/>
                <w:sz w:val="18"/>
                <w:szCs w:val="18"/>
              </w:rPr>
            </w:pPr>
            <w:r w:rsidRPr="00B46181">
              <w:rPr>
                <w:rFonts w:asciiTheme="minorHAnsi" w:hAnsiTheme="minorHAnsi" w:cstheme="minorHAnsi"/>
                <w:i/>
                <w:iCs/>
                <w:sz w:val="18"/>
                <w:szCs w:val="18"/>
              </w:rPr>
              <w:t>Sistematizar y difundir buenas prácticas, lecciones aprendidas y recomendaciones para fortalecer la transversalización del enfoque de género y los derechos de los pueblos indígenas en futuros proyectos del FMAM y del PNUD.</w:t>
            </w:r>
          </w:p>
        </w:tc>
      </w:tr>
      <w:tr w:rsidR="1D9DC7A6" w:rsidRPr="006B39C0" w14:paraId="593142EE"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2C399D8" w14:textId="324CD4EB" w:rsidR="1D9DC7A6" w:rsidRPr="006B39C0" w:rsidRDefault="1D9DC7A6" w:rsidP="00391502">
            <w:pPr>
              <w:spacing w:before="150" w:after="45"/>
              <w:jc w:val="both"/>
              <w:rPr>
                <w:rFonts w:asciiTheme="minorHAnsi" w:hAnsiTheme="minorHAnsi" w:cstheme="minorHAnsi"/>
                <w:b/>
                <w:bCs/>
                <w:i/>
                <w:iCs/>
                <w:sz w:val="18"/>
                <w:szCs w:val="18"/>
              </w:rPr>
            </w:pPr>
            <w:r w:rsidRPr="006B39C0">
              <w:rPr>
                <w:rFonts w:asciiTheme="minorHAnsi" w:hAnsiTheme="minorHAnsi" w:cstheme="minorHAnsi"/>
                <w:b/>
                <w:bCs/>
                <w:i/>
                <w:iCs/>
                <w:sz w:val="18"/>
                <w:szCs w:val="18"/>
              </w:rPr>
              <w:lastRenderedPageBreak/>
              <w:t>Component</w:t>
            </w:r>
            <w:r w:rsidR="00B46181">
              <w:rPr>
                <w:rFonts w:asciiTheme="minorHAnsi" w:hAnsiTheme="minorHAnsi" w:cstheme="minorHAnsi"/>
                <w:b/>
                <w:bCs/>
                <w:i/>
                <w:iCs/>
                <w:sz w:val="18"/>
                <w:szCs w:val="18"/>
              </w:rPr>
              <w:t>e</w:t>
            </w:r>
            <w:r w:rsidRPr="006B39C0">
              <w:rPr>
                <w:rFonts w:asciiTheme="minorHAnsi" w:hAnsiTheme="minorHAnsi" w:cstheme="minorHAnsi"/>
                <w:b/>
                <w:bCs/>
                <w:i/>
                <w:iCs/>
                <w:sz w:val="18"/>
                <w:szCs w:val="18"/>
              </w:rPr>
              <w:t xml:space="preserve"> 5: M&amp;E</w:t>
            </w:r>
          </w:p>
        </w:tc>
        <w:tc>
          <w:tcPr>
            <w:tcW w:w="1605" w:type="dxa"/>
            <w:vAlign w:val="center"/>
          </w:tcPr>
          <w:p w14:paraId="071474FB" w14:textId="10DE1B99" w:rsidR="1D9DC7A6" w:rsidRPr="006B39C0" w:rsidRDefault="1D9DC7A6">
            <w:pPr>
              <w:rPr>
                <w:rFonts w:asciiTheme="minorHAnsi" w:hAnsiTheme="minorHAnsi" w:cstheme="minorHAnsi"/>
                <w:sz w:val="18"/>
                <w:szCs w:val="18"/>
              </w:rPr>
            </w:pPr>
          </w:p>
        </w:tc>
        <w:tc>
          <w:tcPr>
            <w:tcW w:w="11235" w:type="dxa"/>
            <w:vAlign w:val="center"/>
          </w:tcPr>
          <w:p w14:paraId="46801F1D" w14:textId="40C6A9B2" w:rsidR="1D9DC7A6" w:rsidRPr="006B39C0" w:rsidRDefault="1D9DC7A6">
            <w:pPr>
              <w:rPr>
                <w:rFonts w:asciiTheme="minorHAnsi" w:hAnsiTheme="minorHAnsi" w:cstheme="minorHAnsi"/>
                <w:sz w:val="18"/>
                <w:szCs w:val="18"/>
              </w:rPr>
            </w:pPr>
          </w:p>
        </w:tc>
      </w:tr>
      <w:tr w:rsidR="1D9DC7A6" w:rsidRPr="006B39C0" w14:paraId="4B7409DB"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46443F8" w14:textId="40D2B660" w:rsidR="1D9DC7A6" w:rsidRPr="006B39C0" w:rsidRDefault="001C07AC" w:rsidP="001C07AC">
            <w:pPr>
              <w:spacing w:before="150" w:after="150"/>
              <w:rPr>
                <w:rFonts w:asciiTheme="minorHAnsi" w:hAnsiTheme="minorHAnsi" w:cstheme="minorHAnsi"/>
                <w:sz w:val="18"/>
                <w:szCs w:val="18"/>
              </w:rPr>
            </w:pPr>
            <w:r w:rsidRPr="001C07AC">
              <w:rPr>
                <w:rFonts w:asciiTheme="minorHAnsi" w:hAnsiTheme="minorHAnsi" w:cstheme="minorHAnsi"/>
                <w:b/>
                <w:bCs/>
                <w:i/>
                <w:iCs/>
                <w:sz w:val="18"/>
                <w:szCs w:val="18"/>
              </w:rPr>
              <w:t>Especialista en Monitoreo Estratégico y Evaluación de Resultados</w:t>
            </w:r>
          </w:p>
          <w:p w14:paraId="7AD7474C" w14:textId="706BABC7" w:rsidR="1D9DC7A6" w:rsidRPr="006B39C0" w:rsidRDefault="1D9DC7A6" w:rsidP="00391502">
            <w:pPr>
              <w:spacing w:before="150" w:after="150"/>
              <w:jc w:val="both"/>
              <w:rPr>
                <w:rFonts w:asciiTheme="minorHAnsi" w:hAnsiTheme="minorHAnsi" w:cstheme="minorHAnsi"/>
                <w:sz w:val="18"/>
                <w:szCs w:val="18"/>
              </w:rPr>
            </w:pPr>
          </w:p>
          <w:p w14:paraId="4449788E" w14:textId="0D11D61B" w:rsidR="1D9DC7A6" w:rsidRPr="006B39C0" w:rsidRDefault="00970E5E" w:rsidP="00391502">
            <w:pPr>
              <w:spacing w:before="150" w:after="150"/>
              <w:rPr>
                <w:rFonts w:asciiTheme="minorHAnsi" w:hAnsiTheme="minorHAnsi" w:cstheme="minorHAnsi"/>
                <w:i/>
                <w:iCs/>
                <w:sz w:val="18"/>
                <w:szCs w:val="18"/>
              </w:rPr>
            </w:pPr>
            <w:proofErr w:type="spellStart"/>
            <w:proofErr w:type="gramStart"/>
            <w:r w:rsidRPr="006B39C0">
              <w:rPr>
                <w:rFonts w:asciiTheme="minorHAnsi" w:hAnsiTheme="minorHAnsi" w:cstheme="minorHAnsi"/>
                <w:i/>
                <w:iCs/>
                <w:sz w:val="18"/>
                <w:szCs w:val="18"/>
              </w:rPr>
              <w:t>Tarifa:</w:t>
            </w:r>
            <w:r w:rsidR="1D9DC7A6" w:rsidRPr="006B39C0">
              <w:rPr>
                <w:rFonts w:asciiTheme="minorHAnsi" w:hAnsiTheme="minorHAnsi" w:cstheme="minorHAnsi"/>
                <w:i/>
                <w:iCs/>
                <w:sz w:val="18"/>
                <w:szCs w:val="18"/>
              </w:rPr>
              <w:t>USD</w:t>
            </w:r>
            <w:proofErr w:type="spellEnd"/>
            <w:proofErr w:type="gramEnd"/>
            <w:r w:rsidR="1D9DC7A6" w:rsidRPr="006B39C0">
              <w:rPr>
                <w:rFonts w:asciiTheme="minorHAnsi" w:hAnsiTheme="minorHAnsi" w:cstheme="minorHAnsi"/>
                <w:i/>
                <w:iCs/>
                <w:sz w:val="18"/>
                <w:szCs w:val="18"/>
              </w:rPr>
              <w:t xml:space="preserve"> 2,900 / </w:t>
            </w:r>
            <w:r w:rsidRPr="006B39C0">
              <w:rPr>
                <w:rFonts w:asciiTheme="minorHAnsi" w:hAnsiTheme="minorHAnsi" w:cstheme="minorHAnsi"/>
                <w:i/>
                <w:iCs/>
                <w:sz w:val="18"/>
                <w:szCs w:val="18"/>
              </w:rPr>
              <w:t>Mes</w:t>
            </w:r>
          </w:p>
          <w:p w14:paraId="39168200" w14:textId="711717B8" w:rsidR="1D9DC7A6" w:rsidRPr="006B39C0" w:rsidRDefault="1D9DC7A6" w:rsidP="00391502">
            <w:pPr>
              <w:spacing w:before="150" w:after="150"/>
              <w:rPr>
                <w:rFonts w:asciiTheme="minorHAnsi" w:hAnsiTheme="minorHAnsi" w:cstheme="minorHAnsi"/>
                <w:sz w:val="18"/>
                <w:szCs w:val="18"/>
              </w:rPr>
            </w:pPr>
          </w:p>
          <w:p w14:paraId="5BADC097" w14:textId="059C122F"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24</w:t>
            </w:r>
          </w:p>
          <w:p w14:paraId="1EDBE918" w14:textId="2A996DD4" w:rsidR="1D9DC7A6" w:rsidRPr="006B39C0" w:rsidRDefault="1D9DC7A6" w:rsidP="00391502">
            <w:pPr>
              <w:spacing w:before="150" w:after="150"/>
              <w:rPr>
                <w:rFonts w:asciiTheme="minorHAnsi" w:hAnsiTheme="minorHAnsi" w:cstheme="minorHAnsi"/>
                <w:sz w:val="18"/>
                <w:szCs w:val="18"/>
              </w:rPr>
            </w:pPr>
          </w:p>
          <w:p w14:paraId="71687D15" w14:textId="3B598097" w:rsidR="1D9DC7A6" w:rsidRPr="006B39C0" w:rsidRDefault="1D9DC7A6" w:rsidP="00391502">
            <w:pPr>
              <w:spacing w:before="150" w:after="150"/>
              <w:rPr>
                <w:rFonts w:asciiTheme="minorHAnsi" w:hAnsiTheme="minorHAnsi" w:cstheme="minorHAnsi"/>
                <w:sz w:val="18"/>
                <w:szCs w:val="18"/>
              </w:rPr>
            </w:pPr>
          </w:p>
          <w:p w14:paraId="177EADE6" w14:textId="4D8A327F" w:rsidR="1D9DC7A6" w:rsidRPr="006B39C0" w:rsidRDefault="1D9DC7A6" w:rsidP="00391502">
            <w:pPr>
              <w:spacing w:before="150" w:after="150"/>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2C0FB46" w14:textId="5A0AF32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60 </w:t>
            </w:r>
            <w:r w:rsidR="0072491F" w:rsidRPr="006B39C0">
              <w:rPr>
                <w:rFonts w:asciiTheme="minorHAnsi" w:hAnsiTheme="minorHAnsi" w:cstheme="minorHAnsi"/>
                <w:i/>
                <w:iCs/>
                <w:sz w:val="18"/>
                <w:szCs w:val="18"/>
              </w:rPr>
              <w:t>meses</w:t>
            </w:r>
          </w:p>
          <w:p w14:paraId="3009AF7B" w14:textId="4D3D8316" w:rsidR="1D9DC7A6" w:rsidRPr="006B39C0" w:rsidRDefault="1D9DC7A6" w:rsidP="00391502">
            <w:pPr>
              <w:spacing w:before="150" w:after="45"/>
              <w:jc w:val="both"/>
              <w:rPr>
                <w:rFonts w:asciiTheme="minorHAnsi" w:hAnsiTheme="minorHAnsi" w:cstheme="minorHAnsi"/>
                <w:sz w:val="18"/>
                <w:szCs w:val="18"/>
              </w:rPr>
            </w:pPr>
          </w:p>
          <w:p w14:paraId="4395A5B9" w14:textId="31E09A5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47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M&amp;E</w:t>
            </w:r>
          </w:p>
          <w:p w14:paraId="21D4490F" w14:textId="13B6B9B3" w:rsidR="1D9DC7A6" w:rsidRPr="006B39C0" w:rsidRDefault="1D9DC7A6" w:rsidP="00391502">
            <w:pPr>
              <w:spacing w:before="150" w:after="45"/>
              <w:jc w:val="both"/>
              <w:rPr>
                <w:rFonts w:asciiTheme="minorHAnsi" w:hAnsiTheme="minorHAnsi" w:cstheme="minorHAnsi"/>
                <w:sz w:val="18"/>
                <w:szCs w:val="18"/>
              </w:rPr>
            </w:pPr>
          </w:p>
          <w:p w14:paraId="7B1D06DD" w14:textId="0AE34872"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7 </w:t>
            </w:r>
            <w:r w:rsidR="0072491F" w:rsidRPr="006B39C0">
              <w:rPr>
                <w:rFonts w:asciiTheme="minorHAnsi" w:hAnsiTheme="minorHAnsi" w:cstheme="minorHAnsi"/>
                <w:i/>
                <w:iCs/>
                <w:sz w:val="18"/>
                <w:szCs w:val="18"/>
              </w:rPr>
              <w:t>meses</w:t>
            </w:r>
            <w:r w:rsidRPr="006B39C0">
              <w:rPr>
                <w:rFonts w:asciiTheme="minorHAnsi" w:hAnsiTheme="minorHAnsi" w:cstheme="minorHAnsi"/>
                <w:i/>
                <w:iCs/>
                <w:sz w:val="18"/>
                <w:szCs w:val="18"/>
              </w:rPr>
              <w:t xml:space="preserve"> </w:t>
            </w:r>
            <w:proofErr w:type="spellStart"/>
            <w:r w:rsidRPr="006B39C0">
              <w:rPr>
                <w:rFonts w:asciiTheme="minorHAnsi" w:hAnsiTheme="minorHAnsi" w:cstheme="minorHAnsi"/>
                <w:i/>
                <w:iCs/>
                <w:sz w:val="18"/>
                <w:szCs w:val="18"/>
              </w:rPr>
              <w:t>result</w:t>
            </w:r>
            <w:proofErr w:type="spellEnd"/>
            <w:r w:rsidRPr="006B39C0">
              <w:rPr>
                <w:rFonts w:asciiTheme="minorHAnsi" w:hAnsiTheme="minorHAnsi" w:cstheme="minorHAnsi"/>
                <w:i/>
                <w:iCs/>
                <w:sz w:val="18"/>
                <w:szCs w:val="18"/>
              </w:rPr>
              <w:t xml:space="preserve"> </w:t>
            </w:r>
            <w:proofErr w:type="spellStart"/>
            <w:r w:rsidRPr="006B39C0">
              <w:rPr>
                <w:rFonts w:asciiTheme="minorHAnsi" w:hAnsiTheme="minorHAnsi" w:cstheme="minorHAnsi"/>
                <w:i/>
                <w:iCs/>
                <w:sz w:val="18"/>
                <w:szCs w:val="18"/>
              </w:rPr>
              <w:t>evaluation</w:t>
            </w:r>
            <w:proofErr w:type="spellEnd"/>
            <w:r w:rsidRPr="006B39C0">
              <w:rPr>
                <w:rFonts w:asciiTheme="minorHAnsi" w:hAnsiTheme="minorHAnsi" w:cstheme="minorHAnsi"/>
                <w:i/>
                <w:iCs/>
                <w:sz w:val="18"/>
                <w:szCs w:val="18"/>
              </w:rPr>
              <w:t xml:space="preserve"> </w:t>
            </w:r>
            <w:proofErr w:type="spellStart"/>
            <w:r w:rsidRPr="006B39C0">
              <w:rPr>
                <w:rFonts w:asciiTheme="minorHAnsi" w:hAnsiTheme="minorHAnsi" w:cstheme="minorHAnsi"/>
                <w:i/>
                <w:iCs/>
                <w:sz w:val="18"/>
                <w:szCs w:val="18"/>
              </w:rPr>
              <w:t>Component</w:t>
            </w:r>
            <w:proofErr w:type="spellEnd"/>
            <w:r w:rsidRPr="006B39C0">
              <w:rPr>
                <w:rFonts w:asciiTheme="minorHAnsi" w:hAnsiTheme="minorHAnsi" w:cstheme="minorHAnsi"/>
                <w:i/>
                <w:iCs/>
                <w:sz w:val="18"/>
                <w:szCs w:val="18"/>
              </w:rPr>
              <w:t xml:space="preserve"> 4</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0DD8A96" w14:textId="24A121C2" w:rsidR="001C07AC" w:rsidRPr="001C07AC" w:rsidRDefault="001C07AC" w:rsidP="001C07AC">
            <w:pPr>
              <w:jc w:val="both"/>
              <w:rPr>
                <w:rFonts w:asciiTheme="minorHAnsi" w:hAnsiTheme="minorHAnsi" w:cstheme="minorHAnsi"/>
                <w:i/>
                <w:iCs/>
                <w:sz w:val="18"/>
                <w:szCs w:val="18"/>
              </w:rPr>
            </w:pPr>
            <w:r w:rsidRPr="001C07AC">
              <w:rPr>
                <w:rFonts w:asciiTheme="minorHAnsi" w:hAnsiTheme="minorHAnsi" w:cstheme="minorHAnsi"/>
                <w:i/>
                <w:iCs/>
                <w:sz w:val="18"/>
                <w:szCs w:val="18"/>
              </w:rPr>
              <w:t xml:space="preserve">Bajo la orientación y supervisión del Coordinador del Proyecto, el/la </w:t>
            </w:r>
            <w:r w:rsidRPr="001C07AC">
              <w:rPr>
                <w:rFonts w:asciiTheme="minorHAnsi" w:hAnsiTheme="minorHAnsi" w:cstheme="minorHAnsi"/>
                <w:b/>
                <w:bCs/>
                <w:i/>
                <w:iCs/>
                <w:sz w:val="18"/>
                <w:szCs w:val="18"/>
              </w:rPr>
              <w:t>Especialista en Monitoreo Estratégico y Evaluación de Resultados</w:t>
            </w:r>
            <w:r>
              <w:rPr>
                <w:rFonts w:asciiTheme="minorHAnsi" w:hAnsiTheme="minorHAnsi" w:cstheme="minorHAnsi"/>
                <w:i/>
                <w:iCs/>
                <w:sz w:val="18"/>
                <w:szCs w:val="18"/>
              </w:rPr>
              <w:t xml:space="preserve"> </w:t>
            </w:r>
            <w:r w:rsidRPr="001C07AC">
              <w:rPr>
                <w:rFonts w:asciiTheme="minorHAnsi" w:hAnsiTheme="minorHAnsi" w:cstheme="minorHAnsi"/>
                <w:i/>
                <w:iCs/>
                <w:sz w:val="18"/>
                <w:szCs w:val="18"/>
              </w:rPr>
              <w:t>será responsable de realizar el seguimiento del proyecto para la elaboración de los informes presentados al donante.</w:t>
            </w:r>
          </w:p>
          <w:p w14:paraId="503D027D" w14:textId="77777777" w:rsidR="001C07AC" w:rsidRDefault="001C07AC" w:rsidP="001C07AC">
            <w:pPr>
              <w:jc w:val="both"/>
              <w:rPr>
                <w:rFonts w:asciiTheme="minorHAnsi" w:hAnsiTheme="minorHAnsi" w:cstheme="minorHAnsi"/>
                <w:i/>
                <w:iCs/>
                <w:sz w:val="18"/>
                <w:szCs w:val="18"/>
              </w:rPr>
            </w:pPr>
          </w:p>
          <w:p w14:paraId="4E1A3E83" w14:textId="6C95F74C" w:rsidR="001C07AC" w:rsidRPr="001C07AC" w:rsidRDefault="001C07AC" w:rsidP="001C07AC">
            <w:pPr>
              <w:jc w:val="both"/>
              <w:rPr>
                <w:rFonts w:asciiTheme="minorHAnsi" w:hAnsiTheme="minorHAnsi" w:cstheme="minorHAnsi"/>
                <w:i/>
                <w:iCs/>
                <w:sz w:val="18"/>
                <w:szCs w:val="18"/>
              </w:rPr>
            </w:pPr>
            <w:r w:rsidRPr="001C07AC">
              <w:rPr>
                <w:rFonts w:asciiTheme="minorHAnsi" w:hAnsiTheme="minorHAnsi" w:cstheme="minorHAnsi"/>
                <w:i/>
                <w:iCs/>
                <w:sz w:val="18"/>
                <w:szCs w:val="18"/>
              </w:rPr>
              <w:t>Roles y responsabilidades:</w:t>
            </w:r>
          </w:p>
          <w:p w14:paraId="5FDD03E5"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Diseñar, implementar y monitorear el sistema de Monitoreo, Evaluación y Aprendizaje (MEL) del proyecto, asegurando su alineación con los estándares del FMAM, las directrices del PNUD y los enfoques transversales del proyecto (género, interculturalidad y derechos colectivos).</w:t>
            </w:r>
          </w:p>
          <w:p w14:paraId="3CEB4CE5"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Establecer indicadores de desempeño técnicos, ambientales, sociales y de género para los resultados e impactos del proyecto, desagregados por sexo, edad, grupo étnico y territorio.</w:t>
            </w:r>
          </w:p>
          <w:p w14:paraId="29F1CBD4"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Coordinar la elaboración y actualización de la línea base, la matriz de resultados, el marco de indicadores y el plan de monitoreo, garantizando su integración en el sistema MEL del PNUD y en los informes del FMAM (PIR, APR, entre otros).</w:t>
            </w:r>
          </w:p>
          <w:p w14:paraId="3C25474D"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Monitorear de manera sistemática el avance en la implementación de los componentes, resultados y productos del proyecto, en coordinación con el equipo técnico, los coordinadores territoriales y los especialistas temáticos.</w:t>
            </w:r>
          </w:p>
          <w:p w14:paraId="7D2D3327"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Supervisar la recolección de datos en campo y asegurar la calidad, trazabilidad y coherencia de la información técnica generada por el proyecto, incluyendo herramientas participativas como el Sistema de Alerta Temprana (SAT) y el Plan de Monitoreo Comunitario.</w:t>
            </w:r>
          </w:p>
          <w:p w14:paraId="4A106BBC"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Apoyar la preparación de los informes técnicos semestrales y anuales del proyecto, proporcionando análisis de avances, alertas tempranas, desviaciones, recomendaciones y aportes para la toma de decisiones.</w:t>
            </w:r>
          </w:p>
          <w:p w14:paraId="7301DBD8"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Coordinar y apoyar las evaluaciones externas requeridas por el proyecto (Revisión de Medio Término – RMT y Evaluación Final Independiente – EFI), facilitando el acceso a la información, entrevistas clave y visitas de campo.</w:t>
            </w:r>
          </w:p>
          <w:p w14:paraId="295BD16D"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Identificar y sistematizar buenas prácticas, lecciones aprendidas y elementos clave de innovación y escalabilidad, en coordinación con la estrategia de gestión del conocimiento y la estrategia de salida del proyecto.</w:t>
            </w:r>
          </w:p>
          <w:p w14:paraId="427E0210" w14:textId="77777777" w:rsidR="001C07AC"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Asegurar la integración de los mecanismos de monitoreo de salvaguardas ambientales y sociales, reportando riesgos, medidas de mitigación y el cumplimiento de los estándares a lo largo del ciclo del proyecto.</w:t>
            </w:r>
          </w:p>
          <w:p w14:paraId="2ECBD363" w14:textId="77777777" w:rsidR="1D9DC7A6" w:rsidRPr="001C07AC" w:rsidRDefault="001C07AC" w:rsidP="00EC2CBE">
            <w:pPr>
              <w:pStyle w:val="Prrafodelista"/>
              <w:numPr>
                <w:ilvl w:val="0"/>
                <w:numId w:val="111"/>
              </w:numPr>
              <w:jc w:val="both"/>
              <w:rPr>
                <w:rFonts w:asciiTheme="minorHAnsi" w:hAnsiTheme="minorHAnsi" w:cstheme="minorHAnsi"/>
                <w:i/>
                <w:iCs/>
                <w:sz w:val="18"/>
                <w:szCs w:val="18"/>
              </w:rPr>
            </w:pPr>
            <w:r w:rsidRPr="001C07AC">
              <w:rPr>
                <w:rFonts w:asciiTheme="minorHAnsi" w:hAnsiTheme="minorHAnsi" w:cstheme="minorHAnsi"/>
                <w:i/>
                <w:iCs/>
                <w:sz w:val="18"/>
                <w:szCs w:val="18"/>
              </w:rPr>
              <w:t>Elaborar informes técnicos periódicos de M&amp;E, alimentar los sistemas institucionales de reporte del PNUD y del FMAM, y apoyar procesos participativos de retroalimentación con los actores territoriales.</w:t>
            </w:r>
          </w:p>
          <w:p w14:paraId="2194F8B4" w14:textId="77777777" w:rsidR="001C07AC" w:rsidRDefault="001C07AC" w:rsidP="001C07AC">
            <w:pPr>
              <w:jc w:val="both"/>
              <w:rPr>
                <w:rFonts w:asciiTheme="minorHAnsi" w:hAnsiTheme="minorHAnsi" w:cstheme="minorHAnsi"/>
                <w:i/>
                <w:iCs/>
                <w:sz w:val="18"/>
                <w:szCs w:val="18"/>
              </w:rPr>
            </w:pPr>
          </w:p>
          <w:p w14:paraId="00B17F79" w14:textId="7721F3E1" w:rsidR="001C07AC" w:rsidRPr="001C07AC" w:rsidRDefault="001C07AC" w:rsidP="001C07AC">
            <w:pPr>
              <w:jc w:val="both"/>
              <w:rPr>
                <w:rFonts w:asciiTheme="minorHAnsi" w:hAnsiTheme="minorHAnsi" w:cstheme="minorHAnsi"/>
                <w:i/>
                <w:iCs/>
                <w:sz w:val="18"/>
                <w:szCs w:val="18"/>
              </w:rPr>
            </w:pPr>
          </w:p>
        </w:tc>
      </w:tr>
      <w:tr w:rsidR="1D9DC7A6" w:rsidRPr="006B39C0" w14:paraId="7B3E88A1"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5A56D4D5" w14:textId="16D17132" w:rsidR="1D9DC7A6" w:rsidRPr="006B39C0" w:rsidRDefault="001C07AC" w:rsidP="00391502">
            <w:pPr>
              <w:spacing w:before="150" w:after="45"/>
              <w:rPr>
                <w:rFonts w:asciiTheme="minorHAnsi" w:hAnsiTheme="minorHAnsi" w:cstheme="minorHAnsi"/>
                <w:b/>
                <w:bCs/>
                <w:i/>
                <w:iCs/>
                <w:sz w:val="18"/>
                <w:szCs w:val="18"/>
              </w:rPr>
            </w:pPr>
            <w:r w:rsidRPr="001C07AC">
              <w:rPr>
                <w:rFonts w:asciiTheme="minorHAnsi" w:hAnsiTheme="minorHAnsi" w:cstheme="minorHAnsi"/>
                <w:b/>
                <w:bCs/>
                <w:i/>
                <w:iCs/>
                <w:sz w:val="18"/>
                <w:szCs w:val="18"/>
              </w:rPr>
              <w:t>Asistente de Logística y Talleres</w:t>
            </w:r>
          </w:p>
          <w:p w14:paraId="4EB3C7D3" w14:textId="02F97D0B" w:rsidR="1D9DC7A6" w:rsidRPr="006B39C0" w:rsidRDefault="00970E5E" w:rsidP="00391502">
            <w:pPr>
              <w:spacing w:before="150" w:after="150"/>
              <w:rPr>
                <w:rFonts w:asciiTheme="minorHAnsi" w:hAnsiTheme="minorHAnsi" w:cstheme="minorHAnsi"/>
                <w:i/>
                <w:iCs/>
                <w:sz w:val="18"/>
                <w:szCs w:val="18"/>
              </w:rPr>
            </w:pPr>
            <w:proofErr w:type="spellStart"/>
            <w:proofErr w:type="gramStart"/>
            <w:r w:rsidRPr="006B39C0">
              <w:rPr>
                <w:rFonts w:asciiTheme="minorHAnsi" w:hAnsiTheme="minorHAnsi" w:cstheme="minorHAnsi"/>
                <w:i/>
                <w:iCs/>
                <w:sz w:val="18"/>
                <w:szCs w:val="18"/>
              </w:rPr>
              <w:lastRenderedPageBreak/>
              <w:t>Tarifa:</w:t>
            </w:r>
            <w:r w:rsidR="1D9DC7A6" w:rsidRPr="006B39C0">
              <w:rPr>
                <w:rFonts w:asciiTheme="minorHAnsi" w:hAnsiTheme="minorHAnsi" w:cstheme="minorHAnsi"/>
                <w:i/>
                <w:iCs/>
                <w:sz w:val="18"/>
                <w:szCs w:val="18"/>
              </w:rPr>
              <w:t>USD</w:t>
            </w:r>
            <w:proofErr w:type="spellEnd"/>
            <w:proofErr w:type="gramEnd"/>
            <w:r w:rsidR="1D9DC7A6" w:rsidRPr="006B39C0">
              <w:rPr>
                <w:rFonts w:asciiTheme="minorHAnsi" w:hAnsiTheme="minorHAnsi" w:cstheme="minorHAnsi"/>
                <w:i/>
                <w:iCs/>
                <w:sz w:val="18"/>
                <w:szCs w:val="18"/>
              </w:rPr>
              <w:t xml:space="preserve"> 1,447 / </w:t>
            </w:r>
            <w:r w:rsidRPr="006B39C0">
              <w:rPr>
                <w:rFonts w:asciiTheme="minorHAnsi" w:hAnsiTheme="minorHAnsi" w:cstheme="minorHAnsi"/>
                <w:i/>
                <w:iCs/>
                <w:sz w:val="18"/>
                <w:szCs w:val="18"/>
              </w:rPr>
              <w:t>Mes</w:t>
            </w:r>
          </w:p>
          <w:p w14:paraId="4D86D5FB" w14:textId="3A1F2871" w:rsidR="1D9DC7A6" w:rsidRPr="006B39C0" w:rsidRDefault="1D9DC7A6" w:rsidP="00391502">
            <w:pPr>
              <w:spacing w:before="150" w:after="45"/>
              <w:rPr>
                <w:rFonts w:asciiTheme="minorHAnsi" w:hAnsiTheme="minorHAnsi" w:cstheme="minorHAnsi"/>
                <w:sz w:val="18"/>
                <w:szCs w:val="18"/>
              </w:rPr>
            </w:pPr>
          </w:p>
          <w:p w14:paraId="19FC67F2" w14:textId="6FDD094E"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24</w:t>
            </w:r>
          </w:p>
          <w:p w14:paraId="5AC0BC00" w14:textId="05773F5A"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A317728" w14:textId="72B65C34"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54 </w:t>
            </w:r>
            <w:r w:rsidR="0072491F" w:rsidRPr="006B39C0">
              <w:rPr>
                <w:rFonts w:asciiTheme="minorHAnsi" w:hAnsiTheme="minorHAnsi" w:cstheme="minorHAnsi"/>
                <w:i/>
                <w:iCs/>
                <w:sz w:val="18"/>
                <w:szCs w:val="18"/>
              </w:rPr>
              <w:t>meses</w:t>
            </w:r>
          </w:p>
          <w:p w14:paraId="62A64F1D" w14:textId="68872C46" w:rsidR="1D9DC7A6" w:rsidRPr="006B39C0" w:rsidRDefault="1D9DC7A6" w:rsidP="00391502">
            <w:pPr>
              <w:spacing w:before="150" w:after="45"/>
              <w:jc w:val="both"/>
              <w:rPr>
                <w:rFonts w:asciiTheme="minorHAnsi" w:hAnsiTheme="minorHAnsi" w:cstheme="minorHAnsi"/>
                <w:sz w:val="18"/>
                <w:szCs w:val="18"/>
              </w:rPr>
            </w:pPr>
          </w:p>
          <w:p w14:paraId="3893D0B6" w14:textId="019D1356" w:rsidR="1D9DC7A6" w:rsidRPr="006B39C0" w:rsidRDefault="1D9DC7A6" w:rsidP="00391502">
            <w:pPr>
              <w:spacing w:before="150" w:after="45"/>
              <w:jc w:val="both"/>
              <w:rPr>
                <w:rFonts w:asciiTheme="minorHAnsi" w:hAnsiTheme="minorHAnsi" w:cstheme="minorHAnsi"/>
                <w:sz w:val="18"/>
                <w:szCs w:val="18"/>
              </w:rPr>
            </w:pP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68CB6E2" w14:textId="294C390B"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 xml:space="preserve">Propósito: el/ la </w:t>
            </w:r>
            <w:r w:rsidRPr="001C07AC">
              <w:rPr>
                <w:rFonts w:asciiTheme="minorHAnsi" w:hAnsiTheme="minorHAnsi" w:cstheme="minorHAnsi"/>
                <w:b/>
                <w:bCs/>
                <w:i/>
                <w:iCs/>
                <w:sz w:val="18"/>
                <w:szCs w:val="18"/>
              </w:rPr>
              <w:t>Asistente de Logística y Talleres</w:t>
            </w:r>
            <w:r w:rsidRPr="001C07AC">
              <w:rPr>
                <w:rFonts w:asciiTheme="minorHAnsi" w:hAnsiTheme="minorHAnsi" w:cstheme="minorHAnsi"/>
                <w:i/>
                <w:iCs/>
                <w:sz w:val="18"/>
                <w:szCs w:val="18"/>
              </w:rPr>
              <w:t xml:space="preserve"> </w:t>
            </w:r>
            <w:r>
              <w:rPr>
                <w:rFonts w:asciiTheme="minorHAnsi" w:hAnsiTheme="minorHAnsi" w:cstheme="minorHAnsi"/>
                <w:i/>
                <w:iCs/>
                <w:sz w:val="18"/>
                <w:szCs w:val="18"/>
              </w:rPr>
              <w:t>a</w:t>
            </w:r>
            <w:r w:rsidRPr="001C07AC">
              <w:rPr>
                <w:rFonts w:asciiTheme="minorHAnsi" w:hAnsiTheme="minorHAnsi" w:cstheme="minorHAnsi"/>
                <w:i/>
                <w:iCs/>
                <w:sz w:val="18"/>
                <w:szCs w:val="18"/>
              </w:rPr>
              <w:t>poyar</w:t>
            </w:r>
            <w:r>
              <w:rPr>
                <w:rFonts w:asciiTheme="minorHAnsi" w:hAnsiTheme="minorHAnsi" w:cstheme="minorHAnsi"/>
                <w:i/>
                <w:iCs/>
                <w:sz w:val="18"/>
                <w:szCs w:val="18"/>
              </w:rPr>
              <w:t>a</w:t>
            </w:r>
            <w:r w:rsidRPr="001C07AC">
              <w:rPr>
                <w:rFonts w:asciiTheme="minorHAnsi" w:hAnsiTheme="minorHAnsi" w:cstheme="minorHAnsi"/>
                <w:i/>
                <w:iCs/>
                <w:sz w:val="18"/>
                <w:szCs w:val="18"/>
              </w:rPr>
              <w:t xml:space="preserve"> la planificación y ejecución logística de talleres, capacitaciones y reuniones del proyecto.</w:t>
            </w:r>
          </w:p>
          <w:p w14:paraId="1F50D737" w14:textId="77777777" w:rsidR="001C07AC" w:rsidRPr="001C07AC" w:rsidRDefault="001C07AC" w:rsidP="001C07AC">
            <w:pPr>
              <w:rPr>
                <w:rFonts w:asciiTheme="minorHAnsi" w:hAnsiTheme="minorHAnsi" w:cstheme="minorHAnsi"/>
                <w:i/>
                <w:iCs/>
                <w:sz w:val="18"/>
                <w:szCs w:val="18"/>
              </w:rPr>
            </w:pPr>
          </w:p>
          <w:p w14:paraId="7B5D2E05" w14:textId="77777777"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Responsabilidades Principales:</w:t>
            </w:r>
          </w:p>
          <w:p w14:paraId="739A04E7" w14:textId="77777777" w:rsidR="001C07AC" w:rsidRPr="001C07AC" w:rsidRDefault="001C07AC" w:rsidP="00EC2CBE">
            <w:pPr>
              <w:pStyle w:val="Prrafodelista"/>
              <w:numPr>
                <w:ilvl w:val="0"/>
                <w:numId w:val="112"/>
              </w:numPr>
              <w:rPr>
                <w:rFonts w:asciiTheme="minorHAnsi" w:hAnsiTheme="minorHAnsi" w:cstheme="minorHAnsi"/>
                <w:i/>
                <w:iCs/>
                <w:sz w:val="18"/>
                <w:szCs w:val="18"/>
              </w:rPr>
            </w:pPr>
            <w:r w:rsidRPr="001C07AC">
              <w:rPr>
                <w:rFonts w:asciiTheme="minorHAnsi" w:hAnsiTheme="minorHAnsi" w:cstheme="minorHAnsi"/>
                <w:i/>
                <w:iCs/>
                <w:sz w:val="18"/>
                <w:szCs w:val="18"/>
              </w:rPr>
              <w:t>Gestionar reservas, materiales y requerimientos logísticos.</w:t>
            </w:r>
          </w:p>
          <w:p w14:paraId="76BAFC77" w14:textId="77777777" w:rsidR="001C07AC" w:rsidRPr="001C07AC" w:rsidRDefault="001C07AC" w:rsidP="00EC2CBE">
            <w:pPr>
              <w:pStyle w:val="Prrafodelista"/>
              <w:numPr>
                <w:ilvl w:val="0"/>
                <w:numId w:val="112"/>
              </w:numPr>
              <w:rPr>
                <w:rFonts w:asciiTheme="minorHAnsi" w:hAnsiTheme="minorHAnsi" w:cstheme="minorHAnsi"/>
                <w:i/>
                <w:iCs/>
                <w:sz w:val="18"/>
                <w:szCs w:val="18"/>
              </w:rPr>
            </w:pPr>
            <w:r w:rsidRPr="001C07AC">
              <w:rPr>
                <w:rFonts w:asciiTheme="minorHAnsi" w:hAnsiTheme="minorHAnsi" w:cstheme="minorHAnsi"/>
                <w:i/>
                <w:iCs/>
                <w:sz w:val="18"/>
                <w:szCs w:val="18"/>
              </w:rPr>
              <w:t>Brindar apoyo operativo durante talleres y misiones técnicas.</w:t>
            </w:r>
          </w:p>
          <w:p w14:paraId="368F68E0" w14:textId="7E744675" w:rsidR="1D9DC7A6" w:rsidRPr="001C07AC" w:rsidRDefault="001C07AC" w:rsidP="00EC2CBE">
            <w:pPr>
              <w:pStyle w:val="Prrafodelista"/>
              <w:numPr>
                <w:ilvl w:val="0"/>
                <w:numId w:val="112"/>
              </w:numPr>
              <w:rPr>
                <w:rFonts w:asciiTheme="minorHAnsi" w:hAnsiTheme="minorHAnsi" w:cstheme="minorHAnsi"/>
                <w:sz w:val="18"/>
                <w:szCs w:val="18"/>
              </w:rPr>
            </w:pPr>
            <w:r w:rsidRPr="001C07AC">
              <w:rPr>
                <w:rFonts w:asciiTheme="minorHAnsi" w:hAnsiTheme="minorHAnsi" w:cstheme="minorHAnsi"/>
                <w:i/>
                <w:iCs/>
                <w:sz w:val="18"/>
                <w:szCs w:val="18"/>
              </w:rPr>
              <w:lastRenderedPageBreak/>
              <w:t>Mantener un inventario básico de suministros para eventos.</w:t>
            </w:r>
          </w:p>
        </w:tc>
      </w:tr>
      <w:tr w:rsidR="1D9DC7A6" w:rsidRPr="006B39C0" w14:paraId="22FB0F1B"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75050FF" w14:textId="362DBBFD" w:rsidR="1D9DC7A6" w:rsidRPr="006B39C0" w:rsidRDefault="001C07AC" w:rsidP="00391502">
            <w:pPr>
              <w:spacing w:before="150" w:after="45"/>
              <w:rPr>
                <w:rFonts w:asciiTheme="minorHAnsi" w:hAnsiTheme="minorHAnsi" w:cstheme="minorHAnsi"/>
                <w:b/>
                <w:bCs/>
                <w:i/>
                <w:iCs/>
                <w:sz w:val="18"/>
                <w:szCs w:val="18"/>
              </w:rPr>
            </w:pPr>
            <w:r>
              <w:rPr>
                <w:rFonts w:asciiTheme="minorHAnsi" w:hAnsiTheme="minorHAnsi" w:cstheme="minorHAnsi"/>
                <w:b/>
                <w:bCs/>
                <w:i/>
                <w:iCs/>
                <w:sz w:val="18"/>
                <w:szCs w:val="18"/>
              </w:rPr>
              <w:lastRenderedPageBreak/>
              <w:t>Consultores internacionales</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0E4831E" w14:textId="44E9A3A5" w:rsidR="1D9DC7A6" w:rsidRPr="006B39C0" w:rsidRDefault="1D9DC7A6" w:rsidP="00391502">
            <w:pPr>
              <w:spacing w:before="150" w:after="45"/>
              <w:jc w:val="both"/>
              <w:rPr>
                <w:rFonts w:asciiTheme="minorHAnsi" w:hAnsiTheme="minorHAnsi" w:cstheme="minorHAnsi"/>
                <w:sz w:val="18"/>
                <w:szCs w:val="18"/>
              </w:rPr>
            </w:pP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B6655EE" w14:textId="2DA8D75B" w:rsidR="1D9DC7A6" w:rsidRPr="006B39C0" w:rsidRDefault="1D9DC7A6" w:rsidP="00391502">
            <w:pPr>
              <w:spacing w:before="150" w:after="45"/>
              <w:rPr>
                <w:rFonts w:asciiTheme="minorHAnsi" w:hAnsiTheme="minorHAnsi" w:cstheme="minorHAnsi"/>
                <w:sz w:val="18"/>
                <w:szCs w:val="18"/>
              </w:rPr>
            </w:pPr>
          </w:p>
        </w:tc>
      </w:tr>
      <w:tr w:rsidR="1D9DC7A6" w:rsidRPr="006B39C0" w14:paraId="3F0CB681"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DE78616" w14:textId="73BAC7EF" w:rsidR="1D9DC7A6" w:rsidRPr="006B39C0" w:rsidRDefault="001C07AC" w:rsidP="00391502">
            <w:pPr>
              <w:spacing w:before="150" w:after="45"/>
              <w:rPr>
                <w:rFonts w:asciiTheme="minorHAnsi" w:hAnsiTheme="minorHAnsi" w:cstheme="minorHAnsi"/>
                <w:sz w:val="18"/>
                <w:szCs w:val="18"/>
              </w:rPr>
            </w:pPr>
            <w:r w:rsidRPr="001C07AC">
              <w:rPr>
                <w:rFonts w:asciiTheme="minorHAnsi" w:hAnsiTheme="minorHAnsi" w:cstheme="minorHAnsi"/>
                <w:b/>
                <w:bCs/>
                <w:i/>
                <w:iCs/>
                <w:sz w:val="18"/>
                <w:szCs w:val="18"/>
              </w:rPr>
              <w:t xml:space="preserve">Consultor/a Internacional </w:t>
            </w:r>
            <w:r>
              <w:rPr>
                <w:rFonts w:asciiTheme="minorHAnsi" w:hAnsiTheme="minorHAnsi" w:cstheme="minorHAnsi"/>
                <w:b/>
                <w:bCs/>
                <w:i/>
                <w:iCs/>
                <w:sz w:val="18"/>
                <w:szCs w:val="18"/>
              </w:rPr>
              <w:t>-</w:t>
            </w:r>
            <w:r w:rsidRPr="001C07AC">
              <w:rPr>
                <w:rFonts w:asciiTheme="minorHAnsi" w:hAnsiTheme="minorHAnsi" w:cstheme="minorHAnsi"/>
                <w:b/>
                <w:bCs/>
                <w:i/>
                <w:iCs/>
                <w:sz w:val="18"/>
                <w:szCs w:val="18"/>
              </w:rPr>
              <w:t xml:space="preserve"> Evaluación de Impacto Ambiental y Social (EIAS)</w:t>
            </w:r>
          </w:p>
          <w:p w14:paraId="39B52F86" w14:textId="3431EAB7" w:rsidR="1D9DC7A6" w:rsidRPr="001C07AC" w:rsidRDefault="001C07AC" w:rsidP="00391502">
            <w:pPr>
              <w:spacing w:before="150" w:after="45"/>
              <w:rPr>
                <w:rFonts w:asciiTheme="minorHAnsi" w:hAnsiTheme="minorHAnsi" w:cstheme="minorHAnsi"/>
                <w:i/>
                <w:iCs/>
                <w:sz w:val="18"/>
                <w:szCs w:val="18"/>
                <w:lang w:val="es-EC"/>
              </w:rPr>
            </w:pPr>
            <w:r w:rsidRPr="001C07AC">
              <w:rPr>
                <w:rFonts w:asciiTheme="minorHAnsi" w:hAnsiTheme="minorHAnsi" w:cstheme="minorHAnsi"/>
                <w:b/>
                <w:bCs/>
                <w:i/>
                <w:iCs/>
                <w:sz w:val="18"/>
                <w:szCs w:val="18"/>
                <w:lang w:val="es-EC"/>
              </w:rPr>
              <w:t>Tipo de contrato</w:t>
            </w:r>
            <w:r w:rsidR="1D9DC7A6" w:rsidRPr="001C07AC">
              <w:rPr>
                <w:rFonts w:asciiTheme="minorHAnsi" w:hAnsiTheme="minorHAnsi" w:cstheme="minorHAnsi"/>
                <w:b/>
                <w:bCs/>
                <w:i/>
                <w:iCs/>
                <w:sz w:val="18"/>
                <w:szCs w:val="18"/>
                <w:lang w:val="es-EC"/>
              </w:rPr>
              <w:t>:</w:t>
            </w:r>
            <w:r w:rsidR="1D9DC7A6" w:rsidRPr="001C07AC">
              <w:rPr>
                <w:rFonts w:asciiTheme="minorHAnsi" w:hAnsiTheme="minorHAnsi" w:cstheme="minorHAnsi"/>
                <w:i/>
                <w:iCs/>
                <w:sz w:val="18"/>
                <w:szCs w:val="18"/>
                <w:lang w:val="es-EC"/>
              </w:rPr>
              <w:t xml:space="preserve"> Individual </w:t>
            </w:r>
            <w:proofErr w:type="spellStart"/>
            <w:r w:rsidR="1D9DC7A6" w:rsidRPr="001C07AC">
              <w:rPr>
                <w:rFonts w:asciiTheme="minorHAnsi" w:hAnsiTheme="minorHAnsi" w:cstheme="minorHAnsi"/>
                <w:i/>
                <w:iCs/>
                <w:sz w:val="18"/>
                <w:szCs w:val="18"/>
                <w:lang w:val="es-EC"/>
              </w:rPr>
              <w:t>international</w:t>
            </w:r>
            <w:proofErr w:type="spellEnd"/>
            <w:r w:rsidR="1D9DC7A6" w:rsidRPr="001C07AC">
              <w:rPr>
                <w:rFonts w:asciiTheme="minorHAnsi" w:hAnsiTheme="minorHAnsi" w:cstheme="minorHAnsi"/>
                <w:i/>
                <w:iCs/>
                <w:sz w:val="18"/>
                <w:szCs w:val="18"/>
                <w:lang w:val="es-EC"/>
              </w:rPr>
              <w:t xml:space="preserve"> </w:t>
            </w:r>
            <w:proofErr w:type="spellStart"/>
            <w:r w:rsidR="1D9DC7A6" w:rsidRPr="001C07AC">
              <w:rPr>
                <w:rFonts w:asciiTheme="minorHAnsi" w:hAnsiTheme="minorHAnsi" w:cstheme="minorHAnsi"/>
                <w:i/>
                <w:iCs/>
                <w:sz w:val="18"/>
                <w:szCs w:val="18"/>
                <w:lang w:val="es-EC"/>
              </w:rPr>
              <w:t>consultancy</w:t>
            </w:r>
            <w:proofErr w:type="spellEnd"/>
          </w:p>
          <w:p w14:paraId="3AB66D85" w14:textId="43C2D3ED" w:rsidR="1D9DC7A6" w:rsidRPr="001C07AC" w:rsidRDefault="1D9DC7A6" w:rsidP="00391502">
            <w:pPr>
              <w:spacing w:before="150" w:after="45"/>
              <w:rPr>
                <w:rFonts w:asciiTheme="minorHAnsi" w:hAnsiTheme="minorHAnsi" w:cstheme="minorHAnsi"/>
                <w:sz w:val="18"/>
                <w:szCs w:val="18"/>
                <w:lang w:val="es-EC"/>
              </w:rPr>
            </w:pPr>
          </w:p>
          <w:p w14:paraId="654A4954" w14:textId="54D86A01"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26</w:t>
            </w:r>
          </w:p>
          <w:p w14:paraId="11DF03B8" w14:textId="2C55FF5A" w:rsidR="1D9DC7A6" w:rsidRPr="006B39C0" w:rsidRDefault="1D9DC7A6" w:rsidP="00391502">
            <w:pPr>
              <w:spacing w:before="150" w:after="45"/>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209403B9" w14:textId="5BB589AD" w:rsidR="1D9DC7A6" w:rsidRPr="006B39C0" w:rsidRDefault="1D9DC7A6" w:rsidP="00391502">
            <w:pPr>
              <w:spacing w:before="150" w:after="45"/>
              <w:jc w:val="both"/>
              <w:rPr>
                <w:rFonts w:asciiTheme="minorHAnsi" w:hAnsiTheme="minorHAnsi" w:cstheme="minorHAnsi"/>
                <w:b/>
                <w:bCs/>
                <w:i/>
                <w:iCs/>
                <w:sz w:val="18"/>
                <w:szCs w:val="18"/>
              </w:rPr>
            </w:pPr>
            <w:r w:rsidRPr="006B39C0">
              <w:rPr>
                <w:rFonts w:asciiTheme="minorHAnsi" w:hAnsiTheme="minorHAnsi" w:cstheme="minorHAnsi"/>
                <w:b/>
                <w:bCs/>
                <w:i/>
                <w:iCs/>
                <w:sz w:val="18"/>
                <w:szCs w:val="18"/>
              </w:rPr>
              <w:t xml:space="preserve">3 </w:t>
            </w:r>
            <w:r w:rsidR="0072491F" w:rsidRPr="006B39C0">
              <w:rPr>
                <w:rFonts w:asciiTheme="minorHAnsi" w:hAnsiTheme="minorHAnsi" w:cstheme="minorHAnsi"/>
                <w:b/>
                <w:bCs/>
                <w:i/>
                <w:iCs/>
                <w:sz w:val="18"/>
                <w:szCs w:val="18"/>
              </w:rPr>
              <w:t>meses</w:t>
            </w:r>
            <w:r w:rsidRPr="006B39C0">
              <w:rPr>
                <w:rFonts w:asciiTheme="minorHAnsi" w:hAnsiTheme="minorHAnsi" w:cstheme="minorHAnsi"/>
                <w:b/>
                <w:bCs/>
                <w:i/>
                <w:iCs/>
                <w:sz w:val="18"/>
                <w:szCs w:val="18"/>
              </w:rPr>
              <w:t xml:space="preserve"> </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742486F2" w14:textId="77777777"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 xml:space="preserve">Bajo la orientación del Coordinador del Proyecto y en estrecha coordinación con el/la Especialista en Salvaguardas, el/la </w:t>
            </w:r>
            <w:r w:rsidRPr="001C07AC">
              <w:rPr>
                <w:rFonts w:asciiTheme="minorHAnsi" w:hAnsiTheme="minorHAnsi" w:cstheme="minorHAnsi"/>
                <w:b/>
                <w:bCs/>
                <w:i/>
                <w:iCs/>
                <w:sz w:val="18"/>
                <w:szCs w:val="18"/>
              </w:rPr>
              <w:t>Consultor/a Internacional será responsable de diseñar y ejecutar una Evaluación de Impacto Ambiental y Social (EIAS)</w:t>
            </w:r>
            <w:r w:rsidRPr="001C07AC">
              <w:rPr>
                <w:rFonts w:asciiTheme="minorHAnsi" w:hAnsiTheme="minorHAnsi" w:cstheme="minorHAnsi"/>
                <w:i/>
                <w:iCs/>
                <w:sz w:val="18"/>
                <w:szCs w:val="18"/>
              </w:rPr>
              <w:t xml:space="preserve"> integral del proyecto, asegurando el cumplimiento de la normativa ambiental nacional, así como de las normas sociales y ambientales del PNUD y del FMAM.</w:t>
            </w:r>
          </w:p>
          <w:p w14:paraId="3859E411" w14:textId="77777777"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Lugar: Modalidad remota y trabajo de campo (cuenca del río Napo)</w:t>
            </w:r>
          </w:p>
          <w:p w14:paraId="6B8F42DB" w14:textId="77777777"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Cantidad: 1 (al inicio del proyecto)</w:t>
            </w:r>
          </w:p>
          <w:p w14:paraId="7204ADDD" w14:textId="77777777"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Duración estimada: De acuerdo con la planificación del Producto 1.1.1.2</w:t>
            </w:r>
          </w:p>
          <w:p w14:paraId="0A70A41E" w14:textId="77777777" w:rsidR="001C07AC" w:rsidRDefault="001C07AC" w:rsidP="001C07AC">
            <w:pPr>
              <w:rPr>
                <w:rFonts w:asciiTheme="minorHAnsi" w:hAnsiTheme="minorHAnsi" w:cstheme="minorHAnsi"/>
                <w:i/>
                <w:iCs/>
                <w:sz w:val="18"/>
                <w:szCs w:val="18"/>
              </w:rPr>
            </w:pPr>
          </w:p>
          <w:p w14:paraId="388EDD1D" w14:textId="328098BF" w:rsidR="001C07AC" w:rsidRPr="001C07AC" w:rsidRDefault="001C07AC" w:rsidP="001C07AC">
            <w:pPr>
              <w:rPr>
                <w:rFonts w:asciiTheme="minorHAnsi" w:hAnsiTheme="minorHAnsi" w:cstheme="minorHAnsi"/>
                <w:i/>
                <w:iCs/>
                <w:sz w:val="18"/>
                <w:szCs w:val="18"/>
              </w:rPr>
            </w:pPr>
            <w:r w:rsidRPr="001C07AC">
              <w:rPr>
                <w:rFonts w:asciiTheme="minorHAnsi" w:hAnsiTheme="minorHAnsi" w:cstheme="minorHAnsi"/>
                <w:i/>
                <w:iCs/>
                <w:sz w:val="18"/>
                <w:szCs w:val="18"/>
              </w:rPr>
              <w:t>Roles y responsabilidades:</w:t>
            </w:r>
          </w:p>
          <w:p w14:paraId="5BC575AE"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Elaborar una propuesta metodológica detallada para la EIAS del proyecto, que incluya el marco analítico, las herramientas participativas y los criterios de evaluación, con enfoque de género, interculturalidad y derechos colectivos.</w:t>
            </w:r>
          </w:p>
          <w:p w14:paraId="41406D60"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Coordinar con el equipo técnico y de campo la recopilación de información relevante, incluyendo estudios de línea base, evaluaciones socioambientales, planes de manejo, normativa vigente e instrumentos de ordenamiento territorial.</w:t>
            </w:r>
          </w:p>
          <w:p w14:paraId="5FB0DB8F"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Identificar y evaluar los posibles riesgos e impactos ambientales y sociales del proyecto, considerando factores como la degradación de la tierra, los impactos sobre ecosistemas sensibles, la tenencia de la tierra, el uso del agua, la gobernanza local y los derechos de los pueblos indígenas.</w:t>
            </w:r>
          </w:p>
          <w:p w14:paraId="1EE3D511"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Analizar los impactos diferenciados por género, edad y etnia, en particular aquellos que puedan afectar de manera desproporcionada a mujeres, jóvenes y nacionalidades indígenas.</w:t>
            </w:r>
          </w:p>
          <w:p w14:paraId="2571B808"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Proponer medidas de prevención, mitigación y compensación de impactos, asegurando su viabilidad técnica, pertinencia cultural y coherencia con las políticas de salvaguardas del PNUD y del MAE.</w:t>
            </w:r>
          </w:p>
          <w:p w14:paraId="16ADCFFE"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Elaborar un Plan de Gestión Ambiental y Social (PGAS) del proyecto, que incluya indicadores de monitoreo, responsables, cronograma y costos estimados.</w:t>
            </w:r>
          </w:p>
          <w:p w14:paraId="251108E2"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Fortalecer las capacidades del equipo técnico del proyecto y de sus socios implementadores mediante la transferencia metodológica de herramientas de análisis y gestión de riesgos socioambientales.</w:t>
            </w:r>
          </w:p>
          <w:p w14:paraId="198E9621" w14:textId="77777777" w:rsidR="001C07AC"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Validar los hallazgos y recomendaciones de la EIAS con los actores clave del proyecto a través de talleres, mesas técnicas o procesos participativos de retroalimentación.</w:t>
            </w:r>
          </w:p>
          <w:p w14:paraId="0E22232B" w14:textId="77777777" w:rsidR="001C07AC" w:rsidRPr="001C07AC" w:rsidRDefault="001C07AC" w:rsidP="00EC2CBE">
            <w:pPr>
              <w:pStyle w:val="Prrafodelista"/>
              <w:numPr>
                <w:ilvl w:val="0"/>
                <w:numId w:val="113"/>
              </w:numPr>
              <w:rPr>
                <w:rFonts w:asciiTheme="minorHAnsi" w:hAnsiTheme="minorHAnsi" w:cstheme="minorHAnsi"/>
                <w:i/>
                <w:iCs/>
                <w:sz w:val="18"/>
                <w:szCs w:val="18"/>
              </w:rPr>
            </w:pPr>
            <w:proofErr w:type="gramStart"/>
            <w:r w:rsidRPr="001C07AC">
              <w:rPr>
                <w:rFonts w:asciiTheme="minorHAnsi" w:hAnsiTheme="minorHAnsi" w:cstheme="minorHAnsi"/>
                <w:i/>
                <w:iCs/>
                <w:sz w:val="18"/>
                <w:szCs w:val="18"/>
              </w:rPr>
              <w:t>Asegurar</w:t>
            </w:r>
            <w:proofErr w:type="gramEnd"/>
            <w:r w:rsidRPr="001C07AC">
              <w:rPr>
                <w:rFonts w:asciiTheme="minorHAnsi" w:hAnsiTheme="minorHAnsi" w:cstheme="minorHAnsi"/>
                <w:i/>
                <w:iCs/>
                <w:sz w:val="18"/>
                <w:szCs w:val="18"/>
              </w:rPr>
              <w:t xml:space="preserve"> que los resultados de la EIAS se integren oportunamente en los mecanismos de planificación y monitoreo del proyecto (MEL, salvaguardas, planificación territorial).</w:t>
            </w:r>
          </w:p>
          <w:p w14:paraId="354B228C" w14:textId="77777777" w:rsidR="1D9DC7A6" w:rsidRPr="001C07AC" w:rsidRDefault="001C07AC" w:rsidP="00EC2CBE">
            <w:pPr>
              <w:pStyle w:val="Prrafodelista"/>
              <w:numPr>
                <w:ilvl w:val="0"/>
                <w:numId w:val="113"/>
              </w:numPr>
              <w:rPr>
                <w:rFonts w:asciiTheme="minorHAnsi" w:hAnsiTheme="minorHAnsi" w:cstheme="minorHAnsi"/>
                <w:i/>
                <w:iCs/>
                <w:sz w:val="18"/>
                <w:szCs w:val="18"/>
              </w:rPr>
            </w:pPr>
            <w:r w:rsidRPr="001C07AC">
              <w:rPr>
                <w:rFonts w:asciiTheme="minorHAnsi" w:hAnsiTheme="minorHAnsi" w:cstheme="minorHAnsi"/>
                <w:i/>
                <w:iCs/>
                <w:sz w:val="18"/>
                <w:szCs w:val="18"/>
              </w:rPr>
              <w:t>Preparar un informe técnico final de la EIAS en inglés y español, que cumpla con los estándares de calidad del PNUD y pueda ser compartido con los actores del FMAM y los mecanismos de reporte correspondientes.</w:t>
            </w:r>
          </w:p>
          <w:p w14:paraId="29F01B7A" w14:textId="77777777" w:rsidR="001C07AC" w:rsidRDefault="001C07AC" w:rsidP="001C07AC">
            <w:pPr>
              <w:rPr>
                <w:rFonts w:asciiTheme="minorHAnsi" w:hAnsiTheme="minorHAnsi" w:cstheme="minorHAnsi"/>
                <w:i/>
                <w:iCs/>
                <w:sz w:val="18"/>
                <w:szCs w:val="18"/>
              </w:rPr>
            </w:pPr>
          </w:p>
          <w:p w14:paraId="12234029" w14:textId="4EABDE6B" w:rsidR="001C07AC" w:rsidRPr="001C07AC" w:rsidRDefault="001C07AC" w:rsidP="001C07AC">
            <w:pPr>
              <w:rPr>
                <w:rFonts w:asciiTheme="minorHAnsi" w:hAnsiTheme="minorHAnsi" w:cstheme="minorHAnsi"/>
                <w:i/>
                <w:iCs/>
                <w:sz w:val="18"/>
                <w:szCs w:val="18"/>
              </w:rPr>
            </w:pPr>
          </w:p>
        </w:tc>
      </w:tr>
      <w:tr w:rsidR="1D9DC7A6" w:rsidRPr="006B39C0" w14:paraId="7913E536"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4B3CCF12" w14:textId="77777777" w:rsidR="005E7470" w:rsidRPr="005E7470" w:rsidRDefault="005E7470" w:rsidP="005E7470">
            <w:pPr>
              <w:spacing w:before="135" w:after="135"/>
              <w:jc w:val="both"/>
              <w:rPr>
                <w:rFonts w:asciiTheme="minorHAnsi" w:eastAsia="Helvetica" w:hAnsiTheme="minorHAnsi" w:cstheme="minorHAnsi"/>
                <w:b/>
                <w:bCs/>
                <w:i/>
                <w:iCs/>
                <w:sz w:val="18"/>
                <w:szCs w:val="18"/>
                <w:lang w:val="es-EC"/>
              </w:rPr>
            </w:pPr>
            <w:r w:rsidRPr="005E7470">
              <w:rPr>
                <w:rFonts w:asciiTheme="minorHAnsi" w:eastAsia="Helvetica" w:hAnsiTheme="minorHAnsi" w:cstheme="minorHAnsi"/>
                <w:b/>
                <w:bCs/>
                <w:i/>
                <w:iCs/>
                <w:sz w:val="18"/>
                <w:szCs w:val="18"/>
                <w:lang w:val="es-EC"/>
              </w:rPr>
              <w:lastRenderedPageBreak/>
              <w:t>Consultor/a Internacional – Revisión de Medio Término (RMT)</w:t>
            </w:r>
          </w:p>
          <w:p w14:paraId="5FEE2005" w14:textId="76E0B1D0" w:rsidR="1D9DC7A6" w:rsidRPr="005E7470" w:rsidRDefault="005E7470" w:rsidP="005E7470">
            <w:pPr>
              <w:spacing w:before="135" w:after="135"/>
              <w:rPr>
                <w:rFonts w:asciiTheme="minorHAnsi" w:eastAsia="Helvetica" w:hAnsiTheme="minorHAnsi" w:cstheme="minorHAnsi"/>
                <w:i/>
                <w:iCs/>
                <w:sz w:val="18"/>
                <w:szCs w:val="18"/>
                <w:lang w:val="es-EC"/>
              </w:rPr>
            </w:pPr>
            <w:r w:rsidRPr="005E7470">
              <w:rPr>
                <w:rFonts w:asciiTheme="minorHAnsi" w:eastAsia="Helvetica" w:hAnsiTheme="minorHAnsi" w:cstheme="minorHAnsi"/>
                <w:i/>
                <w:iCs/>
                <w:sz w:val="18"/>
                <w:szCs w:val="18"/>
                <w:lang w:val="es-EC"/>
              </w:rPr>
              <w:t>Revisión de Medio Término (RMT): USD 37.261 (tarifa diaria de USD 500 por 45 días). Este monto incluye los honorarios profesionales del/de la consultor/a, así como los costos de movilización necesarios para llevar a cabo la revisión.</w:t>
            </w:r>
          </w:p>
          <w:p w14:paraId="7FAD3618" w14:textId="0809BB8A" w:rsidR="1D9DC7A6" w:rsidRPr="006B39C0" w:rsidRDefault="0072491F" w:rsidP="005E7470">
            <w:pPr>
              <w:spacing w:before="150" w:after="45"/>
              <w:jc w:val="both"/>
              <w:rPr>
                <w:rFonts w:asciiTheme="minorHAnsi" w:hAnsiTheme="minorHAnsi" w:cstheme="minorHAnsi"/>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27</w:t>
            </w: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1AA2EB19" w14:textId="79BBC02F"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3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1754258" w14:textId="77777777" w:rsidR="005E7470" w:rsidRPr="005E7470" w:rsidRDefault="005E7470" w:rsidP="005E7470">
            <w:pPr>
              <w:rPr>
                <w:rFonts w:asciiTheme="minorHAnsi" w:hAnsiTheme="minorHAnsi" w:cstheme="minorHAnsi"/>
                <w:i/>
                <w:iCs/>
                <w:sz w:val="18"/>
                <w:szCs w:val="18"/>
              </w:rPr>
            </w:pPr>
            <w:r w:rsidRPr="005E7470">
              <w:rPr>
                <w:rFonts w:asciiTheme="minorHAnsi" w:hAnsiTheme="minorHAnsi" w:cstheme="minorHAnsi"/>
                <w:i/>
                <w:iCs/>
                <w:sz w:val="18"/>
                <w:szCs w:val="18"/>
              </w:rPr>
              <w:t>Ubicación: Modalidad remota y trabajo de campo (Ecuador)</w:t>
            </w:r>
          </w:p>
          <w:p w14:paraId="7A7EE7C8" w14:textId="77777777" w:rsidR="005E7470" w:rsidRPr="005E7470" w:rsidRDefault="005E7470" w:rsidP="005E7470">
            <w:pPr>
              <w:rPr>
                <w:rFonts w:asciiTheme="minorHAnsi" w:hAnsiTheme="minorHAnsi" w:cstheme="minorHAnsi"/>
                <w:i/>
                <w:iCs/>
                <w:sz w:val="18"/>
                <w:szCs w:val="18"/>
              </w:rPr>
            </w:pPr>
            <w:r w:rsidRPr="005E7470">
              <w:rPr>
                <w:rFonts w:asciiTheme="minorHAnsi" w:hAnsiTheme="minorHAnsi" w:cstheme="minorHAnsi"/>
                <w:i/>
                <w:iCs/>
                <w:sz w:val="18"/>
                <w:szCs w:val="18"/>
              </w:rPr>
              <w:t>Tipo de contrato: Consultoría internacional individual</w:t>
            </w:r>
          </w:p>
          <w:p w14:paraId="3877C132" w14:textId="77777777" w:rsidR="005E7470" w:rsidRDefault="005E7470" w:rsidP="005E7470">
            <w:pPr>
              <w:rPr>
                <w:rFonts w:asciiTheme="minorHAnsi" w:hAnsiTheme="minorHAnsi" w:cstheme="minorHAnsi"/>
                <w:i/>
                <w:iCs/>
                <w:sz w:val="18"/>
                <w:szCs w:val="18"/>
              </w:rPr>
            </w:pPr>
          </w:p>
          <w:p w14:paraId="718EDE3C" w14:textId="36F036EC" w:rsidR="005E7470" w:rsidRPr="005E7470" w:rsidRDefault="005E7470" w:rsidP="005E7470">
            <w:pPr>
              <w:rPr>
                <w:rFonts w:asciiTheme="minorHAnsi" w:hAnsiTheme="minorHAnsi" w:cstheme="minorHAnsi"/>
                <w:i/>
                <w:iCs/>
                <w:sz w:val="18"/>
                <w:szCs w:val="18"/>
              </w:rPr>
            </w:pPr>
            <w:r w:rsidRPr="005E7470">
              <w:rPr>
                <w:rFonts w:asciiTheme="minorHAnsi" w:hAnsiTheme="minorHAnsi" w:cstheme="minorHAnsi"/>
                <w:i/>
                <w:iCs/>
                <w:sz w:val="18"/>
                <w:szCs w:val="18"/>
              </w:rPr>
              <w:t>Roles y responsabilidades:</w:t>
            </w:r>
          </w:p>
          <w:p w14:paraId="10F0AA4C"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Diseñar y ejecutar la Revisión de Medio Término (RMT) del proyecto de conformidad con las directrices metodológicas del FMAM y del PNUD, mediante una evaluación participativa del avance hacia los resultados del proyecto y de su implementación estratégica.</w:t>
            </w:r>
          </w:p>
          <w:p w14:paraId="7BC1DAE1"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Elaborar un plan de evaluación que incluya la metodología, el cronograma, las herramientas participativas y los criterios de análisis, alineados con los enfoques del proyecto en gestión del paisaje, género, interculturalidad y sostenibilidad.</w:t>
            </w:r>
          </w:p>
          <w:p w14:paraId="56F6EF8F"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Analizar la documentación técnica y de gestión del proyecto (ProDoc, informes PIR, reportes MEL, informes técnicos, marcos de resultados, línea base, SIGMA, Sistema de Alerta Temprana, entre otros).</w:t>
            </w:r>
          </w:p>
          <w:p w14:paraId="5A512AAC"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Coordinar y realizar entrevistas, grupos focales y visitas de campo con el equipo técnico, el MAE, el PNUD, los GAD, comunidades indígenas, organizaciones de mujeres y jóvenes, y otros actores relevantes en el territorio.</w:t>
            </w:r>
          </w:p>
          <w:p w14:paraId="76DEEDA2"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Evaluar la coherencia, eficiencia, eficacia y pertinencia de los componentes, productos y actividades del proyecto, así como la implementación de las salvaguardas ambientales y sociales y la transversalización del enfoque de género.</w:t>
            </w:r>
          </w:p>
          <w:p w14:paraId="614F684B"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Identificar cuellos de botella, riesgos y oportunidades, y formular recomendaciones estratégicas y operativas para reorientar la implementación durante la segunda mitad del proyecto.</w:t>
            </w:r>
          </w:p>
          <w:p w14:paraId="3E60FC9B"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Documentar lecciones aprendidas preliminares, buenas prácticas emergentes y elementos innovadores para su integración en la estrategia de escalamiento y sostenibilidad.</w:t>
            </w:r>
          </w:p>
          <w:p w14:paraId="29C7ADB6" w14:textId="77777777" w:rsidR="005E7470"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Elaborar un informe técnico de medio término (RMT), en español e inglés, que incluya hallazgos, análisis y recomendaciones, validado por el Comité Directivo del Proyecto.</w:t>
            </w:r>
          </w:p>
          <w:p w14:paraId="31534417" w14:textId="6C5FEC11" w:rsidR="1D9DC7A6" w:rsidRPr="005E7470" w:rsidRDefault="005E7470" w:rsidP="00EC2CBE">
            <w:pPr>
              <w:pStyle w:val="Prrafodelista"/>
              <w:numPr>
                <w:ilvl w:val="0"/>
                <w:numId w:val="114"/>
              </w:numPr>
              <w:rPr>
                <w:rFonts w:asciiTheme="minorHAnsi" w:hAnsiTheme="minorHAnsi" w:cstheme="minorHAnsi"/>
                <w:i/>
                <w:iCs/>
                <w:sz w:val="18"/>
                <w:szCs w:val="18"/>
              </w:rPr>
            </w:pPr>
            <w:r w:rsidRPr="005E7470">
              <w:rPr>
                <w:rFonts w:asciiTheme="minorHAnsi" w:hAnsiTheme="minorHAnsi" w:cstheme="minorHAnsi"/>
                <w:i/>
                <w:iCs/>
                <w:sz w:val="18"/>
                <w:szCs w:val="18"/>
              </w:rPr>
              <w:t>Participar en talleres de retroalimentación y presentación de resultados con las contrapartes nacionales y territoriales.</w:t>
            </w:r>
          </w:p>
        </w:tc>
      </w:tr>
      <w:tr w:rsidR="1D9DC7A6" w:rsidRPr="006B39C0" w14:paraId="7A325ED4" w14:textId="77777777" w:rsidTr="00391502">
        <w:trPr>
          <w:trHeight w:val="300"/>
        </w:trPr>
        <w:tc>
          <w:tcPr>
            <w:tcW w:w="1560"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0041AF05" w14:textId="77777777" w:rsidR="005E7470" w:rsidRPr="005E7470" w:rsidRDefault="005E7470" w:rsidP="005E7470">
            <w:pPr>
              <w:spacing w:before="135" w:after="135"/>
              <w:jc w:val="both"/>
              <w:rPr>
                <w:rFonts w:asciiTheme="minorHAnsi" w:hAnsiTheme="minorHAnsi" w:cstheme="minorHAnsi"/>
                <w:b/>
                <w:bCs/>
                <w:i/>
                <w:iCs/>
                <w:sz w:val="18"/>
                <w:szCs w:val="18"/>
              </w:rPr>
            </w:pPr>
            <w:r w:rsidRPr="005E7470">
              <w:rPr>
                <w:rFonts w:asciiTheme="minorHAnsi" w:hAnsiTheme="minorHAnsi" w:cstheme="minorHAnsi"/>
                <w:b/>
                <w:bCs/>
                <w:i/>
                <w:iCs/>
                <w:sz w:val="18"/>
                <w:szCs w:val="18"/>
              </w:rPr>
              <w:t>Consultor/a Internacional – Evaluación Final Independiente (EFI) del Proyecto</w:t>
            </w:r>
          </w:p>
          <w:p w14:paraId="6C8D87A2" w14:textId="72E3F6DB" w:rsidR="1D9DC7A6" w:rsidRPr="005E7470" w:rsidRDefault="005E7470" w:rsidP="005E7470">
            <w:pPr>
              <w:spacing w:before="135" w:after="135"/>
              <w:rPr>
                <w:rFonts w:asciiTheme="minorHAnsi" w:hAnsiTheme="minorHAnsi" w:cstheme="minorHAnsi"/>
                <w:i/>
                <w:iCs/>
                <w:sz w:val="18"/>
                <w:szCs w:val="18"/>
              </w:rPr>
            </w:pPr>
            <w:r w:rsidRPr="005E7470">
              <w:rPr>
                <w:rFonts w:asciiTheme="minorHAnsi" w:hAnsiTheme="minorHAnsi" w:cstheme="minorHAnsi"/>
                <w:i/>
                <w:iCs/>
                <w:sz w:val="18"/>
                <w:szCs w:val="18"/>
              </w:rPr>
              <w:t xml:space="preserve">Evaluación Final (EFI) del proyecto. Costo total: USD 37.262 (tarifa diaria de USD 500 por 45 días). Este monto incluye los honorarios profesionales del/de la consultor/a, así </w:t>
            </w:r>
            <w:r w:rsidRPr="005E7470">
              <w:rPr>
                <w:rFonts w:asciiTheme="minorHAnsi" w:hAnsiTheme="minorHAnsi" w:cstheme="minorHAnsi"/>
                <w:i/>
                <w:iCs/>
                <w:sz w:val="18"/>
                <w:szCs w:val="18"/>
              </w:rPr>
              <w:lastRenderedPageBreak/>
              <w:t>como los costos de movilización requeridos para la realización de la evaluación.</w:t>
            </w:r>
          </w:p>
          <w:p w14:paraId="3D85B7EB" w14:textId="652858E2" w:rsidR="1D9DC7A6" w:rsidRPr="006B39C0" w:rsidRDefault="0072491F"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t xml:space="preserve">TDR </w:t>
            </w:r>
            <w:r w:rsidR="1D9DC7A6" w:rsidRPr="006B39C0">
              <w:rPr>
                <w:rFonts w:asciiTheme="minorHAnsi" w:hAnsiTheme="minorHAnsi" w:cstheme="minorHAnsi"/>
                <w:i/>
                <w:iCs/>
                <w:sz w:val="18"/>
                <w:szCs w:val="18"/>
              </w:rPr>
              <w:t># 28</w:t>
            </w:r>
          </w:p>
          <w:p w14:paraId="79CB960E" w14:textId="2547D890" w:rsidR="1D9DC7A6" w:rsidRPr="006B39C0" w:rsidRDefault="1D9DC7A6" w:rsidP="00391502">
            <w:pPr>
              <w:spacing w:before="150" w:after="150"/>
              <w:jc w:val="both"/>
              <w:rPr>
                <w:rFonts w:asciiTheme="minorHAnsi" w:hAnsiTheme="minorHAnsi" w:cstheme="minorHAnsi"/>
                <w:sz w:val="18"/>
                <w:szCs w:val="18"/>
              </w:rPr>
            </w:pPr>
          </w:p>
        </w:tc>
        <w:tc>
          <w:tcPr>
            <w:tcW w:w="160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3ADE095C" w14:textId="58683FCA" w:rsidR="1D9DC7A6" w:rsidRPr="006B39C0" w:rsidRDefault="1D9DC7A6" w:rsidP="00391502">
            <w:pPr>
              <w:spacing w:before="150" w:after="45"/>
              <w:jc w:val="both"/>
              <w:rPr>
                <w:rFonts w:asciiTheme="minorHAnsi" w:hAnsiTheme="minorHAnsi" w:cstheme="minorHAnsi"/>
                <w:i/>
                <w:iCs/>
                <w:sz w:val="18"/>
                <w:szCs w:val="18"/>
              </w:rPr>
            </w:pPr>
            <w:r w:rsidRPr="006B39C0">
              <w:rPr>
                <w:rFonts w:asciiTheme="minorHAnsi" w:hAnsiTheme="minorHAnsi" w:cstheme="minorHAnsi"/>
                <w:i/>
                <w:iCs/>
                <w:sz w:val="18"/>
                <w:szCs w:val="18"/>
              </w:rPr>
              <w:lastRenderedPageBreak/>
              <w:t xml:space="preserve">3 </w:t>
            </w:r>
            <w:r w:rsidR="0072491F" w:rsidRPr="006B39C0">
              <w:rPr>
                <w:rFonts w:asciiTheme="minorHAnsi" w:hAnsiTheme="minorHAnsi" w:cstheme="minorHAnsi"/>
                <w:i/>
                <w:iCs/>
                <w:sz w:val="18"/>
                <w:szCs w:val="18"/>
              </w:rPr>
              <w:t>meses</w:t>
            </w:r>
          </w:p>
        </w:tc>
        <w:tc>
          <w:tcPr>
            <w:tcW w:w="11235" w:type="dxa"/>
            <w:tcBorders>
              <w:top w:val="single" w:sz="3" w:space="0" w:color="000000" w:themeColor="text1"/>
              <w:left w:val="single" w:sz="3" w:space="0" w:color="000000" w:themeColor="text1"/>
              <w:bottom w:val="single" w:sz="3" w:space="0" w:color="000000" w:themeColor="text1"/>
              <w:right w:val="single" w:sz="3" w:space="0" w:color="000000" w:themeColor="text1"/>
            </w:tcBorders>
            <w:tcMar>
              <w:left w:w="75" w:type="dxa"/>
              <w:right w:w="75" w:type="dxa"/>
            </w:tcMar>
          </w:tcPr>
          <w:p w14:paraId="6C90A75C" w14:textId="77777777" w:rsidR="005E7470" w:rsidRPr="005E7470" w:rsidRDefault="005E7470" w:rsidP="005E7470">
            <w:pPr>
              <w:rPr>
                <w:rFonts w:asciiTheme="minorHAnsi" w:hAnsiTheme="minorHAnsi" w:cstheme="minorHAnsi"/>
                <w:i/>
                <w:iCs/>
                <w:sz w:val="18"/>
                <w:szCs w:val="18"/>
              </w:rPr>
            </w:pPr>
            <w:r w:rsidRPr="005E7470">
              <w:rPr>
                <w:rFonts w:asciiTheme="minorHAnsi" w:hAnsiTheme="minorHAnsi" w:cstheme="minorHAnsi"/>
                <w:i/>
                <w:iCs/>
                <w:sz w:val="18"/>
                <w:szCs w:val="18"/>
              </w:rPr>
              <w:t>Ubicación: Remota y de campo (Ecuador)</w:t>
            </w:r>
          </w:p>
          <w:p w14:paraId="04715E86" w14:textId="77777777" w:rsidR="005E7470" w:rsidRPr="005E7470" w:rsidRDefault="005E7470" w:rsidP="005E7470">
            <w:pPr>
              <w:rPr>
                <w:rFonts w:asciiTheme="minorHAnsi" w:hAnsiTheme="minorHAnsi" w:cstheme="minorHAnsi"/>
                <w:i/>
                <w:iCs/>
                <w:sz w:val="18"/>
                <w:szCs w:val="18"/>
              </w:rPr>
            </w:pPr>
            <w:r w:rsidRPr="005E7470">
              <w:rPr>
                <w:rFonts w:asciiTheme="minorHAnsi" w:hAnsiTheme="minorHAnsi" w:cstheme="minorHAnsi"/>
                <w:i/>
                <w:iCs/>
                <w:sz w:val="18"/>
                <w:szCs w:val="18"/>
              </w:rPr>
              <w:t>Tipo de contrato: Consultoría internacional individual</w:t>
            </w:r>
          </w:p>
          <w:p w14:paraId="4C2C1A08" w14:textId="77777777" w:rsidR="005E7470" w:rsidRDefault="005E7470" w:rsidP="005E7470">
            <w:pPr>
              <w:rPr>
                <w:rFonts w:asciiTheme="minorHAnsi" w:hAnsiTheme="minorHAnsi" w:cstheme="minorHAnsi"/>
                <w:i/>
                <w:iCs/>
                <w:sz w:val="18"/>
                <w:szCs w:val="18"/>
              </w:rPr>
            </w:pPr>
          </w:p>
          <w:p w14:paraId="0C43F5F4" w14:textId="53B46FA6" w:rsidR="005E7470" w:rsidRPr="005E7470" w:rsidRDefault="005E7470" w:rsidP="005E7470">
            <w:pPr>
              <w:rPr>
                <w:rFonts w:asciiTheme="minorHAnsi" w:hAnsiTheme="minorHAnsi" w:cstheme="minorHAnsi"/>
                <w:i/>
                <w:iCs/>
                <w:sz w:val="18"/>
                <w:szCs w:val="18"/>
              </w:rPr>
            </w:pPr>
            <w:r w:rsidRPr="005E7470">
              <w:rPr>
                <w:rFonts w:asciiTheme="minorHAnsi" w:hAnsiTheme="minorHAnsi" w:cstheme="minorHAnsi"/>
                <w:i/>
                <w:iCs/>
                <w:sz w:val="18"/>
                <w:szCs w:val="18"/>
              </w:rPr>
              <w:t>Roles y responsabilidades:</w:t>
            </w:r>
          </w:p>
          <w:p w14:paraId="263F38C1"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Diseñar y liderar la Evaluación Final Independiente (EFI) del proyecto, de conformidad con las políticas y criterios establecidos por el FMAM (GEF) y el PNUD, con énfasis en los resultados, impactos y sostenibilidad alcanzados.</w:t>
            </w:r>
          </w:p>
          <w:p w14:paraId="627116E8"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Analizar la pertinencia del diseño del proyecto, la teoría de cambio, la efectividad de los componentes y el cumplimiento de los indicadores del marco de resultados, incluyendo las metas relacionadas con la Neutralidad en la Degradación de las Tierras (NDT), la biodiversidad, el cambio climático y los medios de vida sostenibles.</w:t>
            </w:r>
          </w:p>
          <w:p w14:paraId="2788B779"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Evaluar el grado de apropiación local e institucional, la integración de las salvaguardas ambientales y sociales, el enfoque de género y la calidad de la participación de los pueblos indígenas, las mujeres y la juventud a lo largo de la implementación.</w:t>
            </w:r>
          </w:p>
          <w:p w14:paraId="42F353BB"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Sistematizar los impactos de la estrategia de sostenibilidad y escalamiento, incluyendo la operación de mecanismos financieros (fondos rotatorios, pagos por servicios ecosistémicos, bioemprendimientos), la institucionalización de acciones y la gestión del conocimiento.</w:t>
            </w:r>
          </w:p>
          <w:p w14:paraId="0BDFFE4F"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Coordinar entrevistas, grupos focales y visitas de campo con actores clave para validar los resultados y contrastar percepciones sobre la implementación y los beneficios generados.</w:t>
            </w:r>
          </w:p>
          <w:p w14:paraId="2B2BDA38"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Generar un análisis detallado de los Beneficios Ambientales Globales (BAG) alcanzados y su contribución a los compromisos multilaterales del Ecuador (CMNUCC, CDB y CNULD).</w:t>
            </w:r>
          </w:p>
          <w:p w14:paraId="4C5F4EB0" w14:textId="77777777" w:rsidR="005E7470"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lastRenderedPageBreak/>
              <w:t>Elaborar un informe técnico final de la Evaluación Final Independiente (EFI), en inglés y español, que incluya hallazgos, análisis, calificaciones, buenas prácticas, lecciones aprendidas y recomendaciones para futuros proyectos del FMAM.</w:t>
            </w:r>
          </w:p>
          <w:p w14:paraId="2D47FD71" w14:textId="7F5AA68D" w:rsidR="1D9DC7A6" w:rsidRPr="005E7470" w:rsidRDefault="005E7470" w:rsidP="00EC2CBE">
            <w:pPr>
              <w:pStyle w:val="Prrafodelista"/>
              <w:numPr>
                <w:ilvl w:val="0"/>
                <w:numId w:val="115"/>
              </w:numPr>
              <w:rPr>
                <w:rFonts w:asciiTheme="minorHAnsi" w:hAnsiTheme="minorHAnsi" w:cstheme="minorHAnsi"/>
                <w:i/>
                <w:iCs/>
                <w:sz w:val="18"/>
                <w:szCs w:val="18"/>
              </w:rPr>
            </w:pPr>
            <w:r w:rsidRPr="005E7470">
              <w:rPr>
                <w:rFonts w:asciiTheme="minorHAnsi" w:hAnsiTheme="minorHAnsi" w:cstheme="minorHAnsi"/>
                <w:i/>
                <w:iCs/>
                <w:sz w:val="18"/>
                <w:szCs w:val="18"/>
              </w:rPr>
              <w:t>Presentar los resultados y facilitar su validación con el Comité Directivo del Proyecto, las contrapartes nacionales y los actores locales, asegurando su incorporación en la documentación final de cierre del proyecto.</w:t>
            </w:r>
          </w:p>
        </w:tc>
      </w:tr>
    </w:tbl>
    <w:p w14:paraId="777B947B" w14:textId="77777777" w:rsidR="00530F47" w:rsidRPr="005E7470" w:rsidRDefault="00530F47" w:rsidP="008B6F84">
      <w:pPr>
        <w:spacing w:after="60"/>
        <w:jc w:val="both"/>
        <w:rPr>
          <w:rFonts w:asciiTheme="minorHAnsi" w:eastAsia="SimSun" w:hAnsiTheme="minorHAnsi" w:cstheme="minorHAnsi"/>
          <w:bCs/>
          <w:lang w:val="es-EC"/>
        </w:rPr>
      </w:pPr>
    </w:p>
    <w:p w14:paraId="659AC40F" w14:textId="77777777" w:rsidR="008B6F84" w:rsidRPr="005E7470" w:rsidRDefault="00211737" w:rsidP="008B6F84">
      <w:pPr>
        <w:jc w:val="both"/>
        <w:rPr>
          <w:rFonts w:asciiTheme="minorHAnsi" w:eastAsia="SimSun" w:hAnsiTheme="minorHAnsi" w:cstheme="minorHAnsi"/>
          <w:b/>
          <w:bCs/>
          <w:sz w:val="20"/>
          <w:lang w:val="es-EC"/>
        </w:rPr>
      </w:pPr>
      <w:r w:rsidRPr="005E7470">
        <w:rPr>
          <w:rFonts w:asciiTheme="minorHAnsi" w:eastAsia="SimSun" w:hAnsiTheme="minorHAnsi" w:cstheme="minorHAnsi"/>
          <w:sz w:val="20"/>
          <w:lang w:val="es-EC"/>
        </w:rPr>
        <w:br w:type="page"/>
      </w:r>
    </w:p>
    <w:p w14:paraId="7D6065C9" w14:textId="77777777" w:rsidR="008B6F84" w:rsidRPr="005E7470" w:rsidRDefault="008B6F84" w:rsidP="008B6F84">
      <w:pPr>
        <w:keepNext/>
        <w:spacing w:after="60"/>
        <w:jc w:val="both"/>
        <w:outlineLvl w:val="1"/>
        <w:rPr>
          <w:rFonts w:asciiTheme="minorHAnsi" w:eastAsia="SimSun" w:hAnsiTheme="minorHAnsi" w:cstheme="minorHAnsi"/>
          <w:b/>
          <w:bCs/>
          <w:sz w:val="20"/>
          <w:lang w:val="es-EC"/>
        </w:rPr>
        <w:sectPr w:rsidR="008B6F84" w:rsidRPr="005E7470" w:rsidSect="008B6F84">
          <w:footerReference w:type="default" r:id="rId39"/>
          <w:pgSz w:w="15840" w:h="12240" w:orient="landscape" w:code="1"/>
          <w:pgMar w:top="720" w:right="720" w:bottom="720" w:left="720" w:header="720" w:footer="720" w:gutter="0"/>
          <w:cols w:space="720"/>
          <w:docGrid w:linePitch="360"/>
        </w:sectPr>
      </w:pPr>
    </w:p>
    <w:p w14:paraId="5069302A" w14:textId="161040B0" w:rsidR="002F115A" w:rsidRPr="00125CE3" w:rsidRDefault="00211737" w:rsidP="005862EC">
      <w:pPr>
        <w:keepNext/>
        <w:spacing w:after="60"/>
        <w:jc w:val="both"/>
        <w:outlineLvl w:val="1"/>
        <w:rPr>
          <w:rFonts w:ascii="Calibri" w:eastAsia="SimSun" w:hAnsi="Calibri" w:cs="Calibri"/>
          <w:b/>
          <w:bCs/>
          <w:sz w:val="20"/>
          <w:szCs w:val="20"/>
        </w:rPr>
      </w:pPr>
      <w:bookmarkStart w:id="75" w:name="_Toc221696315"/>
      <w:r w:rsidRPr="00125CE3">
        <w:rPr>
          <w:rFonts w:ascii="Calibri" w:eastAsia="SimSun" w:hAnsi="Calibri" w:cs="Calibri"/>
          <w:b/>
          <w:bCs/>
          <w:sz w:val="20"/>
          <w:szCs w:val="20"/>
        </w:rPr>
        <w:lastRenderedPageBreak/>
        <w:t>Anex</w:t>
      </w:r>
      <w:r w:rsidR="00FB3BC6" w:rsidRPr="00125CE3">
        <w:rPr>
          <w:rFonts w:ascii="Calibri" w:eastAsia="SimSun" w:hAnsi="Calibri" w:cs="Calibri"/>
          <w:b/>
          <w:bCs/>
          <w:sz w:val="20"/>
          <w:szCs w:val="20"/>
        </w:rPr>
        <w:t>o</w:t>
      </w:r>
      <w:r w:rsidRPr="00125CE3">
        <w:rPr>
          <w:rFonts w:ascii="Calibri" w:eastAsia="SimSun" w:hAnsi="Calibri" w:cs="Calibri"/>
          <w:b/>
          <w:bCs/>
          <w:sz w:val="20"/>
          <w:szCs w:val="20"/>
        </w:rPr>
        <w:t xml:space="preserve"> 8: </w:t>
      </w:r>
      <w:r w:rsidR="00714373" w:rsidRPr="00125CE3">
        <w:rPr>
          <w:rFonts w:ascii="Calibri" w:eastAsia="SimSun" w:hAnsi="Calibri" w:cs="Calibri"/>
          <w:b/>
          <w:bCs/>
          <w:sz w:val="20"/>
          <w:szCs w:val="20"/>
        </w:rPr>
        <w:t>Plan de Involucramiento de Actores</w:t>
      </w:r>
      <w:bookmarkStart w:id="76" w:name="_heading=h.915wmhlvu50k" w:colFirst="0" w:colLast="0"/>
      <w:bookmarkEnd w:id="75"/>
      <w:bookmarkEnd w:id="76"/>
    </w:p>
    <w:p w14:paraId="07487358" w14:textId="77777777" w:rsidR="0026105B" w:rsidRPr="00FD148F" w:rsidRDefault="0026105B" w:rsidP="008B6F84">
      <w:pPr>
        <w:spacing w:after="60"/>
        <w:jc w:val="both"/>
        <w:rPr>
          <w:rFonts w:asciiTheme="minorHAnsi" w:eastAsia="SimSun" w:hAnsiTheme="minorHAnsi" w:cstheme="minorHAnsi"/>
          <w:sz w:val="20"/>
          <w:lang w:val="es-EC"/>
        </w:rPr>
        <w:sectPr w:rsidR="0026105B" w:rsidRPr="00FD148F" w:rsidSect="008B6F84">
          <w:headerReference w:type="default" r:id="rId40"/>
          <w:pgSz w:w="12240" w:h="15840" w:code="1"/>
          <w:pgMar w:top="720" w:right="720" w:bottom="720" w:left="720" w:header="720" w:footer="720" w:gutter="0"/>
          <w:cols w:space="720"/>
          <w:docGrid w:linePitch="360"/>
        </w:sectPr>
      </w:pPr>
    </w:p>
    <w:p w14:paraId="085E7D20" w14:textId="77777777" w:rsidR="0026105B" w:rsidRPr="00FD148F" w:rsidRDefault="0026105B" w:rsidP="008B6F84">
      <w:pPr>
        <w:spacing w:after="60"/>
        <w:jc w:val="both"/>
        <w:rPr>
          <w:rFonts w:asciiTheme="minorHAnsi" w:eastAsia="SimSun" w:hAnsiTheme="minorHAnsi" w:cstheme="minorHAnsi"/>
          <w:sz w:val="20"/>
          <w:lang w:val="es-EC"/>
        </w:rPr>
      </w:pPr>
    </w:p>
    <w:p w14:paraId="5F089189" w14:textId="77777777" w:rsidR="008B6F84" w:rsidRPr="00FD148F" w:rsidRDefault="00211737" w:rsidP="008B6F84">
      <w:pPr>
        <w:jc w:val="both"/>
        <w:rPr>
          <w:rFonts w:asciiTheme="minorHAnsi" w:eastAsia="SimSun" w:hAnsiTheme="minorHAnsi" w:cstheme="minorHAnsi"/>
          <w:b/>
          <w:bCs/>
          <w:sz w:val="20"/>
          <w:szCs w:val="20"/>
          <w:lang w:val="es-EC"/>
        </w:rPr>
      </w:pPr>
      <w:r w:rsidRPr="00FD148F">
        <w:rPr>
          <w:rFonts w:asciiTheme="minorHAnsi" w:eastAsia="SimSun" w:hAnsiTheme="minorHAnsi" w:cstheme="minorHAnsi"/>
          <w:i/>
          <w:sz w:val="20"/>
          <w:lang w:val="es-EC"/>
        </w:rPr>
        <w:t xml:space="preserve"> </w:t>
      </w:r>
    </w:p>
    <w:p w14:paraId="66C40B03" w14:textId="6688E439" w:rsidR="008B6F84" w:rsidRPr="00125CE3" w:rsidRDefault="008B6F84" w:rsidP="00125CE3">
      <w:pPr>
        <w:keepNext/>
        <w:spacing w:after="60"/>
        <w:jc w:val="both"/>
        <w:outlineLvl w:val="1"/>
        <w:rPr>
          <w:rFonts w:ascii="Calibri" w:eastAsia="SimSun" w:hAnsi="Calibri" w:cs="Calibri"/>
          <w:b/>
          <w:bCs/>
          <w:sz w:val="20"/>
          <w:szCs w:val="20"/>
        </w:rPr>
      </w:pPr>
    </w:p>
    <w:p w14:paraId="09E74E8E" w14:textId="31995F1A" w:rsidR="008B6F84" w:rsidRPr="00125CE3" w:rsidRDefault="00211737" w:rsidP="008B6F84">
      <w:pPr>
        <w:keepNext/>
        <w:spacing w:after="60"/>
        <w:jc w:val="both"/>
        <w:outlineLvl w:val="1"/>
        <w:rPr>
          <w:rFonts w:ascii="Calibri" w:eastAsia="SimSun" w:hAnsi="Calibri" w:cs="Calibri"/>
          <w:b/>
          <w:bCs/>
          <w:sz w:val="20"/>
          <w:szCs w:val="20"/>
        </w:rPr>
      </w:pPr>
      <w:bookmarkStart w:id="77" w:name="_Toc221696316"/>
      <w:r w:rsidRPr="00125CE3">
        <w:rPr>
          <w:rFonts w:ascii="Calibri" w:eastAsia="SimSun" w:hAnsi="Calibri" w:cs="Calibri"/>
          <w:b/>
          <w:bCs/>
          <w:sz w:val="20"/>
          <w:szCs w:val="20"/>
        </w:rPr>
        <w:t>Anex</w:t>
      </w:r>
      <w:r w:rsidR="007B3EC9" w:rsidRPr="00125CE3">
        <w:rPr>
          <w:rFonts w:ascii="Calibri" w:eastAsia="SimSun" w:hAnsi="Calibri" w:cs="Calibri"/>
          <w:b/>
          <w:bCs/>
          <w:sz w:val="20"/>
          <w:szCs w:val="20"/>
        </w:rPr>
        <w:t>o</w:t>
      </w:r>
      <w:r w:rsidRPr="00125CE3">
        <w:rPr>
          <w:rFonts w:ascii="Calibri" w:eastAsia="SimSun" w:hAnsi="Calibri" w:cs="Calibri"/>
          <w:b/>
          <w:bCs/>
          <w:sz w:val="20"/>
          <w:szCs w:val="20"/>
        </w:rPr>
        <w:t xml:space="preserve"> 9: </w:t>
      </w:r>
      <w:r w:rsidR="007B3EC9" w:rsidRPr="00125CE3">
        <w:rPr>
          <w:rFonts w:ascii="Calibri" w:eastAsia="SimSun" w:hAnsi="Calibri" w:cs="Calibri"/>
          <w:b/>
          <w:bCs/>
          <w:sz w:val="20"/>
          <w:szCs w:val="20"/>
        </w:rPr>
        <w:t>Marco de Gestión Ambiental y Social (MGAS) y otros marcos/planes SES</w:t>
      </w:r>
      <w:bookmarkEnd w:id="77"/>
    </w:p>
    <w:p w14:paraId="47992CA1" w14:textId="77777777" w:rsidR="0069216E" w:rsidRPr="00795C8C" w:rsidRDefault="0069216E" w:rsidP="008B6F84">
      <w:pPr>
        <w:keepNext/>
        <w:spacing w:after="60"/>
        <w:jc w:val="both"/>
        <w:outlineLvl w:val="1"/>
        <w:rPr>
          <w:rFonts w:asciiTheme="minorHAnsi" w:eastAsia="SimSun" w:hAnsiTheme="minorHAnsi" w:cstheme="minorHAnsi"/>
          <w:b/>
          <w:bCs/>
          <w:sz w:val="20"/>
          <w:lang w:val="es-EC"/>
        </w:rPr>
      </w:pPr>
    </w:p>
    <w:p w14:paraId="60DE5C85" w14:textId="77777777" w:rsidR="00647FE2" w:rsidRPr="00FD148F" w:rsidRDefault="00647FE2" w:rsidP="00647FE2">
      <w:pPr>
        <w:rPr>
          <w:rFonts w:asciiTheme="minorHAnsi" w:hAnsiTheme="minorHAnsi"/>
          <w:color w:val="000000" w:themeColor="text1"/>
          <w:sz w:val="20"/>
          <w:szCs w:val="20"/>
          <w:lang w:val="es-EC"/>
        </w:rPr>
      </w:pPr>
    </w:p>
    <w:p w14:paraId="4D9049CF" w14:textId="77777777" w:rsidR="00647FE2" w:rsidRPr="00FD148F" w:rsidRDefault="00647FE2" w:rsidP="00647FE2">
      <w:pPr>
        <w:jc w:val="both"/>
        <w:rPr>
          <w:rFonts w:asciiTheme="minorHAnsi" w:hAnsiTheme="minorHAnsi"/>
          <w:color w:val="000000" w:themeColor="text1"/>
          <w:sz w:val="20"/>
          <w:szCs w:val="20"/>
          <w:lang w:val="es-EC"/>
        </w:rPr>
      </w:pPr>
    </w:p>
    <w:p w14:paraId="336C6ED4" w14:textId="1F5506AB" w:rsidR="0027769A" w:rsidRPr="00FD148F" w:rsidRDefault="0027769A" w:rsidP="00647FE2">
      <w:pPr>
        <w:jc w:val="both"/>
        <w:rPr>
          <w:rFonts w:asciiTheme="minorHAnsi" w:hAnsiTheme="minorHAnsi"/>
          <w:color w:val="000000" w:themeColor="text1"/>
          <w:sz w:val="20"/>
          <w:szCs w:val="20"/>
          <w:lang w:val="es-EC"/>
        </w:rPr>
      </w:pPr>
      <w:r w:rsidRPr="00FD148F">
        <w:rPr>
          <w:rFonts w:asciiTheme="minorHAnsi" w:hAnsiTheme="minorHAnsi"/>
          <w:color w:val="000000" w:themeColor="text1"/>
          <w:sz w:val="20"/>
          <w:szCs w:val="20"/>
          <w:lang w:val="es-EC"/>
        </w:rPr>
        <w:br w:type="page"/>
      </w:r>
    </w:p>
    <w:p w14:paraId="69960DF7" w14:textId="77777777" w:rsidR="0069216E" w:rsidRPr="00FD148F" w:rsidRDefault="0069216E" w:rsidP="008B6F84">
      <w:pPr>
        <w:keepNext/>
        <w:spacing w:after="60"/>
        <w:jc w:val="both"/>
        <w:outlineLvl w:val="1"/>
        <w:rPr>
          <w:rFonts w:asciiTheme="minorHAnsi" w:eastAsia="SimSun" w:hAnsiTheme="minorHAnsi" w:cstheme="minorHAnsi"/>
          <w:b/>
          <w:bCs/>
          <w:sz w:val="20"/>
          <w:lang w:val="es-EC"/>
        </w:rPr>
        <w:sectPr w:rsidR="0069216E" w:rsidRPr="00FD148F" w:rsidSect="008B6F84">
          <w:footerReference w:type="even" r:id="rId41"/>
          <w:footerReference w:type="default" r:id="rId42"/>
          <w:pgSz w:w="12240" w:h="15840" w:code="1"/>
          <w:pgMar w:top="720" w:right="720" w:bottom="720" w:left="720" w:header="720" w:footer="720" w:gutter="0"/>
          <w:cols w:space="720"/>
          <w:docGrid w:linePitch="360"/>
        </w:sectPr>
      </w:pPr>
    </w:p>
    <w:p w14:paraId="4446E2AB" w14:textId="481E594B" w:rsidR="0044003E" w:rsidRPr="00125CE3" w:rsidRDefault="004A497D" w:rsidP="004A497D">
      <w:pPr>
        <w:keepNext/>
        <w:spacing w:after="60"/>
        <w:jc w:val="both"/>
        <w:outlineLvl w:val="1"/>
        <w:rPr>
          <w:rFonts w:ascii="Calibri" w:eastAsia="SimSun" w:hAnsi="Calibri" w:cs="Calibri"/>
          <w:b/>
          <w:bCs/>
          <w:sz w:val="20"/>
          <w:szCs w:val="20"/>
        </w:rPr>
      </w:pPr>
      <w:bookmarkStart w:id="78" w:name="_Toc221696317"/>
      <w:r w:rsidRPr="00125CE3">
        <w:rPr>
          <w:rFonts w:ascii="Calibri" w:eastAsia="SimSun" w:hAnsi="Calibri" w:cs="Calibri"/>
          <w:b/>
          <w:bCs/>
          <w:sz w:val="20"/>
          <w:szCs w:val="20"/>
        </w:rPr>
        <w:lastRenderedPageBreak/>
        <w:t>Anexo 10. Análisis y Plan de Acción de Género</w:t>
      </w:r>
      <w:bookmarkEnd w:id="78"/>
    </w:p>
    <w:p w14:paraId="0B649D49" w14:textId="0613A3CB" w:rsidR="00E922B6" w:rsidRPr="004A497D" w:rsidRDefault="00E922B6" w:rsidP="008B6F84">
      <w:pPr>
        <w:rPr>
          <w:rFonts w:asciiTheme="minorHAnsi" w:eastAsia="SimSun" w:hAnsiTheme="minorHAnsi" w:cstheme="minorHAnsi"/>
          <w:sz w:val="20"/>
          <w:lang w:val="es-EC"/>
        </w:rPr>
      </w:pPr>
    </w:p>
    <w:p w14:paraId="77AC8AD6" w14:textId="133F0842" w:rsidR="008B6F84" w:rsidRPr="004A497D" w:rsidRDefault="008B6F84" w:rsidP="008B6F84">
      <w:pPr>
        <w:rPr>
          <w:rFonts w:asciiTheme="minorHAnsi" w:eastAsia="SimSun" w:hAnsiTheme="minorHAnsi" w:cstheme="minorHAnsi"/>
          <w:b/>
          <w:bCs/>
          <w:sz w:val="20"/>
          <w:lang w:val="es-EC"/>
        </w:rPr>
      </w:pPr>
    </w:p>
    <w:p w14:paraId="3988E58D" w14:textId="77777777" w:rsidR="00E922B6" w:rsidRPr="004A497D" w:rsidRDefault="00E922B6" w:rsidP="008B6F84">
      <w:pPr>
        <w:keepNext/>
        <w:spacing w:after="60"/>
        <w:jc w:val="both"/>
        <w:outlineLvl w:val="1"/>
        <w:rPr>
          <w:rFonts w:asciiTheme="minorHAnsi" w:eastAsia="SimSun" w:hAnsiTheme="minorHAnsi" w:cstheme="minorHAnsi"/>
          <w:b/>
          <w:bCs/>
          <w:sz w:val="20"/>
          <w:lang w:val="es-EC"/>
        </w:rPr>
        <w:sectPr w:rsidR="00E922B6" w:rsidRPr="004A497D" w:rsidSect="008B6F84">
          <w:pgSz w:w="12240" w:h="15840" w:code="1"/>
          <w:pgMar w:top="720" w:right="720" w:bottom="720" w:left="720" w:header="720" w:footer="720" w:gutter="0"/>
          <w:cols w:space="720"/>
          <w:docGrid w:linePitch="360"/>
        </w:sectPr>
      </w:pPr>
    </w:p>
    <w:p w14:paraId="3157390A" w14:textId="101EEEBD" w:rsidR="008B6F84" w:rsidRPr="00125CE3" w:rsidRDefault="00791D50" w:rsidP="008B6F84">
      <w:pPr>
        <w:keepNext/>
        <w:spacing w:after="60"/>
        <w:jc w:val="both"/>
        <w:outlineLvl w:val="1"/>
        <w:rPr>
          <w:rFonts w:ascii="Calibri" w:eastAsia="SimSun" w:hAnsi="Calibri" w:cs="Calibri"/>
          <w:b/>
          <w:bCs/>
          <w:sz w:val="20"/>
          <w:szCs w:val="20"/>
        </w:rPr>
      </w:pPr>
      <w:bookmarkStart w:id="79" w:name="_Toc221696318"/>
      <w:r w:rsidRPr="00125CE3">
        <w:rPr>
          <w:rFonts w:ascii="Calibri" w:eastAsia="SimSun" w:hAnsi="Calibri" w:cs="Calibri"/>
          <w:b/>
          <w:bCs/>
          <w:sz w:val="20"/>
          <w:szCs w:val="20"/>
        </w:rPr>
        <w:lastRenderedPageBreak/>
        <w:t>Anexo</w:t>
      </w:r>
      <w:r w:rsidR="00211737" w:rsidRPr="00125CE3">
        <w:rPr>
          <w:rFonts w:ascii="Calibri" w:eastAsia="SimSun" w:hAnsi="Calibri" w:cs="Calibri"/>
          <w:b/>
          <w:bCs/>
          <w:sz w:val="20"/>
          <w:szCs w:val="20"/>
        </w:rPr>
        <w:t xml:space="preserve"> 11: </w:t>
      </w:r>
      <w:r w:rsidRPr="00125CE3">
        <w:rPr>
          <w:rFonts w:ascii="Calibri" w:eastAsia="SimSun" w:hAnsi="Calibri" w:cs="Calibri"/>
          <w:b/>
          <w:bCs/>
          <w:sz w:val="20"/>
          <w:szCs w:val="20"/>
        </w:rPr>
        <w:t>Plan de adquisiciones</w:t>
      </w:r>
      <w:bookmarkEnd w:id="79"/>
      <w:r w:rsidR="00356E75" w:rsidRPr="00125CE3">
        <w:rPr>
          <w:rFonts w:ascii="Calibri" w:eastAsia="SimSun" w:hAnsi="Calibri" w:cs="Calibri"/>
          <w:b/>
          <w:bCs/>
          <w:sz w:val="20"/>
          <w:szCs w:val="20"/>
        </w:rPr>
        <w:t xml:space="preserve"> </w:t>
      </w:r>
    </w:p>
    <w:p w14:paraId="61602F25" w14:textId="77777777" w:rsidR="00356E75" w:rsidRPr="004A497D" w:rsidRDefault="00356E75" w:rsidP="004E5A85">
      <w:pPr>
        <w:jc w:val="both"/>
        <w:rPr>
          <w:rFonts w:asciiTheme="minorHAnsi" w:eastAsia="SimSun" w:hAnsiTheme="minorHAnsi" w:cstheme="minorHAnsi"/>
          <w:iCs/>
          <w:sz w:val="18"/>
          <w:szCs w:val="18"/>
          <w:lang w:val="es-EC"/>
        </w:rPr>
      </w:pPr>
    </w:p>
    <w:tbl>
      <w:tblPr>
        <w:tblStyle w:val="Tablaconcuadrcula"/>
        <w:tblW w:w="0" w:type="auto"/>
        <w:tblLook w:val="04A0" w:firstRow="1" w:lastRow="0" w:firstColumn="1" w:lastColumn="0" w:noHBand="0" w:noVBand="1"/>
      </w:tblPr>
      <w:tblGrid>
        <w:gridCol w:w="399"/>
        <w:gridCol w:w="1185"/>
        <w:gridCol w:w="3136"/>
        <w:gridCol w:w="1612"/>
        <w:gridCol w:w="1941"/>
        <w:gridCol w:w="6117"/>
      </w:tblGrid>
      <w:tr w:rsidR="00356E75" w:rsidRPr="00356E75" w14:paraId="036B1B25" w14:textId="77777777" w:rsidTr="00356E75">
        <w:tc>
          <w:tcPr>
            <w:tcW w:w="0" w:type="auto"/>
            <w:vAlign w:val="center"/>
          </w:tcPr>
          <w:p w14:paraId="5AC6F6F5" w14:textId="4349D80F" w:rsidR="00356E75" w:rsidRPr="00356E75" w:rsidRDefault="00356E75" w:rsidP="00791D50">
            <w:pPr>
              <w:pStyle w:val="Ttulo3"/>
              <w:jc w:val="center"/>
              <w:rPr>
                <w:rStyle w:val="Textoennegrita"/>
                <w:rFonts w:asciiTheme="minorHAnsi" w:hAnsiTheme="minorHAnsi" w:cstheme="minorHAnsi"/>
                <w:color w:val="000000"/>
                <w:sz w:val="18"/>
                <w:szCs w:val="18"/>
              </w:rPr>
            </w:pPr>
            <w:r w:rsidRPr="00356E75">
              <w:rPr>
                <w:rStyle w:val="Textoennegrita"/>
                <w:rFonts w:asciiTheme="minorHAnsi" w:hAnsiTheme="minorHAnsi" w:cstheme="minorHAnsi"/>
                <w:color w:val="000000"/>
                <w:sz w:val="18"/>
                <w:szCs w:val="18"/>
              </w:rPr>
              <w:t>#</w:t>
            </w:r>
          </w:p>
        </w:tc>
        <w:tc>
          <w:tcPr>
            <w:tcW w:w="0" w:type="auto"/>
            <w:vAlign w:val="center"/>
          </w:tcPr>
          <w:p w14:paraId="1DFCFEBB" w14:textId="02F2A200" w:rsidR="00356E75" w:rsidRPr="00356E75" w:rsidRDefault="00356E75" w:rsidP="00791D50">
            <w:pPr>
              <w:pStyle w:val="Ttulo3"/>
              <w:jc w:val="center"/>
              <w:rPr>
                <w:rStyle w:val="Textoennegrita"/>
                <w:rFonts w:asciiTheme="minorHAnsi" w:hAnsiTheme="minorHAnsi" w:cstheme="minorHAnsi"/>
                <w:color w:val="000000"/>
                <w:sz w:val="18"/>
                <w:szCs w:val="18"/>
              </w:rPr>
            </w:pPr>
            <w:r w:rsidRPr="00356E75">
              <w:rPr>
                <w:rStyle w:val="Textoennegrita"/>
                <w:rFonts w:asciiTheme="minorHAnsi" w:hAnsiTheme="minorHAnsi" w:cstheme="minorHAnsi"/>
                <w:color w:val="000000"/>
                <w:sz w:val="18"/>
                <w:szCs w:val="18"/>
              </w:rPr>
              <w:t>Componente</w:t>
            </w:r>
          </w:p>
        </w:tc>
        <w:tc>
          <w:tcPr>
            <w:tcW w:w="0" w:type="auto"/>
            <w:vAlign w:val="center"/>
          </w:tcPr>
          <w:p w14:paraId="0DC50ABA" w14:textId="77777777" w:rsidR="00356E75" w:rsidRPr="00356E75" w:rsidRDefault="00356E75" w:rsidP="00356E75">
            <w:pPr>
              <w:pStyle w:val="Ttulo3"/>
              <w:rPr>
                <w:rStyle w:val="Textoennegrita"/>
                <w:rFonts w:asciiTheme="minorHAnsi" w:hAnsiTheme="minorHAnsi" w:cstheme="minorHAnsi"/>
                <w:color w:val="000000"/>
                <w:sz w:val="18"/>
                <w:szCs w:val="18"/>
              </w:rPr>
            </w:pPr>
            <w:r w:rsidRPr="00356E75">
              <w:rPr>
                <w:rStyle w:val="Textoennegrita"/>
                <w:rFonts w:asciiTheme="minorHAnsi" w:hAnsiTheme="minorHAnsi" w:cstheme="minorHAnsi"/>
                <w:color w:val="000000"/>
                <w:sz w:val="18"/>
                <w:szCs w:val="18"/>
              </w:rPr>
              <w:t xml:space="preserve"> Descripción </w:t>
            </w:r>
          </w:p>
        </w:tc>
        <w:tc>
          <w:tcPr>
            <w:tcW w:w="0" w:type="auto"/>
            <w:vAlign w:val="center"/>
          </w:tcPr>
          <w:p w14:paraId="5B393D49" w14:textId="7D68BED9" w:rsidR="00356E75" w:rsidRPr="00356E75" w:rsidRDefault="00356E75" w:rsidP="00356E75">
            <w:pPr>
              <w:pStyle w:val="Ttulo3"/>
              <w:rPr>
                <w:rStyle w:val="Textoennegrita"/>
                <w:rFonts w:asciiTheme="minorHAnsi" w:hAnsiTheme="minorHAnsi" w:cstheme="minorHAnsi"/>
                <w:color w:val="000000"/>
                <w:sz w:val="18"/>
                <w:szCs w:val="18"/>
              </w:rPr>
            </w:pPr>
            <w:r w:rsidRPr="00356E75">
              <w:rPr>
                <w:rStyle w:val="Textoennegrita"/>
                <w:rFonts w:asciiTheme="minorHAnsi" w:hAnsiTheme="minorHAnsi" w:cstheme="minorHAnsi"/>
                <w:color w:val="000000"/>
                <w:sz w:val="18"/>
                <w:szCs w:val="18"/>
              </w:rPr>
              <w:t xml:space="preserve">Presupuesto Año 1 (USD) </w:t>
            </w:r>
          </w:p>
        </w:tc>
        <w:tc>
          <w:tcPr>
            <w:tcW w:w="0" w:type="auto"/>
            <w:vAlign w:val="center"/>
          </w:tcPr>
          <w:p w14:paraId="3DF110CE" w14:textId="366E760E" w:rsidR="00356E75" w:rsidRPr="00356E75" w:rsidRDefault="00356E75" w:rsidP="00356E75">
            <w:pPr>
              <w:pStyle w:val="Ttulo3"/>
              <w:rPr>
                <w:rStyle w:val="Textoennegrita"/>
                <w:rFonts w:asciiTheme="minorHAnsi" w:hAnsiTheme="minorHAnsi" w:cstheme="minorHAnsi"/>
                <w:color w:val="000000"/>
                <w:sz w:val="18"/>
                <w:szCs w:val="18"/>
              </w:rPr>
            </w:pPr>
            <w:r w:rsidRPr="00356E75">
              <w:rPr>
                <w:rStyle w:val="Textoennegrita"/>
                <w:rFonts w:asciiTheme="minorHAnsi" w:hAnsiTheme="minorHAnsi" w:cstheme="minorHAnsi"/>
                <w:color w:val="000000"/>
                <w:sz w:val="18"/>
                <w:szCs w:val="18"/>
              </w:rPr>
              <w:t xml:space="preserve">Responsable del Contrato </w:t>
            </w:r>
          </w:p>
        </w:tc>
        <w:tc>
          <w:tcPr>
            <w:tcW w:w="0" w:type="auto"/>
            <w:vAlign w:val="center"/>
          </w:tcPr>
          <w:p w14:paraId="641E8F44" w14:textId="46B3CE3A" w:rsidR="00356E75" w:rsidRPr="00356E75" w:rsidRDefault="00356E75" w:rsidP="00356E75">
            <w:pPr>
              <w:pStyle w:val="Ttulo3"/>
              <w:rPr>
                <w:rFonts w:asciiTheme="minorHAnsi" w:hAnsiTheme="minorHAnsi" w:cstheme="minorHAnsi"/>
                <w:b/>
                <w:bCs/>
                <w:color w:val="000000"/>
                <w:sz w:val="18"/>
                <w:szCs w:val="18"/>
                <w:lang w:val="es-EC" w:eastAsia="es-ES_tradnl"/>
              </w:rPr>
            </w:pPr>
            <w:r w:rsidRPr="00356E75">
              <w:rPr>
                <w:rStyle w:val="Textoennegrita"/>
                <w:rFonts w:asciiTheme="minorHAnsi" w:hAnsiTheme="minorHAnsi" w:cstheme="minorHAnsi"/>
                <w:color w:val="000000"/>
                <w:sz w:val="18"/>
                <w:szCs w:val="18"/>
              </w:rPr>
              <w:t>Observaciones</w:t>
            </w:r>
          </w:p>
        </w:tc>
      </w:tr>
      <w:tr w:rsidR="00356E75" w:rsidRPr="00356E75" w14:paraId="7FA4AF6E" w14:textId="77777777" w:rsidTr="00356E75">
        <w:tc>
          <w:tcPr>
            <w:tcW w:w="0" w:type="auto"/>
            <w:vAlign w:val="center"/>
          </w:tcPr>
          <w:p w14:paraId="3EFCFC16" w14:textId="313D98B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0A5FA0D3" w14:textId="7DE3D64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11A98769" w14:textId="4469960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Consultoría internacional (ESIA) </w:t>
            </w:r>
          </w:p>
        </w:tc>
        <w:tc>
          <w:tcPr>
            <w:tcW w:w="0" w:type="auto"/>
            <w:vAlign w:val="center"/>
          </w:tcPr>
          <w:p w14:paraId="2FBC88EF" w14:textId="5751B399"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13.151,00</w:t>
            </w:r>
          </w:p>
        </w:tc>
        <w:tc>
          <w:tcPr>
            <w:tcW w:w="0" w:type="auto"/>
            <w:vAlign w:val="center"/>
          </w:tcPr>
          <w:p w14:paraId="6EDDFEBB"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558237D4" w14:textId="3C2A11D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IC (Consultoría Internacional)</w:t>
            </w:r>
          </w:p>
        </w:tc>
      </w:tr>
      <w:tr w:rsidR="00356E75" w:rsidRPr="00356E75" w14:paraId="277B4868" w14:textId="77777777" w:rsidTr="00356E75">
        <w:tc>
          <w:tcPr>
            <w:tcW w:w="0" w:type="auto"/>
            <w:vAlign w:val="center"/>
          </w:tcPr>
          <w:p w14:paraId="6BEB12FB" w14:textId="289FC5B2"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w:t>
            </w:r>
          </w:p>
        </w:tc>
        <w:tc>
          <w:tcPr>
            <w:tcW w:w="0" w:type="auto"/>
            <w:vAlign w:val="center"/>
          </w:tcPr>
          <w:p w14:paraId="3444297C" w14:textId="2A9BC90A"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35F84F17" w14:textId="21AE1BC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Territorial – Unidad Napo </w:t>
            </w:r>
          </w:p>
        </w:tc>
        <w:tc>
          <w:tcPr>
            <w:tcW w:w="0" w:type="auto"/>
            <w:vAlign w:val="center"/>
          </w:tcPr>
          <w:p w14:paraId="11FF056B" w14:textId="35671632"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30.000,00</w:t>
            </w:r>
          </w:p>
        </w:tc>
        <w:tc>
          <w:tcPr>
            <w:tcW w:w="0" w:type="auto"/>
            <w:vAlign w:val="center"/>
          </w:tcPr>
          <w:p w14:paraId="7F7F8819"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5A952A0E" w14:textId="34FBE1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(NPSA7). Lidera la implementación territorial, coordina actores y supervisa equipos y actividades en campo. Unidad Local Napo</w:t>
            </w:r>
          </w:p>
        </w:tc>
      </w:tr>
      <w:tr w:rsidR="00356E75" w:rsidRPr="00356E75" w14:paraId="3215919E" w14:textId="77777777" w:rsidTr="00356E75">
        <w:tc>
          <w:tcPr>
            <w:tcW w:w="0" w:type="auto"/>
            <w:vAlign w:val="center"/>
          </w:tcPr>
          <w:p w14:paraId="3F959825" w14:textId="357C408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w:t>
            </w:r>
          </w:p>
        </w:tc>
        <w:tc>
          <w:tcPr>
            <w:tcW w:w="0" w:type="auto"/>
            <w:vAlign w:val="center"/>
          </w:tcPr>
          <w:p w14:paraId="68FA9F87" w14:textId="317B9A9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71C6E0F2" w14:textId="2F6D98A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Facilitador Comunitario y Enlace Local de Comunicación </w:t>
            </w:r>
          </w:p>
        </w:tc>
        <w:tc>
          <w:tcPr>
            <w:tcW w:w="0" w:type="auto"/>
            <w:vAlign w:val="center"/>
          </w:tcPr>
          <w:p w14:paraId="75B09B1F" w14:textId="6AAC2AA7"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14.004,00</w:t>
            </w:r>
          </w:p>
        </w:tc>
        <w:tc>
          <w:tcPr>
            <w:tcW w:w="0" w:type="auto"/>
            <w:vAlign w:val="center"/>
          </w:tcPr>
          <w:p w14:paraId="133BF42B"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7E12CB7E" w14:textId="3E056314"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Garantiza la inclusión comunitaria y el respeto a los planes de vida indígenas. Unidad Local Napo</w:t>
            </w:r>
          </w:p>
        </w:tc>
      </w:tr>
      <w:tr w:rsidR="00356E75" w:rsidRPr="00356E75" w14:paraId="7C9B7E02" w14:textId="77777777" w:rsidTr="00356E75">
        <w:tc>
          <w:tcPr>
            <w:tcW w:w="0" w:type="auto"/>
            <w:vAlign w:val="center"/>
          </w:tcPr>
          <w:p w14:paraId="00802328" w14:textId="6DE74AEE"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4ED17751" w14:textId="749C2656"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54DB4AB3" w14:textId="1A874C2A"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Territorial – Unidad Sucumbíos </w:t>
            </w:r>
          </w:p>
        </w:tc>
        <w:tc>
          <w:tcPr>
            <w:tcW w:w="0" w:type="auto"/>
            <w:vAlign w:val="center"/>
          </w:tcPr>
          <w:p w14:paraId="7BCD8606" w14:textId="4C654376"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30.000,00</w:t>
            </w:r>
          </w:p>
        </w:tc>
        <w:tc>
          <w:tcPr>
            <w:tcW w:w="0" w:type="auto"/>
            <w:vAlign w:val="center"/>
          </w:tcPr>
          <w:p w14:paraId="169B7B95"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65E0D014" w14:textId="6FB6CFBA"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Contratación directa (NPSA7). </w:t>
            </w:r>
            <w:proofErr w:type="spellStart"/>
            <w:r w:rsidRPr="00356E75">
              <w:rPr>
                <w:rFonts w:asciiTheme="minorHAnsi" w:hAnsiTheme="minorHAnsi" w:cstheme="minorHAnsi"/>
                <w:color w:val="000000"/>
                <w:sz w:val="18"/>
                <w:szCs w:val="18"/>
              </w:rPr>
              <w:t>Idem</w:t>
            </w:r>
            <w:proofErr w:type="spellEnd"/>
            <w:r w:rsidRPr="00356E75">
              <w:rPr>
                <w:rFonts w:asciiTheme="minorHAnsi" w:hAnsiTheme="minorHAnsi" w:cstheme="minorHAnsi"/>
                <w:color w:val="000000"/>
                <w:sz w:val="18"/>
                <w:szCs w:val="18"/>
              </w:rPr>
              <w:t xml:space="preserve"> anterior. Unidad Local Sucumbíos</w:t>
            </w:r>
          </w:p>
        </w:tc>
      </w:tr>
      <w:tr w:rsidR="00356E75" w:rsidRPr="00356E75" w14:paraId="05BBB198" w14:textId="77777777" w:rsidTr="00356E75">
        <w:tc>
          <w:tcPr>
            <w:tcW w:w="0" w:type="auto"/>
            <w:vAlign w:val="center"/>
          </w:tcPr>
          <w:p w14:paraId="743DFE65" w14:textId="2577A47C"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5</w:t>
            </w:r>
          </w:p>
        </w:tc>
        <w:tc>
          <w:tcPr>
            <w:tcW w:w="0" w:type="auto"/>
            <w:vAlign w:val="center"/>
          </w:tcPr>
          <w:p w14:paraId="095569A6" w14:textId="374E3A0A"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2CC2A9A5" w14:textId="5381B1E3"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Facilitador Comunitario y Enlace Local de Comunicación </w:t>
            </w:r>
          </w:p>
        </w:tc>
        <w:tc>
          <w:tcPr>
            <w:tcW w:w="0" w:type="auto"/>
            <w:vAlign w:val="center"/>
          </w:tcPr>
          <w:p w14:paraId="42F2FC74" w14:textId="3B984FB3"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14.004,00</w:t>
            </w:r>
          </w:p>
        </w:tc>
        <w:tc>
          <w:tcPr>
            <w:tcW w:w="0" w:type="auto"/>
            <w:vAlign w:val="center"/>
          </w:tcPr>
          <w:p w14:paraId="7ECBBBFD"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68F7CE8C" w14:textId="534C0E2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Contratación directa (NPSA4). </w:t>
            </w:r>
            <w:proofErr w:type="spellStart"/>
            <w:r w:rsidRPr="00356E75">
              <w:rPr>
                <w:rFonts w:asciiTheme="minorHAnsi" w:hAnsiTheme="minorHAnsi" w:cstheme="minorHAnsi"/>
                <w:color w:val="000000"/>
                <w:sz w:val="18"/>
                <w:szCs w:val="18"/>
              </w:rPr>
              <w:t>Idem</w:t>
            </w:r>
            <w:proofErr w:type="spellEnd"/>
            <w:r w:rsidRPr="00356E75">
              <w:rPr>
                <w:rFonts w:asciiTheme="minorHAnsi" w:hAnsiTheme="minorHAnsi" w:cstheme="minorHAnsi"/>
                <w:color w:val="000000"/>
                <w:sz w:val="18"/>
                <w:szCs w:val="18"/>
              </w:rPr>
              <w:t xml:space="preserve"> anterior. Unidad Local Sucumbíos</w:t>
            </w:r>
          </w:p>
        </w:tc>
      </w:tr>
      <w:tr w:rsidR="00356E75" w:rsidRPr="00356E75" w14:paraId="3A249017" w14:textId="77777777" w:rsidTr="00356E75">
        <w:tc>
          <w:tcPr>
            <w:tcW w:w="0" w:type="auto"/>
            <w:vAlign w:val="center"/>
          </w:tcPr>
          <w:p w14:paraId="0C98DACE" w14:textId="4F1563AE"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6</w:t>
            </w:r>
          </w:p>
        </w:tc>
        <w:tc>
          <w:tcPr>
            <w:tcW w:w="0" w:type="auto"/>
            <w:vAlign w:val="center"/>
          </w:tcPr>
          <w:p w14:paraId="5F0EC85B" w14:textId="7DAA3F3F"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55293BC0" w14:textId="31922802"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Logística para misiones técnicas </w:t>
            </w:r>
          </w:p>
        </w:tc>
        <w:tc>
          <w:tcPr>
            <w:tcW w:w="0" w:type="auto"/>
            <w:vAlign w:val="center"/>
          </w:tcPr>
          <w:p w14:paraId="29E615C9" w14:textId="070BFBBA"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18.178,00</w:t>
            </w:r>
          </w:p>
        </w:tc>
        <w:tc>
          <w:tcPr>
            <w:tcW w:w="0" w:type="auto"/>
            <w:vAlign w:val="center"/>
          </w:tcPr>
          <w:p w14:paraId="7ADE7C1C"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444C31F0" w14:textId="27C6CFB2"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r w:rsidRPr="00356E75">
              <w:rPr>
                <w:rFonts w:asciiTheme="minorHAnsi" w:hAnsiTheme="minorHAnsi" w:cstheme="minorHAnsi"/>
                <w:color w:val="000000"/>
                <w:sz w:val="18"/>
                <w:szCs w:val="18"/>
              </w:rPr>
              <w:t xml:space="preserve"> / SDC (según valor del ítem)</w:t>
            </w:r>
          </w:p>
        </w:tc>
      </w:tr>
      <w:tr w:rsidR="00356E75" w:rsidRPr="00356E75" w14:paraId="0B70096F" w14:textId="77777777" w:rsidTr="00356E75">
        <w:tc>
          <w:tcPr>
            <w:tcW w:w="0" w:type="auto"/>
            <w:vAlign w:val="center"/>
          </w:tcPr>
          <w:p w14:paraId="27B89C45" w14:textId="074947E2"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7</w:t>
            </w:r>
          </w:p>
        </w:tc>
        <w:tc>
          <w:tcPr>
            <w:tcW w:w="0" w:type="auto"/>
            <w:vAlign w:val="center"/>
          </w:tcPr>
          <w:p w14:paraId="704FDBB4" w14:textId="2E4579EC"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w:t>
            </w:r>
          </w:p>
        </w:tc>
        <w:tc>
          <w:tcPr>
            <w:tcW w:w="0" w:type="auto"/>
            <w:vAlign w:val="center"/>
          </w:tcPr>
          <w:p w14:paraId="42AC8406" w14:textId="4F15A6B3"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Firma nacional: capacitación en gobernanza </w:t>
            </w:r>
          </w:p>
        </w:tc>
        <w:tc>
          <w:tcPr>
            <w:tcW w:w="0" w:type="auto"/>
            <w:vAlign w:val="center"/>
          </w:tcPr>
          <w:p w14:paraId="6F51A8ED" w14:textId="21D13501"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24.854,00</w:t>
            </w:r>
          </w:p>
        </w:tc>
        <w:tc>
          <w:tcPr>
            <w:tcW w:w="0" w:type="auto"/>
            <w:vAlign w:val="center"/>
          </w:tcPr>
          <w:p w14:paraId="2ACA88A1"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36E85E22" w14:textId="111AB2FD"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RFP (Solicitud de Propuesta)</w:t>
            </w:r>
          </w:p>
        </w:tc>
      </w:tr>
      <w:tr w:rsidR="00356E75" w:rsidRPr="00356E75" w14:paraId="10093694" w14:textId="77777777" w:rsidTr="00356E75">
        <w:tc>
          <w:tcPr>
            <w:tcW w:w="0" w:type="auto"/>
            <w:vAlign w:val="center"/>
          </w:tcPr>
          <w:p w14:paraId="64269AF3" w14:textId="3A632D5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8</w:t>
            </w:r>
          </w:p>
        </w:tc>
        <w:tc>
          <w:tcPr>
            <w:tcW w:w="0" w:type="auto"/>
            <w:vAlign w:val="center"/>
          </w:tcPr>
          <w:p w14:paraId="38133BE3" w14:textId="5508363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54ED449C" w14:textId="0CA8EFEE"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4 consultores locales para planes de manejo </w:t>
            </w:r>
          </w:p>
        </w:tc>
        <w:tc>
          <w:tcPr>
            <w:tcW w:w="0" w:type="auto"/>
            <w:vAlign w:val="center"/>
          </w:tcPr>
          <w:p w14:paraId="2D6E0A03" w14:textId="63C1F828"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101.804,00</w:t>
            </w:r>
          </w:p>
        </w:tc>
        <w:tc>
          <w:tcPr>
            <w:tcW w:w="0" w:type="auto"/>
            <w:vAlign w:val="center"/>
          </w:tcPr>
          <w:p w14:paraId="7182D9CC"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43EA569A" w14:textId="485146C9"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IC (Consultoría Nacional)</w:t>
            </w:r>
          </w:p>
        </w:tc>
      </w:tr>
      <w:tr w:rsidR="00356E75" w:rsidRPr="00356E75" w14:paraId="4D8510E5" w14:textId="77777777" w:rsidTr="00356E75">
        <w:tc>
          <w:tcPr>
            <w:tcW w:w="0" w:type="auto"/>
            <w:vAlign w:val="center"/>
          </w:tcPr>
          <w:p w14:paraId="4C7F7D11" w14:textId="3714148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9</w:t>
            </w:r>
          </w:p>
        </w:tc>
        <w:tc>
          <w:tcPr>
            <w:tcW w:w="0" w:type="auto"/>
            <w:vAlign w:val="center"/>
          </w:tcPr>
          <w:p w14:paraId="51EDE2F2" w14:textId="32D0CA29"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2E283BBA" w14:textId="48093B34"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Asistente Técnico en MFS y Recursos Hídricos </w:t>
            </w:r>
          </w:p>
        </w:tc>
        <w:tc>
          <w:tcPr>
            <w:tcW w:w="0" w:type="auto"/>
            <w:vAlign w:val="center"/>
          </w:tcPr>
          <w:p w14:paraId="588811EE" w14:textId="4C503F38"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17.364,00</w:t>
            </w:r>
          </w:p>
        </w:tc>
        <w:tc>
          <w:tcPr>
            <w:tcW w:w="0" w:type="auto"/>
            <w:vAlign w:val="center"/>
          </w:tcPr>
          <w:p w14:paraId="7724BC9C"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5764B51D" w14:textId="711573A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Apoya logística de eventos. Sede Quito</w:t>
            </w:r>
          </w:p>
        </w:tc>
      </w:tr>
      <w:tr w:rsidR="00356E75" w:rsidRPr="00356E75" w14:paraId="5312E80F" w14:textId="77777777" w:rsidTr="00356E75">
        <w:tc>
          <w:tcPr>
            <w:tcW w:w="0" w:type="auto"/>
            <w:vAlign w:val="center"/>
          </w:tcPr>
          <w:p w14:paraId="04E60899" w14:textId="0EE85426"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10</w:t>
            </w:r>
          </w:p>
        </w:tc>
        <w:tc>
          <w:tcPr>
            <w:tcW w:w="0" w:type="auto"/>
            <w:vAlign w:val="center"/>
          </w:tcPr>
          <w:p w14:paraId="07E47C2D" w14:textId="13C1CEDB"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637C6C5D" w14:textId="25310725"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Facilitador Técnico para implementación SBV </w:t>
            </w:r>
          </w:p>
        </w:tc>
        <w:tc>
          <w:tcPr>
            <w:tcW w:w="0" w:type="auto"/>
            <w:vAlign w:val="center"/>
          </w:tcPr>
          <w:p w14:paraId="37561775" w14:textId="42A3A3D5"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17.364,00</w:t>
            </w:r>
          </w:p>
        </w:tc>
        <w:tc>
          <w:tcPr>
            <w:tcW w:w="0" w:type="auto"/>
            <w:vAlign w:val="center"/>
          </w:tcPr>
          <w:p w14:paraId="7CCEBE04"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225C897B" w14:textId="5F03617A"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Maneja ejecución logística y administrativa en campo. Unidad Napo</w:t>
            </w:r>
          </w:p>
        </w:tc>
      </w:tr>
      <w:tr w:rsidR="00356E75" w:rsidRPr="00356E75" w14:paraId="2A0EE5D9" w14:textId="77777777" w:rsidTr="00356E75">
        <w:tc>
          <w:tcPr>
            <w:tcW w:w="0" w:type="auto"/>
            <w:vAlign w:val="center"/>
          </w:tcPr>
          <w:p w14:paraId="175D6004" w14:textId="0D295D3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11</w:t>
            </w:r>
          </w:p>
        </w:tc>
        <w:tc>
          <w:tcPr>
            <w:tcW w:w="0" w:type="auto"/>
            <w:vAlign w:val="center"/>
          </w:tcPr>
          <w:p w14:paraId="743947C0" w14:textId="4DA6231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548289D5" w14:textId="64EBD455"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Técnico Local – Recursos Hídricos y Cartografía </w:t>
            </w:r>
          </w:p>
        </w:tc>
        <w:tc>
          <w:tcPr>
            <w:tcW w:w="0" w:type="auto"/>
            <w:vAlign w:val="center"/>
          </w:tcPr>
          <w:p w14:paraId="2EEE9E9A" w14:textId="608529B3"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21.540,00</w:t>
            </w:r>
          </w:p>
        </w:tc>
        <w:tc>
          <w:tcPr>
            <w:tcW w:w="0" w:type="auto"/>
            <w:vAlign w:val="center"/>
          </w:tcPr>
          <w:p w14:paraId="134734D8"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2DC2ED1B" w14:textId="1FBF76FD"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Monitorea cuencas, recolecta datos y genera análisis espacial. Napo</w:t>
            </w:r>
          </w:p>
        </w:tc>
      </w:tr>
      <w:tr w:rsidR="00356E75" w:rsidRPr="00356E75" w14:paraId="497BB5A0" w14:textId="77777777" w:rsidTr="00356E75">
        <w:tc>
          <w:tcPr>
            <w:tcW w:w="0" w:type="auto"/>
            <w:vAlign w:val="center"/>
          </w:tcPr>
          <w:p w14:paraId="189482C9" w14:textId="799C1D16"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12</w:t>
            </w:r>
          </w:p>
        </w:tc>
        <w:tc>
          <w:tcPr>
            <w:tcW w:w="0" w:type="auto"/>
            <w:vAlign w:val="center"/>
          </w:tcPr>
          <w:p w14:paraId="146A2167" w14:textId="3B15B2FB"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469031BA" w14:textId="463D9C1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Promotor Territorial – Apoyo Comunitario (2) </w:t>
            </w:r>
          </w:p>
        </w:tc>
        <w:tc>
          <w:tcPr>
            <w:tcW w:w="0" w:type="auto"/>
            <w:vAlign w:val="center"/>
          </w:tcPr>
          <w:p w14:paraId="24D08716" w14:textId="0F80CED1"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28.008,00</w:t>
            </w:r>
          </w:p>
        </w:tc>
        <w:tc>
          <w:tcPr>
            <w:tcW w:w="0" w:type="auto"/>
            <w:vAlign w:val="center"/>
          </w:tcPr>
          <w:p w14:paraId="6EDB1AA6"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669A5354" w14:textId="0F449072"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Apoya procesos comunitarios y participación local. Napo</w:t>
            </w:r>
          </w:p>
        </w:tc>
      </w:tr>
      <w:tr w:rsidR="00356E75" w:rsidRPr="00356E75" w14:paraId="593F7FF5" w14:textId="77777777" w:rsidTr="00356E75">
        <w:tc>
          <w:tcPr>
            <w:tcW w:w="0" w:type="auto"/>
            <w:vAlign w:val="center"/>
          </w:tcPr>
          <w:p w14:paraId="29F39B7C" w14:textId="4A801CD4"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13</w:t>
            </w:r>
          </w:p>
        </w:tc>
        <w:tc>
          <w:tcPr>
            <w:tcW w:w="0" w:type="auto"/>
            <w:vAlign w:val="center"/>
          </w:tcPr>
          <w:p w14:paraId="01A0AE28" w14:textId="0EE2BEB6"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0C45DA4C" w14:textId="4499143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Asistente Técnico en Restauración Productiva (2) </w:t>
            </w:r>
          </w:p>
        </w:tc>
        <w:tc>
          <w:tcPr>
            <w:tcW w:w="0" w:type="auto"/>
            <w:vAlign w:val="center"/>
          </w:tcPr>
          <w:p w14:paraId="6ED45E10" w14:textId="7B37B742"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43.080,00</w:t>
            </w:r>
          </w:p>
        </w:tc>
        <w:tc>
          <w:tcPr>
            <w:tcW w:w="0" w:type="auto"/>
            <w:vAlign w:val="center"/>
          </w:tcPr>
          <w:p w14:paraId="642989F4"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289E3AB8" w14:textId="5466124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Ejecuta acciones de restauración y fortalecimiento productivo. Napo</w:t>
            </w:r>
          </w:p>
        </w:tc>
      </w:tr>
      <w:tr w:rsidR="00356E75" w:rsidRPr="00356E75" w14:paraId="2C09BD32" w14:textId="77777777" w:rsidTr="00356E75">
        <w:tc>
          <w:tcPr>
            <w:tcW w:w="0" w:type="auto"/>
            <w:vAlign w:val="center"/>
          </w:tcPr>
          <w:p w14:paraId="741CAF0B" w14:textId="2BBB055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14</w:t>
            </w:r>
          </w:p>
        </w:tc>
        <w:tc>
          <w:tcPr>
            <w:tcW w:w="0" w:type="auto"/>
            <w:vAlign w:val="center"/>
          </w:tcPr>
          <w:p w14:paraId="0B743F6C" w14:textId="0FF04CC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05B1C09E" w14:textId="3FA8516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Técnico Local – Recursos Hídricos y Cartografía </w:t>
            </w:r>
          </w:p>
        </w:tc>
        <w:tc>
          <w:tcPr>
            <w:tcW w:w="0" w:type="auto"/>
            <w:vAlign w:val="center"/>
          </w:tcPr>
          <w:p w14:paraId="0F373196" w14:textId="3E6D239E"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21.540,00</w:t>
            </w:r>
          </w:p>
        </w:tc>
        <w:tc>
          <w:tcPr>
            <w:tcW w:w="0" w:type="auto"/>
            <w:vAlign w:val="center"/>
          </w:tcPr>
          <w:p w14:paraId="53760635"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71D8FA5D" w14:textId="6AD8BFE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Contratación directa (NPSA4). </w:t>
            </w:r>
            <w:proofErr w:type="spellStart"/>
            <w:r w:rsidRPr="00356E75">
              <w:rPr>
                <w:rFonts w:asciiTheme="minorHAnsi" w:hAnsiTheme="minorHAnsi" w:cstheme="minorHAnsi"/>
                <w:color w:val="000000"/>
                <w:sz w:val="18"/>
                <w:szCs w:val="18"/>
              </w:rPr>
              <w:t>Idem</w:t>
            </w:r>
            <w:proofErr w:type="spellEnd"/>
            <w:r w:rsidRPr="00356E75">
              <w:rPr>
                <w:rFonts w:asciiTheme="minorHAnsi" w:hAnsiTheme="minorHAnsi" w:cstheme="minorHAnsi"/>
                <w:color w:val="000000"/>
                <w:sz w:val="18"/>
                <w:szCs w:val="18"/>
              </w:rPr>
              <w:t xml:space="preserve"> anterior. Sucumbíos</w:t>
            </w:r>
          </w:p>
        </w:tc>
      </w:tr>
      <w:tr w:rsidR="00356E75" w:rsidRPr="00356E75" w14:paraId="3443AF3D" w14:textId="77777777" w:rsidTr="00356E75">
        <w:tc>
          <w:tcPr>
            <w:tcW w:w="0" w:type="auto"/>
            <w:vAlign w:val="center"/>
          </w:tcPr>
          <w:p w14:paraId="0CABE0F0" w14:textId="10BF192F"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15</w:t>
            </w:r>
          </w:p>
        </w:tc>
        <w:tc>
          <w:tcPr>
            <w:tcW w:w="0" w:type="auto"/>
            <w:vAlign w:val="center"/>
          </w:tcPr>
          <w:p w14:paraId="38E10C63" w14:textId="45405485"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2CA50A75" w14:textId="3746A4D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Costos de logística técnica y desplazamiento </w:t>
            </w:r>
          </w:p>
        </w:tc>
        <w:tc>
          <w:tcPr>
            <w:tcW w:w="0" w:type="auto"/>
            <w:vAlign w:val="center"/>
          </w:tcPr>
          <w:p w14:paraId="528EF1D6" w14:textId="18034F4A"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21.854,00</w:t>
            </w:r>
          </w:p>
        </w:tc>
        <w:tc>
          <w:tcPr>
            <w:tcW w:w="0" w:type="auto"/>
            <w:vAlign w:val="center"/>
          </w:tcPr>
          <w:p w14:paraId="50E07595"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4E0BC2F9" w14:textId="18460584"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r w:rsidRPr="00356E75">
              <w:rPr>
                <w:rFonts w:asciiTheme="minorHAnsi" w:hAnsiTheme="minorHAnsi" w:cstheme="minorHAnsi"/>
                <w:color w:val="000000"/>
                <w:sz w:val="18"/>
                <w:szCs w:val="18"/>
              </w:rPr>
              <w:t xml:space="preserve"> / SDC</w:t>
            </w:r>
          </w:p>
        </w:tc>
      </w:tr>
      <w:tr w:rsidR="00356E75" w:rsidRPr="00356E75" w14:paraId="2420BA6A" w14:textId="77777777" w:rsidTr="00356E75">
        <w:tc>
          <w:tcPr>
            <w:tcW w:w="0" w:type="auto"/>
            <w:vAlign w:val="center"/>
          </w:tcPr>
          <w:p w14:paraId="23A67667" w14:textId="4FF749FB"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16</w:t>
            </w:r>
          </w:p>
        </w:tc>
        <w:tc>
          <w:tcPr>
            <w:tcW w:w="0" w:type="auto"/>
            <w:vAlign w:val="center"/>
          </w:tcPr>
          <w:p w14:paraId="44190C95" w14:textId="4E16E17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2 - 2.1</w:t>
            </w:r>
          </w:p>
        </w:tc>
        <w:tc>
          <w:tcPr>
            <w:tcW w:w="0" w:type="auto"/>
            <w:vAlign w:val="center"/>
          </w:tcPr>
          <w:p w14:paraId="10048EB1" w14:textId="2C2ECB8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Compra de 2 vehículos 4x4 </w:t>
            </w:r>
          </w:p>
        </w:tc>
        <w:tc>
          <w:tcPr>
            <w:tcW w:w="0" w:type="auto"/>
            <w:vAlign w:val="center"/>
          </w:tcPr>
          <w:p w14:paraId="19E2D89F" w14:textId="3AEE5E55"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109.812,00</w:t>
            </w:r>
          </w:p>
        </w:tc>
        <w:tc>
          <w:tcPr>
            <w:tcW w:w="0" w:type="auto"/>
            <w:vAlign w:val="center"/>
          </w:tcPr>
          <w:p w14:paraId="2E9D07B5"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593D6A38" w14:textId="514E4649"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SDC / Licitación Pública Nacional (&gt; USD 100.000)</w:t>
            </w:r>
          </w:p>
        </w:tc>
      </w:tr>
      <w:tr w:rsidR="00356E75" w:rsidRPr="00356E75" w14:paraId="76B76F2E" w14:textId="77777777" w:rsidTr="00356E75">
        <w:tc>
          <w:tcPr>
            <w:tcW w:w="0" w:type="auto"/>
            <w:vAlign w:val="center"/>
          </w:tcPr>
          <w:p w14:paraId="169C46B5" w14:textId="5ED3E28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17</w:t>
            </w:r>
          </w:p>
        </w:tc>
        <w:tc>
          <w:tcPr>
            <w:tcW w:w="0" w:type="auto"/>
            <w:vAlign w:val="center"/>
          </w:tcPr>
          <w:p w14:paraId="04514B33" w14:textId="38D541C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3DBE94E8" w14:textId="1A4405A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Técnico Local – Tierra y Producción Sostenible </w:t>
            </w:r>
          </w:p>
        </w:tc>
        <w:tc>
          <w:tcPr>
            <w:tcW w:w="0" w:type="auto"/>
            <w:vAlign w:val="center"/>
          </w:tcPr>
          <w:p w14:paraId="536356A8" w14:textId="2018099B"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17.364,00</w:t>
            </w:r>
          </w:p>
        </w:tc>
        <w:tc>
          <w:tcPr>
            <w:tcW w:w="0" w:type="auto"/>
            <w:vAlign w:val="center"/>
          </w:tcPr>
          <w:p w14:paraId="250044B9"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165930F2" w14:textId="42EB343D"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(NPSA5). Apoya implementación con comunidades. Napo</w:t>
            </w:r>
          </w:p>
        </w:tc>
      </w:tr>
      <w:tr w:rsidR="00356E75" w:rsidRPr="00356E75" w14:paraId="7BAF21CA" w14:textId="77777777" w:rsidTr="00356E75">
        <w:tc>
          <w:tcPr>
            <w:tcW w:w="0" w:type="auto"/>
            <w:vAlign w:val="center"/>
          </w:tcPr>
          <w:p w14:paraId="76312B8C" w14:textId="684833AC"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18</w:t>
            </w:r>
          </w:p>
        </w:tc>
        <w:tc>
          <w:tcPr>
            <w:tcW w:w="0" w:type="auto"/>
            <w:vAlign w:val="center"/>
          </w:tcPr>
          <w:p w14:paraId="5760932B" w14:textId="71ED2DA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2EFAB575" w14:textId="3E9A26F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Facilitador Técnico SBV </w:t>
            </w:r>
          </w:p>
        </w:tc>
        <w:tc>
          <w:tcPr>
            <w:tcW w:w="0" w:type="auto"/>
            <w:vAlign w:val="center"/>
          </w:tcPr>
          <w:p w14:paraId="6310255D" w14:textId="79ACE3DB"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17.364,00</w:t>
            </w:r>
          </w:p>
        </w:tc>
        <w:tc>
          <w:tcPr>
            <w:tcW w:w="0" w:type="auto"/>
            <w:vAlign w:val="center"/>
          </w:tcPr>
          <w:p w14:paraId="7D765525"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3FAD7004" w14:textId="543FDA35"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(NPSA5). Ejecución en campo. Sucumbíos</w:t>
            </w:r>
          </w:p>
        </w:tc>
      </w:tr>
      <w:tr w:rsidR="00356E75" w:rsidRPr="00356E75" w14:paraId="5C245397" w14:textId="77777777" w:rsidTr="00356E75">
        <w:tc>
          <w:tcPr>
            <w:tcW w:w="0" w:type="auto"/>
            <w:vAlign w:val="center"/>
          </w:tcPr>
          <w:p w14:paraId="08B04882" w14:textId="32FD63B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lastRenderedPageBreak/>
              <w:t>19</w:t>
            </w:r>
          </w:p>
        </w:tc>
        <w:tc>
          <w:tcPr>
            <w:tcW w:w="0" w:type="auto"/>
            <w:vAlign w:val="center"/>
          </w:tcPr>
          <w:p w14:paraId="6DDA5C18" w14:textId="48FA4E2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6D0BFFC0" w14:textId="3AD6CF1E"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Técnico Local – Tierra y Producción Sostenible </w:t>
            </w:r>
          </w:p>
        </w:tc>
        <w:tc>
          <w:tcPr>
            <w:tcW w:w="0" w:type="auto"/>
            <w:vAlign w:val="center"/>
          </w:tcPr>
          <w:p w14:paraId="005F4C7C" w14:textId="4DF41793"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17.364,00</w:t>
            </w:r>
          </w:p>
        </w:tc>
        <w:tc>
          <w:tcPr>
            <w:tcW w:w="0" w:type="auto"/>
            <w:vAlign w:val="center"/>
          </w:tcPr>
          <w:p w14:paraId="6305DB88"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72C3C9DF" w14:textId="30A2F91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Contratación directa (NPSA5). </w:t>
            </w:r>
            <w:proofErr w:type="spellStart"/>
            <w:r w:rsidRPr="00356E75">
              <w:rPr>
                <w:rFonts w:asciiTheme="minorHAnsi" w:hAnsiTheme="minorHAnsi" w:cstheme="minorHAnsi"/>
                <w:color w:val="000000"/>
                <w:sz w:val="18"/>
                <w:szCs w:val="18"/>
              </w:rPr>
              <w:t>Idem</w:t>
            </w:r>
            <w:proofErr w:type="spellEnd"/>
            <w:r w:rsidRPr="00356E75">
              <w:rPr>
                <w:rFonts w:asciiTheme="minorHAnsi" w:hAnsiTheme="minorHAnsi" w:cstheme="minorHAnsi"/>
                <w:color w:val="000000"/>
                <w:sz w:val="18"/>
                <w:szCs w:val="18"/>
              </w:rPr>
              <w:t xml:space="preserve"> anterior. Sucumbíos</w:t>
            </w:r>
          </w:p>
        </w:tc>
      </w:tr>
      <w:tr w:rsidR="00356E75" w:rsidRPr="00356E75" w14:paraId="0BC1F252" w14:textId="77777777" w:rsidTr="00356E75">
        <w:tc>
          <w:tcPr>
            <w:tcW w:w="0" w:type="auto"/>
            <w:vAlign w:val="center"/>
          </w:tcPr>
          <w:p w14:paraId="78A7B120" w14:textId="45942114"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20</w:t>
            </w:r>
          </w:p>
        </w:tc>
        <w:tc>
          <w:tcPr>
            <w:tcW w:w="0" w:type="auto"/>
            <w:vAlign w:val="center"/>
          </w:tcPr>
          <w:p w14:paraId="544320B2" w14:textId="66887D6B"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2E4A211C" w14:textId="5DD47A8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Promotor Territorial – Apoyo Comunitario (2) </w:t>
            </w:r>
          </w:p>
        </w:tc>
        <w:tc>
          <w:tcPr>
            <w:tcW w:w="0" w:type="auto"/>
            <w:vAlign w:val="center"/>
          </w:tcPr>
          <w:p w14:paraId="6CE4FDD8" w14:textId="362DAF2E"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28.008,00</w:t>
            </w:r>
          </w:p>
        </w:tc>
        <w:tc>
          <w:tcPr>
            <w:tcW w:w="0" w:type="auto"/>
            <w:vAlign w:val="center"/>
          </w:tcPr>
          <w:p w14:paraId="27EB3D08"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06913599" w14:textId="773BFA3E"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(NPSA4). Sucumbíos</w:t>
            </w:r>
          </w:p>
        </w:tc>
      </w:tr>
      <w:tr w:rsidR="00356E75" w:rsidRPr="00356E75" w14:paraId="3463EE1A" w14:textId="77777777" w:rsidTr="00356E75">
        <w:tc>
          <w:tcPr>
            <w:tcW w:w="0" w:type="auto"/>
            <w:vAlign w:val="center"/>
          </w:tcPr>
          <w:p w14:paraId="2A79EF0F" w14:textId="1D4062B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21</w:t>
            </w:r>
          </w:p>
        </w:tc>
        <w:tc>
          <w:tcPr>
            <w:tcW w:w="0" w:type="auto"/>
            <w:vAlign w:val="center"/>
          </w:tcPr>
          <w:p w14:paraId="22D4DFED" w14:textId="0E705936"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5B9F59E4" w14:textId="3B6C8114"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Asistente Técnico en Restauración Productiva (2) </w:t>
            </w:r>
          </w:p>
        </w:tc>
        <w:tc>
          <w:tcPr>
            <w:tcW w:w="0" w:type="auto"/>
            <w:vAlign w:val="center"/>
          </w:tcPr>
          <w:p w14:paraId="0B487505" w14:textId="335CEDDD"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43.080,00</w:t>
            </w:r>
          </w:p>
        </w:tc>
        <w:tc>
          <w:tcPr>
            <w:tcW w:w="0" w:type="auto"/>
            <w:vAlign w:val="center"/>
          </w:tcPr>
          <w:p w14:paraId="75BDF796"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13D02D3B" w14:textId="52FC1083"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(NPSA6). Sucumbíos</w:t>
            </w:r>
          </w:p>
        </w:tc>
      </w:tr>
      <w:tr w:rsidR="00356E75" w:rsidRPr="00356E75" w14:paraId="25EB7B6F" w14:textId="77777777" w:rsidTr="00356E75">
        <w:tc>
          <w:tcPr>
            <w:tcW w:w="0" w:type="auto"/>
            <w:vAlign w:val="center"/>
          </w:tcPr>
          <w:p w14:paraId="78B221BA" w14:textId="071B1468"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22</w:t>
            </w:r>
          </w:p>
        </w:tc>
        <w:tc>
          <w:tcPr>
            <w:tcW w:w="0" w:type="auto"/>
            <w:vAlign w:val="center"/>
          </w:tcPr>
          <w:p w14:paraId="64C4C4F2" w14:textId="27D1F0C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6BC452CD" w14:textId="4CA0AA6A"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Costos de movilización técnico-productiva </w:t>
            </w:r>
          </w:p>
        </w:tc>
        <w:tc>
          <w:tcPr>
            <w:tcW w:w="0" w:type="auto"/>
            <w:vAlign w:val="center"/>
          </w:tcPr>
          <w:p w14:paraId="65A968F9" w14:textId="0D282575"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32.253,00</w:t>
            </w:r>
          </w:p>
        </w:tc>
        <w:tc>
          <w:tcPr>
            <w:tcW w:w="0" w:type="auto"/>
            <w:vAlign w:val="center"/>
          </w:tcPr>
          <w:p w14:paraId="2F2D04E1"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6D20FF35" w14:textId="2B125253"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r w:rsidRPr="00356E75">
              <w:rPr>
                <w:rFonts w:asciiTheme="minorHAnsi" w:hAnsiTheme="minorHAnsi" w:cstheme="minorHAnsi"/>
                <w:color w:val="000000"/>
                <w:sz w:val="18"/>
                <w:szCs w:val="18"/>
              </w:rPr>
              <w:t xml:space="preserve"> / SDC</w:t>
            </w:r>
          </w:p>
        </w:tc>
      </w:tr>
      <w:tr w:rsidR="00356E75" w:rsidRPr="00356E75" w14:paraId="2D3779B7" w14:textId="77777777" w:rsidTr="00356E75">
        <w:tc>
          <w:tcPr>
            <w:tcW w:w="0" w:type="auto"/>
            <w:vAlign w:val="center"/>
          </w:tcPr>
          <w:p w14:paraId="55EB0972" w14:textId="3C0EBC7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23</w:t>
            </w:r>
          </w:p>
        </w:tc>
        <w:tc>
          <w:tcPr>
            <w:tcW w:w="0" w:type="auto"/>
            <w:vAlign w:val="center"/>
          </w:tcPr>
          <w:p w14:paraId="34D63621" w14:textId="270985D2"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18E7500E" w14:textId="4AB68FA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Materiales para restauración/producción </w:t>
            </w:r>
          </w:p>
        </w:tc>
        <w:tc>
          <w:tcPr>
            <w:tcW w:w="0" w:type="auto"/>
            <w:vAlign w:val="center"/>
          </w:tcPr>
          <w:p w14:paraId="7CF6E82C" w14:textId="07EAC6A6"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13.367,00</w:t>
            </w:r>
          </w:p>
        </w:tc>
        <w:tc>
          <w:tcPr>
            <w:tcW w:w="0" w:type="auto"/>
            <w:vAlign w:val="center"/>
          </w:tcPr>
          <w:p w14:paraId="2735DDF1"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58902710" w14:textId="78ED00BB"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r w:rsidRPr="00356E75">
              <w:rPr>
                <w:rFonts w:asciiTheme="minorHAnsi" w:hAnsiTheme="minorHAnsi" w:cstheme="minorHAnsi"/>
                <w:color w:val="000000"/>
                <w:sz w:val="18"/>
                <w:szCs w:val="18"/>
              </w:rPr>
              <w:t xml:space="preserve"> / SDC</w:t>
            </w:r>
          </w:p>
        </w:tc>
      </w:tr>
      <w:tr w:rsidR="00356E75" w:rsidRPr="00356E75" w14:paraId="2B343BA7" w14:textId="77777777" w:rsidTr="00356E75">
        <w:tc>
          <w:tcPr>
            <w:tcW w:w="0" w:type="auto"/>
            <w:vAlign w:val="center"/>
          </w:tcPr>
          <w:p w14:paraId="44452058" w14:textId="335F927F"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24</w:t>
            </w:r>
          </w:p>
        </w:tc>
        <w:tc>
          <w:tcPr>
            <w:tcW w:w="0" w:type="auto"/>
            <w:vAlign w:val="center"/>
          </w:tcPr>
          <w:p w14:paraId="2AF6B905" w14:textId="00EA2B1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5624C19E" w14:textId="58B1F02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Producción audiovisual pedagógica </w:t>
            </w:r>
          </w:p>
        </w:tc>
        <w:tc>
          <w:tcPr>
            <w:tcW w:w="0" w:type="auto"/>
            <w:vAlign w:val="center"/>
          </w:tcPr>
          <w:p w14:paraId="5B24AB34" w14:textId="50A26D47"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4.111,00</w:t>
            </w:r>
          </w:p>
        </w:tc>
        <w:tc>
          <w:tcPr>
            <w:tcW w:w="0" w:type="auto"/>
            <w:vAlign w:val="center"/>
          </w:tcPr>
          <w:p w14:paraId="28C8DDCE" w14:textId="7777777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 Coordinador General del Proyecto </w:t>
            </w:r>
          </w:p>
        </w:tc>
        <w:tc>
          <w:tcPr>
            <w:tcW w:w="0" w:type="auto"/>
            <w:vAlign w:val="center"/>
          </w:tcPr>
          <w:p w14:paraId="3CF2019A" w14:textId="37420A2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SDC o </w:t>
            </w:r>
            <w:proofErr w:type="spellStart"/>
            <w:r w:rsidRPr="00356E75">
              <w:rPr>
                <w:rFonts w:asciiTheme="minorHAnsi" w:hAnsiTheme="minorHAnsi" w:cstheme="minorHAnsi"/>
                <w:color w:val="000000"/>
                <w:sz w:val="18"/>
                <w:szCs w:val="18"/>
              </w:rPr>
              <w:t>Microcompra</w:t>
            </w:r>
            <w:proofErr w:type="spellEnd"/>
          </w:p>
        </w:tc>
      </w:tr>
      <w:tr w:rsidR="00356E75" w:rsidRPr="00356E75" w14:paraId="51B64E51" w14:textId="77777777" w:rsidTr="00356E75">
        <w:tc>
          <w:tcPr>
            <w:tcW w:w="0" w:type="auto"/>
            <w:vAlign w:val="center"/>
          </w:tcPr>
          <w:p w14:paraId="0DE12CD2" w14:textId="3282A64E"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25</w:t>
            </w:r>
          </w:p>
        </w:tc>
        <w:tc>
          <w:tcPr>
            <w:tcW w:w="0" w:type="auto"/>
            <w:vAlign w:val="center"/>
          </w:tcPr>
          <w:p w14:paraId="12811BC8" w14:textId="0FB8A6B9"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2 - 2.2</w:t>
            </w:r>
          </w:p>
        </w:tc>
        <w:tc>
          <w:tcPr>
            <w:tcW w:w="0" w:type="auto"/>
            <w:vAlign w:val="center"/>
          </w:tcPr>
          <w:p w14:paraId="7E137090" w14:textId="3D56027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Capacitación territorial en agroecología </w:t>
            </w:r>
          </w:p>
        </w:tc>
        <w:tc>
          <w:tcPr>
            <w:tcW w:w="0" w:type="auto"/>
            <w:vAlign w:val="center"/>
          </w:tcPr>
          <w:p w14:paraId="4AD24B42" w14:textId="7BD49B2D"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10.000,00</w:t>
            </w:r>
          </w:p>
        </w:tc>
        <w:tc>
          <w:tcPr>
            <w:tcW w:w="0" w:type="auto"/>
            <w:vAlign w:val="center"/>
          </w:tcPr>
          <w:p w14:paraId="009E0211" w14:textId="5B721985"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48C1E68B" w14:textId="7B8D777A"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SDC (por evento)</w:t>
            </w:r>
          </w:p>
        </w:tc>
      </w:tr>
      <w:tr w:rsidR="00356E75" w:rsidRPr="00356E75" w14:paraId="299A9FA4" w14:textId="77777777" w:rsidTr="00356E75">
        <w:tc>
          <w:tcPr>
            <w:tcW w:w="0" w:type="auto"/>
            <w:vAlign w:val="center"/>
          </w:tcPr>
          <w:p w14:paraId="59E76D57" w14:textId="39E0B09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26</w:t>
            </w:r>
          </w:p>
        </w:tc>
        <w:tc>
          <w:tcPr>
            <w:tcW w:w="0" w:type="auto"/>
            <w:vAlign w:val="center"/>
          </w:tcPr>
          <w:p w14:paraId="1E5A7C5F" w14:textId="3D897C0A"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w:t>
            </w:r>
          </w:p>
        </w:tc>
        <w:tc>
          <w:tcPr>
            <w:tcW w:w="0" w:type="auto"/>
            <w:vAlign w:val="center"/>
          </w:tcPr>
          <w:p w14:paraId="10621338" w14:textId="27AA9A2E"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Talleres de inclusión financiera </w:t>
            </w:r>
          </w:p>
        </w:tc>
        <w:tc>
          <w:tcPr>
            <w:tcW w:w="0" w:type="auto"/>
            <w:vAlign w:val="center"/>
          </w:tcPr>
          <w:p w14:paraId="1D88027E" w14:textId="340A0C78"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10.927,00</w:t>
            </w:r>
          </w:p>
        </w:tc>
        <w:tc>
          <w:tcPr>
            <w:tcW w:w="0" w:type="auto"/>
            <w:vAlign w:val="center"/>
          </w:tcPr>
          <w:p w14:paraId="05D469A1" w14:textId="0C84BDCD"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40E4EE66" w14:textId="7D2D6B5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SDC</w:t>
            </w:r>
          </w:p>
        </w:tc>
      </w:tr>
      <w:tr w:rsidR="00356E75" w:rsidRPr="00356E75" w14:paraId="0268CEC1" w14:textId="77777777" w:rsidTr="00356E75">
        <w:tc>
          <w:tcPr>
            <w:tcW w:w="0" w:type="auto"/>
            <w:vAlign w:val="center"/>
          </w:tcPr>
          <w:p w14:paraId="2BEB0F3A" w14:textId="5E684DCB"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27</w:t>
            </w:r>
          </w:p>
        </w:tc>
        <w:tc>
          <w:tcPr>
            <w:tcW w:w="0" w:type="auto"/>
            <w:vAlign w:val="center"/>
          </w:tcPr>
          <w:p w14:paraId="73B3E3D5" w14:textId="7C12D86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w:t>
            </w:r>
          </w:p>
        </w:tc>
        <w:tc>
          <w:tcPr>
            <w:tcW w:w="0" w:type="auto"/>
            <w:vAlign w:val="center"/>
          </w:tcPr>
          <w:p w14:paraId="57385252" w14:textId="56E99A9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Servicios especializados – instrumentos financieros </w:t>
            </w:r>
          </w:p>
        </w:tc>
        <w:tc>
          <w:tcPr>
            <w:tcW w:w="0" w:type="auto"/>
            <w:vAlign w:val="center"/>
          </w:tcPr>
          <w:p w14:paraId="26BAFC04" w14:textId="41F674C8"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43.874,00</w:t>
            </w:r>
          </w:p>
        </w:tc>
        <w:tc>
          <w:tcPr>
            <w:tcW w:w="0" w:type="auto"/>
            <w:vAlign w:val="center"/>
          </w:tcPr>
          <w:p w14:paraId="6E62F254" w14:textId="3AB6A92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64F7684A" w14:textId="527B071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RFP</w:t>
            </w:r>
          </w:p>
        </w:tc>
      </w:tr>
      <w:tr w:rsidR="00356E75" w:rsidRPr="00356E75" w14:paraId="28A3ED4F" w14:textId="77777777" w:rsidTr="00356E75">
        <w:tc>
          <w:tcPr>
            <w:tcW w:w="0" w:type="auto"/>
            <w:vAlign w:val="center"/>
          </w:tcPr>
          <w:p w14:paraId="09D07CDC" w14:textId="7A05BEE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28</w:t>
            </w:r>
          </w:p>
        </w:tc>
        <w:tc>
          <w:tcPr>
            <w:tcW w:w="0" w:type="auto"/>
            <w:vAlign w:val="center"/>
          </w:tcPr>
          <w:p w14:paraId="1E52C6FD" w14:textId="418A2BAA"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w:t>
            </w:r>
          </w:p>
        </w:tc>
        <w:tc>
          <w:tcPr>
            <w:tcW w:w="0" w:type="auto"/>
            <w:vAlign w:val="center"/>
          </w:tcPr>
          <w:p w14:paraId="68A891D1" w14:textId="5ADCA8C9"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Producción de contenidos comunicacionales </w:t>
            </w:r>
          </w:p>
        </w:tc>
        <w:tc>
          <w:tcPr>
            <w:tcW w:w="0" w:type="auto"/>
            <w:vAlign w:val="center"/>
          </w:tcPr>
          <w:p w14:paraId="25EEFF8B" w14:textId="216F0736"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6.166,00</w:t>
            </w:r>
          </w:p>
        </w:tc>
        <w:tc>
          <w:tcPr>
            <w:tcW w:w="0" w:type="auto"/>
            <w:vAlign w:val="center"/>
          </w:tcPr>
          <w:p w14:paraId="5CCE35FC" w14:textId="46580B4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6DF9F11E" w14:textId="54CD2479"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SDC / </w:t>
            </w:r>
            <w:proofErr w:type="spellStart"/>
            <w:r w:rsidRPr="00356E75">
              <w:rPr>
                <w:rFonts w:asciiTheme="minorHAnsi" w:hAnsiTheme="minorHAnsi" w:cstheme="minorHAnsi"/>
                <w:color w:val="000000"/>
                <w:sz w:val="18"/>
                <w:szCs w:val="18"/>
              </w:rPr>
              <w:t>Microcompra</w:t>
            </w:r>
            <w:proofErr w:type="spellEnd"/>
          </w:p>
        </w:tc>
      </w:tr>
      <w:tr w:rsidR="00356E75" w:rsidRPr="00356E75" w14:paraId="03F69226" w14:textId="77777777" w:rsidTr="00356E75">
        <w:tc>
          <w:tcPr>
            <w:tcW w:w="0" w:type="auto"/>
            <w:vAlign w:val="center"/>
          </w:tcPr>
          <w:p w14:paraId="33D3A845" w14:textId="6CB9F01F"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29</w:t>
            </w:r>
          </w:p>
        </w:tc>
        <w:tc>
          <w:tcPr>
            <w:tcW w:w="0" w:type="auto"/>
            <w:vAlign w:val="center"/>
          </w:tcPr>
          <w:p w14:paraId="59EB3E39" w14:textId="420255B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w:t>
            </w:r>
          </w:p>
        </w:tc>
        <w:tc>
          <w:tcPr>
            <w:tcW w:w="0" w:type="auto"/>
            <w:vAlign w:val="center"/>
          </w:tcPr>
          <w:p w14:paraId="30BF04C6" w14:textId="5E44129D"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Talleres – bioeconomía y finanzas verdes </w:t>
            </w:r>
          </w:p>
        </w:tc>
        <w:tc>
          <w:tcPr>
            <w:tcW w:w="0" w:type="auto"/>
            <w:vAlign w:val="center"/>
          </w:tcPr>
          <w:p w14:paraId="2B26E145" w14:textId="7BC98959"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27.236,00</w:t>
            </w:r>
          </w:p>
        </w:tc>
        <w:tc>
          <w:tcPr>
            <w:tcW w:w="0" w:type="auto"/>
            <w:vAlign w:val="center"/>
          </w:tcPr>
          <w:p w14:paraId="0D9CD688" w14:textId="0711864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54DED74D" w14:textId="5CFD2B9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RFP / SDC</w:t>
            </w:r>
          </w:p>
        </w:tc>
      </w:tr>
      <w:tr w:rsidR="00356E75" w:rsidRPr="00356E75" w14:paraId="1C170AA2" w14:textId="77777777" w:rsidTr="00356E75">
        <w:tc>
          <w:tcPr>
            <w:tcW w:w="0" w:type="auto"/>
            <w:vAlign w:val="center"/>
          </w:tcPr>
          <w:p w14:paraId="255161DF" w14:textId="6E9E09C4"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30</w:t>
            </w:r>
          </w:p>
        </w:tc>
        <w:tc>
          <w:tcPr>
            <w:tcW w:w="0" w:type="auto"/>
            <w:vAlign w:val="center"/>
          </w:tcPr>
          <w:p w14:paraId="3E2465FA" w14:textId="7EC5990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156909FB" w14:textId="748B0AF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6 técnicos transversales (conocimiento, género, etc.) </w:t>
            </w:r>
          </w:p>
        </w:tc>
        <w:tc>
          <w:tcPr>
            <w:tcW w:w="0" w:type="auto"/>
            <w:vAlign w:val="center"/>
          </w:tcPr>
          <w:p w14:paraId="79B093B5" w14:textId="1008DAD0"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580.400,00</w:t>
            </w:r>
          </w:p>
        </w:tc>
        <w:tc>
          <w:tcPr>
            <w:tcW w:w="0" w:type="auto"/>
            <w:vAlign w:val="center"/>
          </w:tcPr>
          <w:p w14:paraId="061F896F" w14:textId="3233C4C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UGP / Coordinador General </w:t>
            </w:r>
          </w:p>
        </w:tc>
        <w:tc>
          <w:tcPr>
            <w:tcW w:w="0" w:type="auto"/>
            <w:vAlign w:val="center"/>
          </w:tcPr>
          <w:p w14:paraId="02E81269" w14:textId="777E46C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nacional</w:t>
            </w:r>
          </w:p>
        </w:tc>
      </w:tr>
      <w:tr w:rsidR="00356E75" w:rsidRPr="00356E75" w14:paraId="5BC254B7" w14:textId="77777777" w:rsidTr="00356E75">
        <w:tc>
          <w:tcPr>
            <w:tcW w:w="0" w:type="auto"/>
            <w:vAlign w:val="center"/>
          </w:tcPr>
          <w:p w14:paraId="3AFF9D14" w14:textId="7D8BFB5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31</w:t>
            </w:r>
          </w:p>
        </w:tc>
        <w:tc>
          <w:tcPr>
            <w:tcW w:w="0" w:type="auto"/>
            <w:vAlign w:val="center"/>
          </w:tcPr>
          <w:p w14:paraId="7B39E9E5" w14:textId="6C4B9F7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77CEEA07" w14:textId="152FADB3"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Viajes SAT </w:t>
            </w:r>
          </w:p>
        </w:tc>
        <w:tc>
          <w:tcPr>
            <w:tcW w:w="0" w:type="auto"/>
            <w:vAlign w:val="center"/>
          </w:tcPr>
          <w:p w14:paraId="57F507DA" w14:textId="41C14C88"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5.828,00</w:t>
            </w:r>
          </w:p>
        </w:tc>
        <w:tc>
          <w:tcPr>
            <w:tcW w:w="0" w:type="auto"/>
            <w:vAlign w:val="center"/>
          </w:tcPr>
          <w:p w14:paraId="6E3B1307" w14:textId="0D132309"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6B55F5C4" w14:textId="426F057B"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p>
        </w:tc>
      </w:tr>
      <w:tr w:rsidR="00356E75" w:rsidRPr="00356E75" w14:paraId="76298E16" w14:textId="77777777" w:rsidTr="00356E75">
        <w:tc>
          <w:tcPr>
            <w:tcW w:w="0" w:type="auto"/>
            <w:vAlign w:val="center"/>
          </w:tcPr>
          <w:p w14:paraId="4938DBB4" w14:textId="2C327DB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32</w:t>
            </w:r>
          </w:p>
        </w:tc>
        <w:tc>
          <w:tcPr>
            <w:tcW w:w="0" w:type="auto"/>
            <w:vAlign w:val="center"/>
          </w:tcPr>
          <w:p w14:paraId="25515F76" w14:textId="2DCCC854"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3DC7E7E4" w14:textId="6127601A"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Plataforma virtual (firma consultora) </w:t>
            </w:r>
          </w:p>
        </w:tc>
        <w:tc>
          <w:tcPr>
            <w:tcW w:w="0" w:type="auto"/>
            <w:vAlign w:val="center"/>
          </w:tcPr>
          <w:p w14:paraId="3917EE3F" w14:textId="6DABEA7D"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21.937,00</w:t>
            </w:r>
          </w:p>
        </w:tc>
        <w:tc>
          <w:tcPr>
            <w:tcW w:w="0" w:type="auto"/>
            <w:vAlign w:val="center"/>
          </w:tcPr>
          <w:p w14:paraId="661BA740" w14:textId="296B1BB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4DEC1D36" w14:textId="383225D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RFP</w:t>
            </w:r>
          </w:p>
        </w:tc>
      </w:tr>
      <w:tr w:rsidR="00356E75" w:rsidRPr="00356E75" w14:paraId="21AC4DDC" w14:textId="77777777" w:rsidTr="00356E75">
        <w:tc>
          <w:tcPr>
            <w:tcW w:w="0" w:type="auto"/>
            <w:vAlign w:val="center"/>
          </w:tcPr>
          <w:p w14:paraId="333CCA4B" w14:textId="242E0420"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33</w:t>
            </w:r>
          </w:p>
        </w:tc>
        <w:tc>
          <w:tcPr>
            <w:tcW w:w="0" w:type="auto"/>
            <w:vAlign w:val="center"/>
          </w:tcPr>
          <w:p w14:paraId="3E297317" w14:textId="6AA22CD7"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57311D02" w14:textId="3E9EA88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Equipamiento audiovisual y tecnológico </w:t>
            </w:r>
          </w:p>
        </w:tc>
        <w:tc>
          <w:tcPr>
            <w:tcW w:w="0" w:type="auto"/>
            <w:vAlign w:val="center"/>
          </w:tcPr>
          <w:p w14:paraId="1232C5E6" w14:textId="479D53A1"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34.474,00</w:t>
            </w:r>
          </w:p>
        </w:tc>
        <w:tc>
          <w:tcPr>
            <w:tcW w:w="0" w:type="auto"/>
            <w:vAlign w:val="center"/>
          </w:tcPr>
          <w:p w14:paraId="40DEB8CF" w14:textId="40CA3BF6"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3B64B624" w14:textId="76E16624"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SDC</w:t>
            </w:r>
          </w:p>
        </w:tc>
      </w:tr>
      <w:tr w:rsidR="00356E75" w:rsidRPr="00356E75" w14:paraId="76F18C23" w14:textId="77777777" w:rsidTr="00356E75">
        <w:tc>
          <w:tcPr>
            <w:tcW w:w="0" w:type="auto"/>
            <w:vAlign w:val="center"/>
          </w:tcPr>
          <w:p w14:paraId="6A33AF09" w14:textId="6A9F36A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34</w:t>
            </w:r>
          </w:p>
        </w:tc>
        <w:tc>
          <w:tcPr>
            <w:tcW w:w="0" w:type="auto"/>
            <w:vAlign w:val="center"/>
          </w:tcPr>
          <w:p w14:paraId="5BCEDC5C" w14:textId="02EAC484"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29E8AB70" w14:textId="67B3154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Insumos operativos presenciales </w:t>
            </w:r>
          </w:p>
        </w:tc>
        <w:tc>
          <w:tcPr>
            <w:tcW w:w="0" w:type="auto"/>
            <w:vAlign w:val="center"/>
          </w:tcPr>
          <w:p w14:paraId="5E059E62" w14:textId="426BA572"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7.139,00</w:t>
            </w:r>
          </w:p>
        </w:tc>
        <w:tc>
          <w:tcPr>
            <w:tcW w:w="0" w:type="auto"/>
            <w:vAlign w:val="center"/>
          </w:tcPr>
          <w:p w14:paraId="189A065F" w14:textId="241E7DB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67F32C26" w14:textId="40185B27"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p>
        </w:tc>
      </w:tr>
      <w:tr w:rsidR="00356E75" w:rsidRPr="00356E75" w14:paraId="0C954638" w14:textId="77777777" w:rsidTr="00356E75">
        <w:tc>
          <w:tcPr>
            <w:tcW w:w="0" w:type="auto"/>
            <w:vAlign w:val="center"/>
          </w:tcPr>
          <w:p w14:paraId="2B9A0EDB" w14:textId="0381AF6F"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35</w:t>
            </w:r>
          </w:p>
        </w:tc>
        <w:tc>
          <w:tcPr>
            <w:tcW w:w="0" w:type="auto"/>
            <w:vAlign w:val="center"/>
          </w:tcPr>
          <w:p w14:paraId="5038B003" w14:textId="5E3D973C"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29C555BB" w14:textId="5C4462BE"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Alquiler y mantenimiento de oficinas </w:t>
            </w:r>
          </w:p>
        </w:tc>
        <w:tc>
          <w:tcPr>
            <w:tcW w:w="0" w:type="auto"/>
            <w:vAlign w:val="center"/>
          </w:tcPr>
          <w:p w14:paraId="1276BD54" w14:textId="21F0E1D6"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9.523,00</w:t>
            </w:r>
          </w:p>
        </w:tc>
        <w:tc>
          <w:tcPr>
            <w:tcW w:w="0" w:type="auto"/>
            <w:vAlign w:val="center"/>
          </w:tcPr>
          <w:p w14:paraId="704A038C" w14:textId="5B995353"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62770F5D" w14:textId="016DCC8D"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w:t>
            </w:r>
          </w:p>
        </w:tc>
      </w:tr>
      <w:tr w:rsidR="00356E75" w:rsidRPr="00356E75" w14:paraId="67B9FCB0" w14:textId="77777777" w:rsidTr="00356E75">
        <w:tc>
          <w:tcPr>
            <w:tcW w:w="0" w:type="auto"/>
            <w:vAlign w:val="center"/>
          </w:tcPr>
          <w:p w14:paraId="55B3873E" w14:textId="7BDFB51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36</w:t>
            </w:r>
          </w:p>
        </w:tc>
        <w:tc>
          <w:tcPr>
            <w:tcW w:w="0" w:type="auto"/>
            <w:vAlign w:val="center"/>
          </w:tcPr>
          <w:p w14:paraId="63583880" w14:textId="35E6275E"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4A7C84AE" w14:textId="468CE8F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Producción de materiales de visibilidad </w:t>
            </w:r>
          </w:p>
        </w:tc>
        <w:tc>
          <w:tcPr>
            <w:tcW w:w="0" w:type="auto"/>
            <w:vAlign w:val="center"/>
          </w:tcPr>
          <w:p w14:paraId="25FADC8E" w14:textId="7F85F9F4"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10.277,00</w:t>
            </w:r>
          </w:p>
        </w:tc>
        <w:tc>
          <w:tcPr>
            <w:tcW w:w="0" w:type="auto"/>
            <w:vAlign w:val="center"/>
          </w:tcPr>
          <w:p w14:paraId="23EC0928" w14:textId="5801E41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312807A4" w14:textId="6C4CE77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SDC</w:t>
            </w:r>
          </w:p>
        </w:tc>
      </w:tr>
      <w:tr w:rsidR="00356E75" w:rsidRPr="00356E75" w14:paraId="4ED813CD" w14:textId="77777777" w:rsidTr="00356E75">
        <w:tc>
          <w:tcPr>
            <w:tcW w:w="0" w:type="auto"/>
            <w:vAlign w:val="center"/>
          </w:tcPr>
          <w:p w14:paraId="651FCB2B" w14:textId="59810A6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37</w:t>
            </w:r>
          </w:p>
        </w:tc>
        <w:tc>
          <w:tcPr>
            <w:tcW w:w="0" w:type="auto"/>
            <w:vAlign w:val="center"/>
          </w:tcPr>
          <w:p w14:paraId="0FC22BA8" w14:textId="4E191CAE"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w:t>
            </w:r>
          </w:p>
        </w:tc>
        <w:tc>
          <w:tcPr>
            <w:tcW w:w="0" w:type="auto"/>
            <w:vAlign w:val="center"/>
          </w:tcPr>
          <w:p w14:paraId="27118940" w14:textId="26D232A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Talleres iniciales y eventos comunitarios </w:t>
            </w:r>
          </w:p>
        </w:tc>
        <w:tc>
          <w:tcPr>
            <w:tcW w:w="0" w:type="auto"/>
            <w:vAlign w:val="center"/>
          </w:tcPr>
          <w:p w14:paraId="66CB1F16" w14:textId="28127B87"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27.236,00</w:t>
            </w:r>
          </w:p>
        </w:tc>
        <w:tc>
          <w:tcPr>
            <w:tcW w:w="0" w:type="auto"/>
            <w:vAlign w:val="center"/>
          </w:tcPr>
          <w:p w14:paraId="197469BC" w14:textId="24046776"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22090380" w14:textId="5D59449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RFP / SDC</w:t>
            </w:r>
          </w:p>
        </w:tc>
      </w:tr>
      <w:tr w:rsidR="00356E75" w:rsidRPr="00356E75" w14:paraId="76689262" w14:textId="77777777" w:rsidTr="00356E75">
        <w:tc>
          <w:tcPr>
            <w:tcW w:w="0" w:type="auto"/>
            <w:vAlign w:val="center"/>
          </w:tcPr>
          <w:p w14:paraId="527C7231" w14:textId="346E2DBB"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38</w:t>
            </w:r>
          </w:p>
        </w:tc>
        <w:tc>
          <w:tcPr>
            <w:tcW w:w="0" w:type="auto"/>
            <w:vAlign w:val="center"/>
          </w:tcPr>
          <w:p w14:paraId="0B35B006" w14:textId="1E61FAE8"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5</w:t>
            </w:r>
          </w:p>
        </w:tc>
        <w:tc>
          <w:tcPr>
            <w:tcW w:w="0" w:type="auto"/>
            <w:vAlign w:val="center"/>
          </w:tcPr>
          <w:p w14:paraId="25AE9113" w14:textId="68EF2D14"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Especialista Estratégico en M&amp;E (meses 1–12) </w:t>
            </w:r>
          </w:p>
        </w:tc>
        <w:tc>
          <w:tcPr>
            <w:tcW w:w="0" w:type="auto"/>
            <w:vAlign w:val="center"/>
          </w:tcPr>
          <w:p w14:paraId="350056E7" w14:textId="3C494BA2"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34.800,00</w:t>
            </w:r>
          </w:p>
        </w:tc>
        <w:tc>
          <w:tcPr>
            <w:tcW w:w="0" w:type="auto"/>
            <w:vAlign w:val="center"/>
          </w:tcPr>
          <w:p w14:paraId="69129CF4" w14:textId="705FBDE2"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UGP </w:t>
            </w:r>
          </w:p>
        </w:tc>
        <w:tc>
          <w:tcPr>
            <w:tcW w:w="0" w:type="auto"/>
            <w:vAlign w:val="center"/>
          </w:tcPr>
          <w:p w14:paraId="0A1C2FF5" w14:textId="44A9DB7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IC (Consultoría Nacional)</w:t>
            </w:r>
          </w:p>
        </w:tc>
      </w:tr>
      <w:tr w:rsidR="00356E75" w:rsidRPr="00356E75" w14:paraId="563CE5B0" w14:textId="77777777" w:rsidTr="00356E75">
        <w:tc>
          <w:tcPr>
            <w:tcW w:w="0" w:type="auto"/>
            <w:vAlign w:val="center"/>
          </w:tcPr>
          <w:p w14:paraId="24C4A547" w14:textId="2FE358D2"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lastRenderedPageBreak/>
              <w:t>39</w:t>
            </w:r>
          </w:p>
        </w:tc>
        <w:tc>
          <w:tcPr>
            <w:tcW w:w="0" w:type="auto"/>
            <w:vAlign w:val="center"/>
          </w:tcPr>
          <w:p w14:paraId="27054905" w14:textId="27374C84"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5</w:t>
            </w:r>
          </w:p>
        </w:tc>
        <w:tc>
          <w:tcPr>
            <w:tcW w:w="0" w:type="auto"/>
            <w:vAlign w:val="center"/>
          </w:tcPr>
          <w:p w14:paraId="10CF0F73" w14:textId="3AA13960"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Taller de lanzamiento y monitoreo GEF </w:t>
            </w:r>
          </w:p>
        </w:tc>
        <w:tc>
          <w:tcPr>
            <w:tcW w:w="0" w:type="auto"/>
            <w:vAlign w:val="center"/>
          </w:tcPr>
          <w:p w14:paraId="72905EF4" w14:textId="5F075539"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5.000,00</w:t>
            </w:r>
          </w:p>
        </w:tc>
        <w:tc>
          <w:tcPr>
            <w:tcW w:w="0" w:type="auto"/>
            <w:vAlign w:val="center"/>
          </w:tcPr>
          <w:p w14:paraId="2797AEFA" w14:textId="21F9347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01207BE0" w14:textId="4355CA1C"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p>
        </w:tc>
      </w:tr>
      <w:tr w:rsidR="00356E75" w:rsidRPr="00356E75" w14:paraId="745C9DE0" w14:textId="77777777" w:rsidTr="00356E75">
        <w:tc>
          <w:tcPr>
            <w:tcW w:w="0" w:type="auto"/>
            <w:vAlign w:val="center"/>
          </w:tcPr>
          <w:p w14:paraId="79447C4F" w14:textId="0F7F3195"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40</w:t>
            </w:r>
          </w:p>
        </w:tc>
        <w:tc>
          <w:tcPr>
            <w:tcW w:w="0" w:type="auto"/>
            <w:vAlign w:val="center"/>
          </w:tcPr>
          <w:p w14:paraId="5361D32A" w14:textId="4BFA8415"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5</w:t>
            </w:r>
          </w:p>
        </w:tc>
        <w:tc>
          <w:tcPr>
            <w:tcW w:w="0" w:type="auto"/>
            <w:vAlign w:val="center"/>
          </w:tcPr>
          <w:p w14:paraId="6AEEE4D2" w14:textId="5622DAEF"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Servicios varios MEL (traducción, etc.) </w:t>
            </w:r>
          </w:p>
        </w:tc>
        <w:tc>
          <w:tcPr>
            <w:tcW w:w="0" w:type="auto"/>
            <w:vAlign w:val="center"/>
          </w:tcPr>
          <w:p w14:paraId="69CD4213" w14:textId="14D3C8E6"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4.190,00</w:t>
            </w:r>
          </w:p>
        </w:tc>
        <w:tc>
          <w:tcPr>
            <w:tcW w:w="0" w:type="auto"/>
            <w:vAlign w:val="center"/>
          </w:tcPr>
          <w:p w14:paraId="026CC16D" w14:textId="7347BBB6"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General del Proyecto </w:t>
            </w:r>
          </w:p>
        </w:tc>
        <w:tc>
          <w:tcPr>
            <w:tcW w:w="0" w:type="auto"/>
            <w:vAlign w:val="center"/>
          </w:tcPr>
          <w:p w14:paraId="21452301" w14:textId="4D377880" w:rsidR="00356E75" w:rsidRPr="00356E75" w:rsidRDefault="00356E75" w:rsidP="00356E75">
            <w:pPr>
              <w:pStyle w:val="NormalWeb"/>
              <w:rPr>
                <w:rFonts w:asciiTheme="minorHAnsi" w:hAnsiTheme="minorHAnsi" w:cstheme="minorHAnsi"/>
                <w:color w:val="000000"/>
                <w:sz w:val="18"/>
                <w:szCs w:val="18"/>
              </w:rPr>
            </w:pPr>
            <w:proofErr w:type="spellStart"/>
            <w:r w:rsidRPr="00356E75">
              <w:rPr>
                <w:rFonts w:asciiTheme="minorHAnsi" w:hAnsiTheme="minorHAnsi" w:cstheme="minorHAnsi"/>
                <w:color w:val="000000"/>
                <w:sz w:val="18"/>
                <w:szCs w:val="18"/>
              </w:rPr>
              <w:t>Microcompra</w:t>
            </w:r>
            <w:proofErr w:type="spellEnd"/>
          </w:p>
        </w:tc>
      </w:tr>
      <w:tr w:rsidR="00356E75" w:rsidRPr="00356E75" w14:paraId="37AAA2FD" w14:textId="77777777" w:rsidTr="00356E75">
        <w:tc>
          <w:tcPr>
            <w:tcW w:w="0" w:type="auto"/>
            <w:vAlign w:val="center"/>
          </w:tcPr>
          <w:p w14:paraId="20219A48" w14:textId="64A9F783"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41</w:t>
            </w:r>
          </w:p>
        </w:tc>
        <w:tc>
          <w:tcPr>
            <w:tcW w:w="0" w:type="auto"/>
            <w:vAlign w:val="center"/>
          </w:tcPr>
          <w:p w14:paraId="44287208" w14:textId="1966A431"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PMC</w:t>
            </w:r>
          </w:p>
        </w:tc>
        <w:tc>
          <w:tcPr>
            <w:tcW w:w="0" w:type="auto"/>
            <w:vAlign w:val="center"/>
          </w:tcPr>
          <w:p w14:paraId="5EAB6762" w14:textId="1235F278"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Coordinador de Proyecto y Administrador Financiero </w:t>
            </w:r>
          </w:p>
        </w:tc>
        <w:tc>
          <w:tcPr>
            <w:tcW w:w="0" w:type="auto"/>
            <w:vAlign w:val="center"/>
          </w:tcPr>
          <w:p w14:paraId="70AA0991" w14:textId="6A0C79DC"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74.736,00</w:t>
            </w:r>
          </w:p>
        </w:tc>
        <w:tc>
          <w:tcPr>
            <w:tcW w:w="0" w:type="auto"/>
            <w:vAlign w:val="center"/>
          </w:tcPr>
          <w:p w14:paraId="463E0041" w14:textId="6146C6DB"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UGP / Unidad Ejecutora </w:t>
            </w:r>
          </w:p>
        </w:tc>
        <w:tc>
          <w:tcPr>
            <w:tcW w:w="0" w:type="auto"/>
            <w:vAlign w:val="center"/>
          </w:tcPr>
          <w:p w14:paraId="539C8BC3" w14:textId="6416A8A7"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Contratación directa NPSA</w:t>
            </w:r>
          </w:p>
        </w:tc>
      </w:tr>
      <w:tr w:rsidR="00356E75" w:rsidRPr="00356E75" w14:paraId="7E07DBEA" w14:textId="77777777" w:rsidTr="00356E75">
        <w:tc>
          <w:tcPr>
            <w:tcW w:w="0" w:type="auto"/>
            <w:vAlign w:val="center"/>
          </w:tcPr>
          <w:p w14:paraId="283B9403" w14:textId="11B5A7E5"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42</w:t>
            </w:r>
          </w:p>
        </w:tc>
        <w:tc>
          <w:tcPr>
            <w:tcW w:w="0" w:type="auto"/>
            <w:vAlign w:val="center"/>
          </w:tcPr>
          <w:p w14:paraId="10A9F13D" w14:textId="16A0980D" w:rsidR="00356E75" w:rsidRPr="00356E75" w:rsidRDefault="00356E75" w:rsidP="00791D50">
            <w:pPr>
              <w:pStyle w:val="NormalWeb"/>
              <w:jc w:val="center"/>
              <w:rPr>
                <w:rFonts w:asciiTheme="minorHAnsi" w:hAnsiTheme="minorHAnsi" w:cstheme="minorHAnsi"/>
                <w:color w:val="000000"/>
                <w:sz w:val="18"/>
                <w:szCs w:val="18"/>
              </w:rPr>
            </w:pPr>
            <w:r w:rsidRPr="00356E75">
              <w:rPr>
                <w:rFonts w:asciiTheme="minorHAnsi" w:hAnsiTheme="minorHAnsi" w:cstheme="minorHAnsi"/>
                <w:color w:val="000000"/>
                <w:sz w:val="18"/>
                <w:szCs w:val="18"/>
              </w:rPr>
              <w:t>PMC</w:t>
            </w:r>
          </w:p>
        </w:tc>
        <w:tc>
          <w:tcPr>
            <w:tcW w:w="0" w:type="auto"/>
            <w:vAlign w:val="center"/>
          </w:tcPr>
          <w:p w14:paraId="629862D6" w14:textId="3AA3B1C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Auditoría anual y cumplimiento legal </w:t>
            </w:r>
          </w:p>
        </w:tc>
        <w:tc>
          <w:tcPr>
            <w:tcW w:w="0" w:type="auto"/>
            <w:vAlign w:val="center"/>
          </w:tcPr>
          <w:p w14:paraId="0B1495FE" w14:textId="0984868A" w:rsidR="00356E75" w:rsidRPr="00356E75" w:rsidRDefault="00356E75" w:rsidP="00791D50">
            <w:pPr>
              <w:pStyle w:val="NormalWeb"/>
              <w:jc w:val="right"/>
              <w:rPr>
                <w:rFonts w:asciiTheme="minorHAnsi" w:hAnsiTheme="minorHAnsi" w:cstheme="minorHAnsi"/>
                <w:color w:val="000000"/>
                <w:sz w:val="18"/>
                <w:szCs w:val="18"/>
              </w:rPr>
            </w:pPr>
            <w:r w:rsidRPr="00356E75">
              <w:rPr>
                <w:rFonts w:asciiTheme="minorHAnsi" w:hAnsiTheme="minorHAnsi" w:cstheme="minorHAnsi"/>
                <w:color w:val="000000"/>
                <w:sz w:val="18"/>
                <w:szCs w:val="18"/>
              </w:rPr>
              <w:t>10.004,00</w:t>
            </w:r>
          </w:p>
        </w:tc>
        <w:tc>
          <w:tcPr>
            <w:tcW w:w="0" w:type="auto"/>
            <w:vAlign w:val="center"/>
          </w:tcPr>
          <w:p w14:paraId="2FCAFA7B" w14:textId="3574EA21"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 xml:space="preserve">PNUD / UGP </w:t>
            </w:r>
          </w:p>
        </w:tc>
        <w:tc>
          <w:tcPr>
            <w:tcW w:w="0" w:type="auto"/>
            <w:vAlign w:val="center"/>
          </w:tcPr>
          <w:p w14:paraId="18F805EC" w14:textId="54510CEC" w:rsidR="00356E75" w:rsidRPr="00356E75" w:rsidRDefault="00356E75" w:rsidP="00356E75">
            <w:pPr>
              <w:pStyle w:val="NormalWeb"/>
              <w:rPr>
                <w:rFonts w:asciiTheme="minorHAnsi" w:hAnsiTheme="minorHAnsi" w:cstheme="minorHAnsi"/>
                <w:color w:val="000000"/>
                <w:sz w:val="18"/>
                <w:szCs w:val="18"/>
              </w:rPr>
            </w:pPr>
            <w:r w:rsidRPr="00356E75">
              <w:rPr>
                <w:rFonts w:asciiTheme="minorHAnsi" w:hAnsiTheme="minorHAnsi" w:cstheme="minorHAnsi"/>
                <w:color w:val="000000"/>
                <w:sz w:val="18"/>
                <w:szCs w:val="18"/>
              </w:rPr>
              <w:t>Acuerdo marco / LTA</w:t>
            </w:r>
          </w:p>
        </w:tc>
      </w:tr>
    </w:tbl>
    <w:p w14:paraId="53DB143C" w14:textId="09FA051F" w:rsidR="00356E75" w:rsidRPr="00356E75" w:rsidRDefault="00356E75" w:rsidP="004E5A85">
      <w:pPr>
        <w:jc w:val="both"/>
        <w:rPr>
          <w:rFonts w:asciiTheme="minorHAnsi" w:eastAsia="SimSun" w:hAnsiTheme="minorHAnsi" w:cstheme="minorHAnsi"/>
          <w:iCs/>
          <w:sz w:val="18"/>
          <w:szCs w:val="18"/>
          <w:lang w:val="es-EC"/>
        </w:rPr>
        <w:sectPr w:rsidR="00356E75" w:rsidRPr="00356E75" w:rsidSect="00E922B6">
          <w:pgSz w:w="15840" w:h="12240" w:orient="landscape" w:code="1"/>
          <w:pgMar w:top="720" w:right="720" w:bottom="720" w:left="720" w:header="720" w:footer="720" w:gutter="0"/>
          <w:cols w:space="720"/>
          <w:docGrid w:linePitch="360"/>
        </w:sectPr>
      </w:pPr>
    </w:p>
    <w:p w14:paraId="7A3413DD" w14:textId="3F749CD8" w:rsidR="008B6F84" w:rsidRPr="00356E75" w:rsidRDefault="008B6F84" w:rsidP="008B6F84">
      <w:pPr>
        <w:ind w:left="360"/>
        <w:jc w:val="both"/>
        <w:rPr>
          <w:rFonts w:asciiTheme="minorHAnsi" w:eastAsia="SimSun" w:hAnsiTheme="minorHAnsi" w:cstheme="minorHAnsi"/>
          <w:bCs/>
          <w:iCs/>
          <w:lang w:val="es-EC"/>
        </w:rPr>
      </w:pPr>
    </w:p>
    <w:p w14:paraId="2EDDEB27" w14:textId="77777777" w:rsidR="00186BD9" w:rsidRPr="00125CE3" w:rsidRDefault="00211737" w:rsidP="00125CE3">
      <w:pPr>
        <w:keepNext/>
        <w:spacing w:after="60"/>
        <w:jc w:val="both"/>
        <w:outlineLvl w:val="1"/>
        <w:rPr>
          <w:rFonts w:ascii="Calibri" w:eastAsia="SimSun" w:hAnsi="Calibri" w:cs="Calibri"/>
          <w:b/>
          <w:bCs/>
          <w:sz w:val="20"/>
          <w:szCs w:val="20"/>
        </w:rPr>
      </w:pPr>
      <w:bookmarkStart w:id="80" w:name="_Toc221696319"/>
      <w:r w:rsidRPr="00125CE3">
        <w:rPr>
          <w:rFonts w:ascii="Calibri" w:eastAsia="SimSun" w:hAnsi="Calibri" w:cs="Calibri"/>
          <w:b/>
          <w:bCs/>
          <w:sz w:val="20"/>
          <w:szCs w:val="20"/>
        </w:rPr>
        <w:t>Anex</w:t>
      </w:r>
      <w:r w:rsidR="001A7EC5" w:rsidRPr="00125CE3">
        <w:rPr>
          <w:rFonts w:ascii="Calibri" w:eastAsia="SimSun" w:hAnsi="Calibri" w:cs="Calibri"/>
          <w:b/>
          <w:bCs/>
          <w:sz w:val="20"/>
          <w:szCs w:val="20"/>
        </w:rPr>
        <w:t>o</w:t>
      </w:r>
      <w:r w:rsidRPr="00125CE3">
        <w:rPr>
          <w:rFonts w:ascii="Calibri" w:eastAsia="SimSun" w:hAnsi="Calibri" w:cs="Calibri"/>
          <w:b/>
          <w:bCs/>
          <w:sz w:val="20"/>
          <w:szCs w:val="20"/>
        </w:rPr>
        <w:t xml:space="preserve"> 12: A</w:t>
      </w:r>
      <w:r w:rsidR="001A7EC5" w:rsidRPr="00125CE3">
        <w:rPr>
          <w:rFonts w:ascii="Calibri" w:eastAsia="SimSun" w:hAnsi="Calibri" w:cs="Calibri"/>
          <w:b/>
          <w:bCs/>
          <w:sz w:val="20"/>
          <w:szCs w:val="20"/>
        </w:rPr>
        <w:t>cuerdo</w:t>
      </w:r>
      <w:r w:rsidR="00C40870" w:rsidRPr="00125CE3">
        <w:rPr>
          <w:rFonts w:ascii="Calibri" w:eastAsia="SimSun" w:hAnsi="Calibri" w:cs="Calibri"/>
          <w:b/>
          <w:bCs/>
          <w:sz w:val="20"/>
          <w:szCs w:val="20"/>
        </w:rPr>
        <w:t>s adicionales</w:t>
      </w:r>
      <w:bookmarkEnd w:id="80"/>
      <w:r w:rsidRPr="00125CE3">
        <w:rPr>
          <w:rFonts w:ascii="Calibri" w:eastAsia="SimSun" w:hAnsi="Calibri" w:cs="Calibri"/>
          <w:b/>
          <w:bCs/>
          <w:sz w:val="20"/>
          <w:szCs w:val="20"/>
        </w:rPr>
        <w:t xml:space="preserve"> </w:t>
      </w:r>
    </w:p>
    <w:p w14:paraId="7682C33E" w14:textId="77777777" w:rsidR="001607D4" w:rsidRDefault="001607D4" w:rsidP="008B6F84">
      <w:pPr>
        <w:spacing w:before="60" w:after="60" w:line="260" w:lineRule="exact"/>
        <w:ind w:left="360" w:hanging="360"/>
        <w:jc w:val="both"/>
        <w:rPr>
          <w:rFonts w:asciiTheme="minorHAnsi" w:hAnsiTheme="minorHAnsi" w:cstheme="minorHAnsi"/>
          <w:sz w:val="20"/>
          <w:lang w:val="en-US" w:eastAsia="ja-JP"/>
        </w:rPr>
      </w:pPr>
    </w:p>
    <w:p w14:paraId="19B5022A" w14:textId="7980B47F" w:rsidR="001607D4" w:rsidRPr="00A51E75" w:rsidRDefault="001607D4" w:rsidP="008B6F84">
      <w:pPr>
        <w:spacing w:before="60" w:after="60" w:line="260" w:lineRule="exact"/>
        <w:ind w:left="360" w:hanging="360"/>
        <w:jc w:val="both"/>
        <w:rPr>
          <w:rFonts w:asciiTheme="minorHAnsi" w:hAnsiTheme="minorHAnsi" w:cstheme="minorHAnsi"/>
          <w:sz w:val="20"/>
          <w:lang w:val="en-US" w:eastAsia="ja-JP"/>
        </w:rPr>
        <w:sectPr w:rsidR="001607D4" w:rsidRPr="00A51E75" w:rsidSect="008B6F84">
          <w:pgSz w:w="12240" w:h="15840" w:code="1"/>
          <w:pgMar w:top="720" w:right="720" w:bottom="720" w:left="720" w:header="720" w:footer="720" w:gutter="0"/>
          <w:cols w:space="720"/>
          <w:docGrid w:linePitch="360"/>
        </w:sectPr>
      </w:pPr>
      <w:r>
        <w:rPr>
          <w:rFonts w:asciiTheme="minorHAnsi" w:hAnsiTheme="minorHAnsi" w:cstheme="minorHAnsi"/>
          <w:sz w:val="20"/>
          <w:lang w:val="en-US" w:eastAsia="ja-JP"/>
        </w:rPr>
        <w:t>N/A</w:t>
      </w:r>
    </w:p>
    <w:p w14:paraId="3AEB0051" w14:textId="77777777" w:rsidR="008B6F84" w:rsidRPr="00A51E75" w:rsidRDefault="008B6F84" w:rsidP="008B6F84">
      <w:pPr>
        <w:spacing w:before="60" w:after="60" w:line="260" w:lineRule="exact"/>
        <w:ind w:left="360" w:hanging="360"/>
        <w:jc w:val="both"/>
        <w:rPr>
          <w:rFonts w:asciiTheme="minorHAnsi" w:hAnsiTheme="minorHAnsi" w:cstheme="minorHAnsi"/>
          <w:sz w:val="20"/>
          <w:lang w:val="en-US" w:eastAsia="ja-JP"/>
        </w:rPr>
      </w:pPr>
    </w:p>
    <w:p w14:paraId="475436E2" w14:textId="5CAD3A87" w:rsidR="00BB1318" w:rsidRPr="00A51E75" w:rsidRDefault="00BB1318" w:rsidP="00BB1318">
      <w:pPr>
        <w:pStyle w:val="Descripcin"/>
        <w:keepNext/>
        <w:jc w:val="center"/>
        <w:rPr>
          <w:rFonts w:asciiTheme="minorHAnsi" w:hAnsiTheme="minorHAnsi" w:cstheme="minorHAnsi"/>
          <w:lang w:val="en-US"/>
        </w:rPr>
      </w:pPr>
    </w:p>
    <w:p w14:paraId="64780727" w14:textId="32F2F49A" w:rsidR="008B6F84" w:rsidRPr="00125CE3" w:rsidRDefault="00211737" w:rsidP="00125CE3">
      <w:pPr>
        <w:keepNext/>
        <w:spacing w:after="60"/>
        <w:jc w:val="both"/>
        <w:outlineLvl w:val="1"/>
        <w:rPr>
          <w:rFonts w:ascii="Calibri" w:eastAsia="SimSun" w:hAnsi="Calibri" w:cs="Calibri"/>
          <w:b/>
          <w:bCs/>
          <w:sz w:val="20"/>
          <w:szCs w:val="20"/>
        </w:rPr>
      </w:pPr>
      <w:bookmarkStart w:id="81" w:name="_Toc221696320"/>
      <w:r w:rsidRPr="00125CE3">
        <w:rPr>
          <w:rFonts w:ascii="Calibri" w:eastAsia="SimSun" w:hAnsi="Calibri" w:cs="Calibri"/>
          <w:b/>
          <w:bCs/>
          <w:sz w:val="20"/>
          <w:szCs w:val="20"/>
        </w:rPr>
        <w:t>Anex</w:t>
      </w:r>
      <w:r w:rsidR="005B2CF8" w:rsidRPr="00125CE3">
        <w:rPr>
          <w:rFonts w:ascii="Calibri" w:eastAsia="SimSun" w:hAnsi="Calibri" w:cs="Calibri"/>
          <w:b/>
          <w:bCs/>
          <w:sz w:val="20"/>
          <w:szCs w:val="20"/>
        </w:rPr>
        <w:t>o</w:t>
      </w:r>
      <w:r w:rsidRPr="00125CE3">
        <w:rPr>
          <w:rFonts w:ascii="Calibri" w:eastAsia="SimSun" w:hAnsi="Calibri" w:cs="Calibri"/>
          <w:b/>
          <w:bCs/>
          <w:sz w:val="20"/>
          <w:szCs w:val="20"/>
        </w:rPr>
        <w:t xml:space="preserve"> 13: </w:t>
      </w:r>
      <w:r w:rsidR="005B2CF8" w:rsidRPr="00125CE3">
        <w:rPr>
          <w:rFonts w:ascii="Calibri" w:eastAsia="SimSun" w:hAnsi="Calibri" w:cs="Calibri"/>
          <w:b/>
          <w:bCs/>
          <w:sz w:val="20"/>
          <w:szCs w:val="20"/>
        </w:rPr>
        <w:t>Carta de Acuerdo</w:t>
      </w:r>
      <w:r w:rsidR="00B32AC7" w:rsidRPr="00125CE3">
        <w:rPr>
          <w:rFonts w:ascii="Calibri" w:eastAsia="SimSun" w:hAnsi="Calibri" w:cs="Calibri"/>
          <w:b/>
          <w:bCs/>
          <w:sz w:val="20"/>
          <w:szCs w:val="20"/>
        </w:rPr>
        <w:t xml:space="preserve"> firmada</w:t>
      </w:r>
      <w:r w:rsidR="005B2CF8" w:rsidRPr="00125CE3">
        <w:rPr>
          <w:rFonts w:ascii="Calibri" w:eastAsia="SimSun" w:hAnsi="Calibri" w:cs="Calibri"/>
          <w:b/>
          <w:bCs/>
          <w:sz w:val="20"/>
          <w:szCs w:val="20"/>
        </w:rPr>
        <w:t xml:space="preserve"> entre el PNUD </w:t>
      </w:r>
      <w:r w:rsidR="00726CC5" w:rsidRPr="00125CE3">
        <w:rPr>
          <w:rFonts w:ascii="Calibri" w:eastAsia="SimSun" w:hAnsi="Calibri" w:cs="Calibri"/>
          <w:b/>
          <w:bCs/>
          <w:sz w:val="20"/>
          <w:szCs w:val="20"/>
        </w:rPr>
        <w:t>y el Socio Implementador solicitando los Servicios de Apoyo del PNUD</w:t>
      </w:r>
      <w:bookmarkEnd w:id="81"/>
      <w:r w:rsidR="00726CC5" w:rsidRPr="00125CE3">
        <w:rPr>
          <w:rFonts w:ascii="Calibri" w:eastAsia="SimSun" w:hAnsi="Calibri" w:cs="Calibri"/>
          <w:b/>
          <w:bCs/>
          <w:sz w:val="20"/>
          <w:szCs w:val="20"/>
        </w:rPr>
        <w:t xml:space="preserve"> </w:t>
      </w:r>
    </w:p>
    <w:p w14:paraId="2637B457" w14:textId="77777777" w:rsidR="005B2CF8" w:rsidRPr="00B32AC7" w:rsidRDefault="005B2CF8" w:rsidP="008B6F84">
      <w:pPr>
        <w:keepNext/>
        <w:tabs>
          <w:tab w:val="left" w:pos="1740"/>
        </w:tabs>
        <w:spacing w:after="60"/>
        <w:jc w:val="both"/>
        <w:outlineLvl w:val="1"/>
        <w:rPr>
          <w:rFonts w:asciiTheme="minorHAnsi" w:eastAsia="SimSun" w:hAnsiTheme="minorHAnsi" w:cstheme="minorHAnsi"/>
          <w:b/>
          <w:bCs/>
          <w:sz w:val="20"/>
          <w:lang w:val="es-EC"/>
        </w:rPr>
        <w:sectPr w:rsidR="005B2CF8" w:rsidRPr="00B32AC7" w:rsidSect="008B6F84">
          <w:headerReference w:type="default" r:id="rId43"/>
          <w:footerReference w:type="default" r:id="rId44"/>
          <w:pgSz w:w="12240" w:h="15840" w:code="1"/>
          <w:pgMar w:top="720" w:right="720" w:bottom="720" w:left="720" w:header="720" w:footer="720" w:gutter="0"/>
          <w:cols w:space="720"/>
          <w:docGrid w:linePitch="360"/>
        </w:sectPr>
      </w:pPr>
    </w:p>
    <w:p w14:paraId="39BC0007" w14:textId="77777777" w:rsidR="005A01D9" w:rsidRPr="00B32AC7" w:rsidRDefault="005A01D9" w:rsidP="008B6F84">
      <w:pPr>
        <w:keepNext/>
        <w:tabs>
          <w:tab w:val="left" w:pos="1740"/>
        </w:tabs>
        <w:spacing w:after="60"/>
        <w:jc w:val="both"/>
        <w:outlineLvl w:val="1"/>
        <w:rPr>
          <w:rFonts w:asciiTheme="minorHAnsi" w:eastAsia="SimSun" w:hAnsiTheme="minorHAnsi" w:cstheme="minorHAnsi"/>
          <w:b/>
          <w:bCs/>
          <w:sz w:val="20"/>
          <w:lang w:val="es-EC"/>
        </w:rPr>
      </w:pPr>
    </w:p>
    <w:p w14:paraId="2CC7A8C5" w14:textId="33F82A37" w:rsidR="008B6F84" w:rsidRPr="00125CE3" w:rsidRDefault="00211737" w:rsidP="00125CE3">
      <w:pPr>
        <w:keepNext/>
        <w:spacing w:after="60"/>
        <w:jc w:val="both"/>
        <w:outlineLvl w:val="1"/>
        <w:rPr>
          <w:rFonts w:ascii="Calibri" w:eastAsia="SimSun" w:hAnsi="Calibri" w:cs="Calibri"/>
          <w:b/>
          <w:bCs/>
          <w:sz w:val="20"/>
          <w:szCs w:val="20"/>
        </w:rPr>
      </w:pPr>
      <w:bookmarkStart w:id="82" w:name="_Toc221696321"/>
      <w:r w:rsidRPr="00125CE3">
        <w:rPr>
          <w:rFonts w:ascii="Calibri" w:eastAsia="SimSun" w:hAnsi="Calibri" w:cs="Calibri"/>
          <w:b/>
          <w:bCs/>
          <w:sz w:val="20"/>
          <w:szCs w:val="20"/>
        </w:rPr>
        <w:t>Anex</w:t>
      </w:r>
      <w:r w:rsidR="005B2CF8" w:rsidRPr="00125CE3">
        <w:rPr>
          <w:rFonts w:ascii="Calibri" w:eastAsia="SimSun" w:hAnsi="Calibri" w:cs="Calibri"/>
          <w:b/>
          <w:bCs/>
          <w:sz w:val="20"/>
          <w:szCs w:val="20"/>
        </w:rPr>
        <w:t>o</w:t>
      </w:r>
      <w:r w:rsidRPr="00125CE3">
        <w:rPr>
          <w:rFonts w:ascii="Calibri" w:eastAsia="SimSun" w:hAnsi="Calibri" w:cs="Calibri"/>
          <w:b/>
          <w:bCs/>
          <w:sz w:val="20"/>
          <w:szCs w:val="20"/>
        </w:rPr>
        <w:t xml:space="preserve"> 14: GEF CEO Endorsement/</w:t>
      </w:r>
      <w:proofErr w:type="spellStart"/>
      <w:r w:rsidRPr="00125CE3">
        <w:rPr>
          <w:rFonts w:ascii="Calibri" w:eastAsia="SimSun" w:hAnsi="Calibri" w:cs="Calibri"/>
          <w:b/>
          <w:bCs/>
          <w:sz w:val="20"/>
          <w:szCs w:val="20"/>
        </w:rPr>
        <w:t>Approval</w:t>
      </w:r>
      <w:bookmarkEnd w:id="82"/>
      <w:proofErr w:type="spellEnd"/>
    </w:p>
    <w:p w14:paraId="02A25BDF" w14:textId="77777777" w:rsidR="008B6F84" w:rsidRPr="00FD148F" w:rsidRDefault="00211737" w:rsidP="008B6F84">
      <w:pPr>
        <w:rPr>
          <w:rFonts w:asciiTheme="minorHAnsi" w:hAnsiTheme="minorHAnsi" w:cstheme="minorHAnsi"/>
          <w:b/>
          <w:bCs/>
          <w:iCs/>
          <w:sz w:val="20"/>
          <w:szCs w:val="20"/>
          <w:lang w:val="es-EC" w:eastAsia="ja-JP"/>
        </w:rPr>
      </w:pPr>
      <w:r w:rsidRPr="00FD148F">
        <w:rPr>
          <w:rFonts w:asciiTheme="minorHAnsi" w:hAnsiTheme="minorHAnsi" w:cstheme="minorHAnsi"/>
          <w:b/>
          <w:bCs/>
          <w:iCs/>
          <w:sz w:val="20"/>
          <w:szCs w:val="20"/>
          <w:lang w:val="es-EC" w:eastAsia="ja-JP"/>
        </w:rPr>
        <w:br w:type="page"/>
      </w:r>
    </w:p>
    <w:p w14:paraId="7EE5CF09" w14:textId="1AAA2948" w:rsidR="00F3640D" w:rsidRPr="00125CE3" w:rsidRDefault="00211737" w:rsidP="00125CE3">
      <w:pPr>
        <w:keepNext/>
        <w:spacing w:after="60"/>
        <w:jc w:val="both"/>
        <w:outlineLvl w:val="1"/>
        <w:rPr>
          <w:rFonts w:ascii="Calibri" w:eastAsia="SimSun" w:hAnsi="Calibri" w:cs="Calibri"/>
          <w:b/>
          <w:bCs/>
          <w:sz w:val="20"/>
          <w:szCs w:val="20"/>
        </w:rPr>
      </w:pPr>
      <w:bookmarkStart w:id="83" w:name="_Toc221696322"/>
      <w:r w:rsidRPr="00125CE3">
        <w:rPr>
          <w:rFonts w:ascii="Calibri" w:eastAsia="SimSun" w:hAnsi="Calibri" w:cs="Calibri"/>
          <w:b/>
          <w:bCs/>
          <w:sz w:val="20"/>
          <w:szCs w:val="20"/>
        </w:rPr>
        <w:lastRenderedPageBreak/>
        <w:t>Anex</w:t>
      </w:r>
      <w:r w:rsidR="00F3640D" w:rsidRPr="00125CE3">
        <w:rPr>
          <w:rFonts w:ascii="Calibri" w:eastAsia="SimSun" w:hAnsi="Calibri" w:cs="Calibri"/>
          <w:b/>
          <w:bCs/>
          <w:sz w:val="20"/>
          <w:szCs w:val="20"/>
        </w:rPr>
        <w:t>o</w:t>
      </w:r>
      <w:r w:rsidRPr="00125CE3">
        <w:rPr>
          <w:rFonts w:ascii="Calibri" w:eastAsia="SimSun" w:hAnsi="Calibri" w:cs="Calibri"/>
          <w:b/>
          <w:bCs/>
          <w:sz w:val="20"/>
          <w:szCs w:val="20"/>
        </w:rPr>
        <w:t xml:space="preserve"> 15: </w:t>
      </w:r>
      <w:r w:rsidR="00F3640D" w:rsidRPr="00125CE3">
        <w:rPr>
          <w:rFonts w:ascii="Calibri" w:eastAsia="SimSun" w:hAnsi="Calibri" w:cs="Calibri"/>
          <w:b/>
          <w:bCs/>
          <w:sz w:val="20"/>
          <w:szCs w:val="20"/>
        </w:rPr>
        <w:t>Disposiciones sobre Subvenciones Aplicables al Socio Implementador</w:t>
      </w:r>
      <w:bookmarkEnd w:id="83"/>
    </w:p>
    <w:p w14:paraId="25EBD25F" w14:textId="51449862" w:rsidR="008B6F84" w:rsidRPr="00F3640D" w:rsidRDefault="008B6F84" w:rsidP="00F3640D">
      <w:pPr>
        <w:keepNext/>
        <w:widowControl w:val="0"/>
        <w:tabs>
          <w:tab w:val="left" w:pos="2160"/>
          <w:tab w:val="left" w:pos="9360"/>
        </w:tabs>
        <w:spacing w:after="60"/>
        <w:ind w:left="360"/>
        <w:jc w:val="both"/>
        <w:outlineLvl w:val="2"/>
        <w:rPr>
          <w:rFonts w:asciiTheme="minorHAnsi" w:eastAsia="SimSun" w:hAnsiTheme="minorHAnsi" w:cstheme="minorHAnsi"/>
          <w:sz w:val="20"/>
          <w:lang w:val="es-EC"/>
        </w:rPr>
      </w:pPr>
    </w:p>
    <w:p w14:paraId="7C1818D2" w14:textId="2AEEEA30" w:rsidR="00E922B6" w:rsidRPr="00FD148F" w:rsidRDefault="00E922B6" w:rsidP="008B6F84">
      <w:pPr>
        <w:spacing w:after="60"/>
        <w:jc w:val="both"/>
        <w:rPr>
          <w:rFonts w:asciiTheme="minorHAnsi" w:eastAsia="SimSun" w:hAnsiTheme="minorHAnsi" w:cstheme="minorBidi"/>
          <w:sz w:val="20"/>
          <w:szCs w:val="20"/>
          <w:lang w:val="es-EC"/>
        </w:rPr>
      </w:pPr>
      <w:r w:rsidRPr="00FD148F">
        <w:rPr>
          <w:rFonts w:asciiTheme="minorHAnsi" w:eastAsia="SimSun" w:hAnsiTheme="minorHAnsi" w:cstheme="minorBidi"/>
          <w:sz w:val="20"/>
          <w:szCs w:val="20"/>
          <w:lang w:val="es-EC"/>
        </w:rPr>
        <w:t>N</w:t>
      </w:r>
      <w:r w:rsidR="410C0F83" w:rsidRPr="00FD148F">
        <w:rPr>
          <w:rFonts w:asciiTheme="minorHAnsi" w:eastAsia="SimSun" w:hAnsiTheme="minorHAnsi" w:cstheme="minorBidi"/>
          <w:sz w:val="20"/>
          <w:szCs w:val="20"/>
          <w:lang w:val="es-EC"/>
        </w:rPr>
        <w:t xml:space="preserve">/A </w:t>
      </w:r>
    </w:p>
    <w:p w14:paraId="28818595" w14:textId="77777777" w:rsidR="00E922B6" w:rsidRPr="00FD148F" w:rsidRDefault="00E922B6" w:rsidP="008B6F84">
      <w:pPr>
        <w:spacing w:after="60"/>
        <w:jc w:val="both"/>
        <w:rPr>
          <w:rFonts w:asciiTheme="minorHAnsi" w:eastAsia="SimSun" w:hAnsiTheme="minorHAnsi" w:cstheme="minorHAnsi"/>
          <w:sz w:val="20"/>
          <w:lang w:val="es-EC"/>
        </w:rPr>
      </w:pPr>
    </w:p>
    <w:p w14:paraId="62F25868" w14:textId="0CFE6F39" w:rsidR="008B6F84" w:rsidRPr="00FD148F" w:rsidRDefault="008B6F84" w:rsidP="008B6F84">
      <w:pPr>
        <w:spacing w:after="60" w:line="276" w:lineRule="auto"/>
        <w:contextualSpacing/>
        <w:jc w:val="both"/>
        <w:rPr>
          <w:rFonts w:asciiTheme="minorHAnsi" w:eastAsia="SimSun" w:hAnsiTheme="minorHAnsi" w:cstheme="minorHAnsi"/>
          <w:b/>
          <w:sz w:val="20"/>
          <w:lang w:val="es-EC"/>
        </w:rPr>
      </w:pPr>
    </w:p>
    <w:p w14:paraId="06367C14" w14:textId="7032D379" w:rsidR="008B6F84" w:rsidRPr="00E93691" w:rsidRDefault="00211737" w:rsidP="00125CE3">
      <w:pPr>
        <w:keepNext/>
        <w:spacing w:after="60"/>
        <w:jc w:val="both"/>
        <w:outlineLvl w:val="1"/>
        <w:rPr>
          <w:rFonts w:asciiTheme="minorHAnsi" w:eastAsia="SimSun" w:hAnsiTheme="minorHAnsi" w:cstheme="minorHAnsi"/>
          <w:b/>
          <w:bCs/>
          <w:sz w:val="20"/>
          <w:lang w:val="es-EC"/>
        </w:rPr>
      </w:pPr>
      <w:r w:rsidRPr="007E49E0">
        <w:rPr>
          <w:rFonts w:asciiTheme="minorHAnsi" w:eastAsia="SimSun" w:hAnsiTheme="minorHAnsi" w:cstheme="minorHAnsi"/>
          <w:b/>
          <w:bCs/>
          <w:sz w:val="20"/>
          <w:lang w:val="es-EC"/>
        </w:rPr>
        <w:br w:type="page"/>
      </w:r>
      <w:bookmarkStart w:id="84" w:name="_Toc221696323"/>
      <w:r w:rsidRPr="00125CE3">
        <w:rPr>
          <w:rFonts w:ascii="Calibri" w:eastAsia="SimSun" w:hAnsi="Calibri" w:cs="Calibri"/>
          <w:b/>
          <w:bCs/>
          <w:sz w:val="20"/>
          <w:szCs w:val="20"/>
        </w:rPr>
        <w:lastRenderedPageBreak/>
        <w:t>Anex</w:t>
      </w:r>
      <w:r w:rsidR="00E93691" w:rsidRPr="00125CE3">
        <w:rPr>
          <w:rFonts w:ascii="Calibri" w:eastAsia="SimSun" w:hAnsi="Calibri" w:cs="Calibri"/>
          <w:b/>
          <w:bCs/>
          <w:sz w:val="20"/>
          <w:szCs w:val="20"/>
        </w:rPr>
        <w:t>o</w:t>
      </w:r>
      <w:r w:rsidRPr="00125CE3">
        <w:rPr>
          <w:rFonts w:ascii="Calibri" w:eastAsia="SimSun" w:hAnsi="Calibri" w:cs="Calibri"/>
          <w:b/>
          <w:bCs/>
          <w:sz w:val="20"/>
          <w:szCs w:val="20"/>
        </w:rPr>
        <w:t xml:space="preserve"> 16: </w:t>
      </w:r>
      <w:r w:rsidR="00E93691" w:rsidRPr="00125CE3">
        <w:rPr>
          <w:rFonts w:ascii="Calibri" w:eastAsia="SimSun" w:hAnsi="Calibri" w:cs="Calibri"/>
          <w:b/>
          <w:bCs/>
          <w:sz w:val="20"/>
          <w:szCs w:val="20"/>
        </w:rPr>
        <w:t>Términos de Referencia para la Junta de Proyecto y el Equipo de Proyecto</w:t>
      </w:r>
      <w:bookmarkEnd w:id="84"/>
    </w:p>
    <w:p w14:paraId="64C437DD" w14:textId="77777777" w:rsidR="008B6F84" w:rsidRPr="00E93691" w:rsidRDefault="008B6F84" w:rsidP="008B6F84">
      <w:pPr>
        <w:spacing w:after="60"/>
        <w:jc w:val="both"/>
        <w:rPr>
          <w:rFonts w:asciiTheme="minorHAnsi" w:eastAsia="SimSun" w:hAnsiTheme="minorHAnsi" w:cstheme="minorHAnsi"/>
          <w:sz w:val="20"/>
          <w:lang w:val="es-EC"/>
        </w:rPr>
      </w:pPr>
    </w:p>
    <w:p w14:paraId="4BB3ED3E" w14:textId="77777777" w:rsidR="00E93691" w:rsidRPr="00B00841" w:rsidRDefault="00E93691" w:rsidP="00E93691">
      <w:pPr>
        <w:jc w:val="center"/>
        <w:rPr>
          <w:rFonts w:asciiTheme="minorHAnsi" w:hAnsiTheme="minorHAnsi" w:cstheme="minorHAnsi"/>
          <w:b/>
          <w:bCs/>
          <w:sz w:val="28"/>
          <w:szCs w:val="28"/>
        </w:rPr>
      </w:pPr>
      <w:r w:rsidRPr="00B00841">
        <w:rPr>
          <w:rFonts w:asciiTheme="minorHAnsi" w:hAnsiTheme="minorHAnsi" w:cstheme="minorHAnsi"/>
          <w:b/>
          <w:bCs/>
          <w:sz w:val="28"/>
          <w:szCs w:val="28"/>
        </w:rPr>
        <w:t>Términos de Referencia (TdR) Estandarizados del PNUD para el</w:t>
      </w:r>
    </w:p>
    <w:p w14:paraId="67B460D1" w14:textId="50A14275" w:rsidR="00E93691" w:rsidRPr="00B00841" w:rsidRDefault="00E93691" w:rsidP="00E93691">
      <w:pPr>
        <w:jc w:val="center"/>
        <w:rPr>
          <w:rFonts w:asciiTheme="minorHAnsi" w:hAnsiTheme="minorHAnsi" w:cstheme="minorHAnsi"/>
          <w:b/>
          <w:bCs/>
          <w:sz w:val="28"/>
          <w:szCs w:val="28"/>
        </w:rPr>
      </w:pPr>
      <w:r w:rsidRPr="00B00841">
        <w:rPr>
          <w:rFonts w:asciiTheme="minorHAnsi" w:hAnsiTheme="minorHAnsi" w:cstheme="minorHAnsi"/>
          <w:b/>
          <w:bCs/>
          <w:sz w:val="28"/>
          <w:szCs w:val="28"/>
        </w:rPr>
        <w:t>Proyecto de Gestión Integrada del Paisaje en la Cuenca del Río Napo para el Manejo Sostenible de la Tierra y la Conservación de la Biodiversidad. PIMS 9648</w:t>
      </w:r>
    </w:p>
    <w:p w14:paraId="2EB78315" w14:textId="77777777" w:rsidR="00255C42" w:rsidRPr="00B00841" w:rsidRDefault="00255C42" w:rsidP="00255C42">
      <w:pPr>
        <w:jc w:val="center"/>
      </w:pPr>
    </w:p>
    <w:p w14:paraId="5B26E95C" w14:textId="77777777" w:rsidR="00E93691" w:rsidRPr="00B00841" w:rsidRDefault="00E93691" w:rsidP="00255C42">
      <w:pPr>
        <w:jc w:val="center"/>
      </w:pPr>
    </w:p>
    <w:p w14:paraId="0A23688B" w14:textId="77777777" w:rsidR="00E93691" w:rsidRPr="00B00841" w:rsidRDefault="00E93691" w:rsidP="00255C42">
      <w:pPr>
        <w:jc w:val="center"/>
      </w:pPr>
    </w:p>
    <w:p w14:paraId="3047155A" w14:textId="24DC25F6" w:rsidR="00E93691" w:rsidRPr="00B00841" w:rsidRDefault="00E93691" w:rsidP="00EC2CBE">
      <w:pPr>
        <w:pStyle w:val="Prrafodelista"/>
        <w:numPr>
          <w:ilvl w:val="0"/>
          <w:numId w:val="85"/>
        </w:numPr>
        <w:shd w:val="clear" w:color="auto" w:fill="FFFFFF"/>
        <w:contextualSpacing w:val="0"/>
        <w:jc w:val="both"/>
        <w:rPr>
          <w:rFonts w:asciiTheme="minorHAnsi" w:hAnsiTheme="minorHAnsi" w:cstheme="minorHAnsi"/>
          <w:b/>
          <w:bCs/>
          <w:sz w:val="20"/>
          <w:szCs w:val="20"/>
        </w:rPr>
      </w:pPr>
      <w:r w:rsidRPr="00B00841">
        <w:rPr>
          <w:rFonts w:asciiTheme="minorHAnsi" w:hAnsiTheme="minorHAnsi" w:cstheme="minorHAnsi"/>
          <w:b/>
          <w:bCs/>
          <w:sz w:val="20"/>
          <w:szCs w:val="20"/>
        </w:rPr>
        <w:t>Antecedentes</w:t>
      </w:r>
    </w:p>
    <w:p w14:paraId="603E5C79" w14:textId="77777777" w:rsidR="00DD2335" w:rsidRPr="00B00841" w:rsidRDefault="00DD2335" w:rsidP="00E93691">
      <w:pPr>
        <w:shd w:val="clear" w:color="auto" w:fill="FFFFFF"/>
        <w:jc w:val="both"/>
        <w:rPr>
          <w:rFonts w:asciiTheme="minorHAnsi" w:hAnsiTheme="minorHAnsi" w:cstheme="minorHAnsi"/>
          <w:noProof/>
          <w:sz w:val="20"/>
          <w:szCs w:val="20"/>
          <w:lang w:eastAsia="zh-CN"/>
        </w:rPr>
      </w:pPr>
    </w:p>
    <w:p w14:paraId="320AFBA8" w14:textId="20B1CE26" w:rsidR="00E93691" w:rsidRPr="00B00841" w:rsidRDefault="00E93691" w:rsidP="00E93691">
      <w:pPr>
        <w:shd w:val="clear" w:color="auto" w:fill="FFFFFF"/>
        <w:jc w:val="both"/>
        <w:rPr>
          <w:rFonts w:asciiTheme="minorHAnsi" w:hAnsiTheme="minorHAnsi" w:cstheme="minorHAnsi"/>
          <w:noProof/>
          <w:sz w:val="20"/>
          <w:szCs w:val="20"/>
          <w:lang w:eastAsia="zh-CN"/>
        </w:rPr>
      </w:pPr>
      <w:r w:rsidRPr="00B00841">
        <w:rPr>
          <w:rFonts w:asciiTheme="minorHAnsi" w:hAnsiTheme="minorHAnsi" w:cstheme="minorHAnsi"/>
          <w:noProof/>
          <w:sz w:val="20"/>
          <w:szCs w:val="20"/>
          <w:lang w:eastAsia="zh-CN"/>
        </w:rPr>
        <w:t>Todos los proyectos del PNUD deben ser gobernados por una junta o comité multiactor establecido para revisar el desempeño con base en métricas establecidas de monitoreo y evaluación y para abordar problemas de implementación de alto nivel, a fin de garantizar la entrega de resultados de calidad. Para los fines de estos TdR y para asegurar la estandarización, en adelante y en lo que respecta a la documentación del proyecto, dicho organismo solo será referido con uno de dos nombres: 'Junta de Proyecto' o 'Comité Directivo del Proyecto'. La Junta de Proyecto es el órgano de supervisión dedicado de más alto nivel para un 'Proyecto de Desarrollo' del PNUD, definido en el Manual de Gestión de Programas y Proyectos (PPM, por sus siglas en inglés) como un instrumento donde el PNUD "entrega productos para los cuales tiene responsabilidad en el diseño, supervisión y garantía de calidad de todo el proyecto".</w:t>
      </w:r>
    </w:p>
    <w:p w14:paraId="3E1EA3C6" w14:textId="77777777" w:rsidR="00E93691" w:rsidRPr="00B00841" w:rsidRDefault="00E93691" w:rsidP="00E93691">
      <w:pPr>
        <w:shd w:val="clear" w:color="auto" w:fill="FFFFFF"/>
        <w:jc w:val="both"/>
        <w:rPr>
          <w:rFonts w:asciiTheme="minorHAnsi" w:hAnsiTheme="minorHAnsi" w:cstheme="minorHAnsi"/>
          <w:noProof/>
          <w:sz w:val="20"/>
          <w:szCs w:val="20"/>
          <w:lang w:eastAsia="zh-CN"/>
        </w:rPr>
      </w:pPr>
    </w:p>
    <w:p w14:paraId="6A652D54" w14:textId="051373DB" w:rsidR="00E93691" w:rsidRPr="00B00841" w:rsidRDefault="00E93691" w:rsidP="00EC2CBE">
      <w:pPr>
        <w:pStyle w:val="Prrafodelista"/>
        <w:numPr>
          <w:ilvl w:val="0"/>
          <w:numId w:val="85"/>
        </w:numPr>
        <w:shd w:val="clear" w:color="auto" w:fill="FFFFFF"/>
        <w:contextualSpacing w:val="0"/>
        <w:jc w:val="both"/>
        <w:rPr>
          <w:rFonts w:asciiTheme="minorHAnsi" w:hAnsiTheme="minorHAnsi" w:cstheme="minorHAnsi"/>
          <w:b/>
          <w:bCs/>
          <w:sz w:val="20"/>
          <w:szCs w:val="20"/>
        </w:rPr>
      </w:pPr>
      <w:r w:rsidRPr="00B00841">
        <w:rPr>
          <w:rFonts w:asciiTheme="minorHAnsi" w:hAnsiTheme="minorHAnsi" w:cstheme="minorHAnsi"/>
          <w:b/>
          <w:bCs/>
          <w:sz w:val="20"/>
          <w:szCs w:val="20"/>
        </w:rPr>
        <w:t>Funciones y Responsabilidades</w:t>
      </w:r>
    </w:p>
    <w:p w14:paraId="4F067DF8" w14:textId="77777777" w:rsidR="00DD2335" w:rsidRPr="00B00841" w:rsidRDefault="00DD2335" w:rsidP="00E93691">
      <w:pPr>
        <w:shd w:val="clear" w:color="auto" w:fill="FFFFFF"/>
        <w:jc w:val="both"/>
        <w:rPr>
          <w:rFonts w:asciiTheme="minorHAnsi" w:hAnsiTheme="minorHAnsi" w:cstheme="minorHAnsi"/>
          <w:noProof/>
          <w:sz w:val="20"/>
          <w:szCs w:val="20"/>
          <w:lang w:eastAsia="zh-CN"/>
        </w:rPr>
      </w:pPr>
    </w:p>
    <w:p w14:paraId="4688CC6D" w14:textId="536E7189" w:rsidR="00E93691" w:rsidRPr="00B00841" w:rsidRDefault="00E93691" w:rsidP="00E93691">
      <w:pPr>
        <w:shd w:val="clear" w:color="auto" w:fill="FFFFFF"/>
        <w:jc w:val="both"/>
        <w:rPr>
          <w:rFonts w:asciiTheme="minorHAnsi" w:hAnsiTheme="minorHAnsi" w:cstheme="minorHAnsi"/>
          <w:noProof/>
          <w:sz w:val="20"/>
          <w:szCs w:val="20"/>
          <w:lang w:eastAsia="zh-CN"/>
        </w:rPr>
      </w:pPr>
      <w:r w:rsidRPr="00B00841">
        <w:rPr>
          <w:rFonts w:asciiTheme="minorHAnsi" w:hAnsiTheme="minorHAnsi" w:cstheme="minorHAnsi"/>
          <w:noProof/>
          <w:sz w:val="20"/>
          <w:szCs w:val="20"/>
          <w:lang w:eastAsia="zh-CN"/>
        </w:rPr>
        <w:t>Los dos roles prominentes (obligatorios) de la Junta de Proyecto son los siguientes:</w:t>
      </w:r>
    </w:p>
    <w:p w14:paraId="22C2A7F3" w14:textId="77777777" w:rsidR="00DD2335" w:rsidRPr="00B00841" w:rsidRDefault="00DD2335" w:rsidP="00E93691">
      <w:pPr>
        <w:shd w:val="clear" w:color="auto" w:fill="FFFFFF"/>
        <w:jc w:val="both"/>
        <w:rPr>
          <w:rFonts w:asciiTheme="minorHAnsi" w:hAnsiTheme="minorHAnsi" w:cstheme="minorHAnsi"/>
          <w:noProof/>
          <w:sz w:val="20"/>
          <w:szCs w:val="20"/>
          <w:lang w:eastAsia="zh-CN"/>
        </w:rPr>
      </w:pPr>
    </w:p>
    <w:p w14:paraId="0917546F" w14:textId="40336588" w:rsidR="00E93691" w:rsidRPr="00B00841" w:rsidRDefault="00E93691" w:rsidP="00EC2CBE">
      <w:pPr>
        <w:pStyle w:val="Prrafodelista"/>
        <w:numPr>
          <w:ilvl w:val="0"/>
          <w:numId w:val="84"/>
        </w:numPr>
        <w:shd w:val="clear" w:color="auto" w:fill="FFFFFF" w:themeFill="background1"/>
        <w:contextualSpacing w:val="0"/>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Supervisión de alto nivel del proyecto (como se explica en la sección "</w:t>
      </w:r>
      <w:hyperlink r:id="rId45" w:history="1">
        <w:r w:rsidRPr="00B00841">
          <w:rPr>
            <w:rStyle w:val="Hipervnculo"/>
            <w:rFonts w:asciiTheme="minorHAnsi" w:hAnsiTheme="minorHAnsi" w:cstheme="minorHAnsi"/>
            <w:bCs/>
            <w:sz w:val="20"/>
            <w:szCs w:val="20"/>
            <w:lang w:eastAsia="zh-CN"/>
          </w:rPr>
          <w:t>Proporcionar Supervisión</w:t>
        </w:r>
      </w:hyperlink>
      <w:r w:rsidRPr="00B00841">
        <w:rPr>
          <w:rFonts w:asciiTheme="minorHAnsi" w:hAnsiTheme="minorHAnsi" w:cstheme="minorHAnsi"/>
          <w:bCs/>
          <w:sz w:val="20"/>
          <w:szCs w:val="20"/>
          <w:lang w:eastAsia="zh-CN"/>
        </w:rPr>
        <w:t>" del PPM). Esta es la función principal de la Junta de Proyecto. La Junta revisa la evidencia del desempeño del proyecto basándose en el monitoreo, la evaluación y la presentación de informes, incluyendo informes de progreso, informes de misiones de monitoreo, evaluaciones, registros de riesgos, evaluaciones de calidad y el informe consolidado de entrega. La Junta de Proyecto es el principal organismo responsable de tomar acciones correctivas según sea necesario para asegurar que el proyecto logre los resultados deseados. Su función incluye la supervisión de evaluaciones anuales (y según se requiera) de cualquier riesgo mayor para el programa o proyecto, y las decisiones/acuerdos relacionados sobre cualquier acción de gestión o medida remedial para abordarlos de manera efectiva.</w:t>
      </w:r>
    </w:p>
    <w:p w14:paraId="2023E69C" w14:textId="77777777" w:rsidR="00E93691" w:rsidRPr="00B00841" w:rsidRDefault="00E93691" w:rsidP="00E93691">
      <w:pPr>
        <w:pStyle w:val="Prrafodelista"/>
        <w:shd w:val="clear" w:color="auto" w:fill="FFFFFF" w:themeFill="background1"/>
        <w:contextualSpacing w:val="0"/>
        <w:jc w:val="both"/>
        <w:rPr>
          <w:rFonts w:asciiTheme="minorHAnsi" w:hAnsiTheme="minorHAnsi" w:cstheme="minorHAnsi"/>
          <w:bCs/>
          <w:sz w:val="20"/>
          <w:szCs w:val="20"/>
          <w:lang w:eastAsia="zh-CN"/>
        </w:rPr>
      </w:pPr>
    </w:p>
    <w:p w14:paraId="5F0EC9D7" w14:textId="77777777" w:rsidR="00E93691" w:rsidRPr="00B00841" w:rsidRDefault="00E93691" w:rsidP="00E93691">
      <w:pPr>
        <w:pStyle w:val="Prrafodelista"/>
        <w:shd w:val="clear" w:color="auto" w:fill="FFFFFF" w:themeFill="background1"/>
        <w:contextualSpacing w:val="0"/>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La Junta de Proyecto también asume el rol de garantía de calidad del proyecto, tomando decisiones informadas, entre otros insumos, por la evaluación de calidad del proyecto. En este rol, la Junta cuenta con el apoyo del asegurador de calidad, cuya función es evaluar la calidad del proyecto contra los criterios estándar corporativos. Esta función es desempeñada por un oficial de programa o de monitoreo y evaluación del PNUD para mantener la independencia del gerente del proyecto, independientemente de la modalidad de implementación del proyecto.</w:t>
      </w:r>
    </w:p>
    <w:p w14:paraId="195E8275" w14:textId="77777777" w:rsidR="00E93691" w:rsidRPr="00B00841" w:rsidRDefault="00E93691" w:rsidP="00E93691">
      <w:pPr>
        <w:pStyle w:val="Prrafodelista"/>
        <w:shd w:val="clear" w:color="auto" w:fill="FFFFFF" w:themeFill="background1"/>
        <w:contextualSpacing w:val="0"/>
        <w:jc w:val="both"/>
        <w:rPr>
          <w:rFonts w:asciiTheme="minorHAnsi" w:hAnsiTheme="minorHAnsi" w:cstheme="minorHAnsi"/>
          <w:bCs/>
          <w:sz w:val="20"/>
          <w:szCs w:val="20"/>
          <w:lang w:eastAsia="zh-CN"/>
        </w:rPr>
      </w:pPr>
    </w:p>
    <w:p w14:paraId="55621AB1" w14:textId="77777777" w:rsidR="00E93691" w:rsidRPr="00B00841" w:rsidRDefault="00E93691" w:rsidP="00E93691">
      <w:pPr>
        <w:pStyle w:val="Prrafodelista"/>
        <w:shd w:val="clear" w:color="auto" w:fill="FFFFFF" w:themeFill="background1"/>
        <w:contextualSpacing w:val="0"/>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La Junta de Proyecto revisa las actualizaciones al registro de riesgos del proyecto.</w:t>
      </w:r>
    </w:p>
    <w:p w14:paraId="1213165D" w14:textId="77777777" w:rsidR="00E93691" w:rsidRPr="00B00841" w:rsidRDefault="00E93691" w:rsidP="00E93691">
      <w:pPr>
        <w:pStyle w:val="Prrafodelista"/>
        <w:shd w:val="clear" w:color="auto" w:fill="FFFFFF" w:themeFill="background1"/>
        <w:contextualSpacing w:val="0"/>
        <w:jc w:val="both"/>
        <w:rPr>
          <w:rFonts w:asciiTheme="minorHAnsi" w:hAnsiTheme="minorHAnsi" w:cstheme="minorHAnsi"/>
          <w:bCs/>
          <w:sz w:val="20"/>
          <w:szCs w:val="20"/>
          <w:lang w:eastAsia="zh-CN"/>
        </w:rPr>
      </w:pPr>
    </w:p>
    <w:p w14:paraId="2FA6CD1F" w14:textId="4AC89B7B" w:rsidR="00E93691" w:rsidRPr="00B00841" w:rsidRDefault="00E93691" w:rsidP="00EC2CBE">
      <w:pPr>
        <w:pStyle w:val="Prrafodelista"/>
        <w:numPr>
          <w:ilvl w:val="0"/>
          <w:numId w:val="84"/>
        </w:numPr>
        <w:shd w:val="clear" w:color="auto" w:fill="FFFFFF" w:themeFill="background1"/>
        <w:contextualSpacing w:val="0"/>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Aprobación de decisiones clave de ejecución del proyecto (como se explica en la sección "</w:t>
      </w:r>
      <w:hyperlink r:id="rId46" w:history="1">
        <w:r w:rsidRPr="00B00841">
          <w:rPr>
            <w:rStyle w:val="Hipervnculo"/>
            <w:rFonts w:asciiTheme="minorHAnsi" w:hAnsiTheme="minorHAnsi" w:cstheme="minorHAnsi"/>
            <w:bCs/>
            <w:sz w:val="20"/>
            <w:szCs w:val="20"/>
            <w:lang w:eastAsia="zh-CN"/>
          </w:rPr>
          <w:t>Gestionar el Cambio</w:t>
        </w:r>
      </w:hyperlink>
      <w:r w:rsidRPr="00B00841">
        <w:rPr>
          <w:rFonts w:asciiTheme="minorHAnsi" w:hAnsiTheme="minorHAnsi" w:cstheme="minorHAnsi"/>
          <w:bCs/>
          <w:sz w:val="20"/>
          <w:szCs w:val="20"/>
          <w:lang w:eastAsia="zh-CN"/>
        </w:rPr>
        <w:t>" del PPM). La Junta de Proyecto tiene un rol secundario igualmente importante en la aprobación de ciertos ajustes que superen los niveles de tolerancia previstos, incluyendo revisiones programáticas sustantivas (enmiendas mayores/menores), revisiones presupuestarias, solicitudes de suspensión o extensión y otros cambios mayores (sujetos a los requisitos adicionales de los socios/donantes financieros).</w:t>
      </w:r>
    </w:p>
    <w:p w14:paraId="493B3311"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p>
    <w:p w14:paraId="2ACC83A2"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p>
    <w:p w14:paraId="72C2B782"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La Junta de Proyecto es responsable de tomar decisiones de gestión por consenso cuando sea necesario, incluyendo la aprobación de los planes del proyecto y sus revisiones, así como los márgenes de tolerancia del gerente del proyecto. La Junta de Proyecto aprueba los planes de trabajo anuales y revisa las actualizaciones del registro de riesgos del proyecto.</w:t>
      </w:r>
    </w:p>
    <w:p w14:paraId="3306DBC1"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p>
    <w:p w14:paraId="292959C0"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 xml:space="preserve">Dentro del marco general de gobernanza y gestión del proyecto, el rol de la Junta de Proyecto en relación con estas dos funciones clave </w:t>
      </w:r>
      <w:r w:rsidRPr="00B00841">
        <w:rPr>
          <w:rFonts w:asciiTheme="minorHAnsi" w:hAnsiTheme="minorHAnsi" w:cstheme="minorHAnsi"/>
          <w:bCs/>
          <w:i/>
          <w:iCs/>
          <w:sz w:val="20"/>
          <w:szCs w:val="20"/>
          <w:lang w:eastAsia="zh-CN"/>
        </w:rPr>
        <w:t>("Supervisión de alto nivel del proyecto"</w:t>
      </w:r>
      <w:r w:rsidRPr="00B00841">
        <w:rPr>
          <w:rFonts w:asciiTheme="minorHAnsi" w:hAnsiTheme="minorHAnsi" w:cstheme="minorHAnsi"/>
          <w:bCs/>
          <w:sz w:val="20"/>
          <w:szCs w:val="20"/>
          <w:lang w:eastAsia="zh-CN"/>
        </w:rPr>
        <w:t xml:space="preserve"> y "</w:t>
      </w:r>
      <w:r w:rsidRPr="00B00841">
        <w:rPr>
          <w:rFonts w:asciiTheme="minorHAnsi" w:hAnsiTheme="minorHAnsi" w:cstheme="minorHAnsi"/>
          <w:bCs/>
          <w:i/>
          <w:iCs/>
          <w:sz w:val="20"/>
          <w:szCs w:val="20"/>
          <w:lang w:eastAsia="zh-CN"/>
        </w:rPr>
        <w:t>Aprobación de decisiones clave de ejecución del proyecto</w:t>
      </w:r>
      <w:r w:rsidRPr="00B00841">
        <w:rPr>
          <w:rFonts w:asciiTheme="minorHAnsi" w:hAnsiTheme="minorHAnsi" w:cstheme="minorHAnsi"/>
          <w:bCs/>
          <w:sz w:val="20"/>
          <w:szCs w:val="20"/>
          <w:lang w:eastAsia="zh-CN"/>
        </w:rPr>
        <w:t xml:space="preserve">") es distinto de los roles de </w:t>
      </w:r>
      <w:r w:rsidRPr="00B00841">
        <w:rPr>
          <w:rFonts w:asciiTheme="minorHAnsi" w:hAnsiTheme="minorHAnsi" w:cstheme="minorHAnsi"/>
          <w:bCs/>
          <w:sz w:val="20"/>
          <w:szCs w:val="20"/>
          <w:lang w:eastAsia="zh-CN"/>
        </w:rPr>
        <w:lastRenderedPageBreak/>
        <w:t>las entidades involucradas en la implementación del proyecto, es decir, el socio implementador (IP), las partes responsables (si corresponde), los proveedores de servicios y el personal del proyecto.</w:t>
      </w:r>
    </w:p>
    <w:p w14:paraId="3264DE09"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p>
    <w:p w14:paraId="62A6DD74"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r w:rsidRPr="00B00841">
        <w:rPr>
          <w:rFonts w:asciiTheme="minorHAnsi" w:hAnsiTheme="minorHAnsi" w:cstheme="minorHAnsi"/>
          <w:bCs/>
          <w:sz w:val="20"/>
          <w:szCs w:val="20"/>
          <w:lang w:eastAsia="zh-CN"/>
        </w:rPr>
        <w:t>El diagrama siguiente describe las principales entidades involucradas (y sus respectivas responsabilidades) en la capa de "supervisión/aprobación de decisiones clave de ejecución" y la capa de "implementación" de la estructura del proyecto.</w:t>
      </w:r>
    </w:p>
    <w:p w14:paraId="368A9158" w14:textId="77777777" w:rsidR="00B00841" w:rsidRPr="00B00841" w:rsidRDefault="00B00841" w:rsidP="00B00841">
      <w:pPr>
        <w:shd w:val="clear" w:color="auto" w:fill="FFFFFF" w:themeFill="background1"/>
        <w:jc w:val="both"/>
        <w:rPr>
          <w:rFonts w:asciiTheme="minorHAnsi" w:hAnsiTheme="minorHAnsi" w:cstheme="minorHAnsi"/>
          <w:bCs/>
          <w:sz w:val="20"/>
          <w:szCs w:val="20"/>
          <w:lang w:eastAsia="zh-CN"/>
        </w:rPr>
      </w:pPr>
    </w:p>
    <w:p w14:paraId="4C692D19" w14:textId="7CF6AD83" w:rsidR="00B00841" w:rsidRPr="00B00841" w:rsidRDefault="00B00841" w:rsidP="00B00841">
      <w:pPr>
        <w:shd w:val="clear" w:color="auto" w:fill="FFFFFF"/>
        <w:jc w:val="center"/>
        <w:rPr>
          <w:rFonts w:asciiTheme="minorHAnsi" w:hAnsiTheme="minorHAnsi" w:cstheme="minorHAnsi"/>
          <w:b/>
          <w:bCs/>
          <w:noProof/>
          <w:sz w:val="20"/>
          <w:szCs w:val="20"/>
          <w:lang w:eastAsia="zh-CN"/>
        </w:rPr>
      </w:pPr>
      <w:r w:rsidRPr="00B00841">
        <w:rPr>
          <w:rFonts w:asciiTheme="minorHAnsi" w:hAnsiTheme="minorHAnsi" w:cstheme="minorHAnsi"/>
          <w:b/>
          <w:bCs/>
          <w:noProof/>
          <w:sz w:val="20"/>
          <w:szCs w:val="20"/>
          <w:lang w:eastAsia="zh-CN"/>
        </w:rPr>
        <w:t>Diagrama 1 – Figura Estándar de la Estructura Organizativa del Proyecto con respecto a las funciones de supervisión/aprobación e implementación</w:t>
      </w:r>
    </w:p>
    <w:p w14:paraId="32C5E1A9" w14:textId="27C68DFE" w:rsidR="00255C42" w:rsidRPr="00B00841" w:rsidRDefault="00255C42" w:rsidP="00A53A0E">
      <w:pPr>
        <w:shd w:val="clear" w:color="auto" w:fill="FFFFFF"/>
        <w:jc w:val="center"/>
        <w:rPr>
          <w:rFonts w:cs="Arial"/>
          <w:noProof/>
          <w:szCs w:val="20"/>
          <w:lang w:val="es-EC" w:eastAsia="zh-CN"/>
        </w:rPr>
      </w:pPr>
      <w:r w:rsidRPr="00A51E75">
        <w:rPr>
          <w:noProof/>
        </w:rPr>
        <w:drawing>
          <wp:inline distT="0" distB="0" distL="0" distR="0" wp14:anchorId="46A55C8A" wp14:editId="62EC8C13">
            <wp:extent cx="4764315" cy="2525843"/>
            <wp:effectExtent l="0" t="0" r="0" b="1905"/>
            <wp:docPr id="814441906" name="Picture 5"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imeline&#10;&#10;Description automatically generated with medium confidence"/>
                    <pic:cNvPicPr/>
                  </pic:nvPicPr>
                  <pic:blipFill>
                    <a:blip r:embed="rId47"/>
                    <a:stretch>
                      <a:fillRect/>
                    </a:stretch>
                  </pic:blipFill>
                  <pic:spPr>
                    <a:xfrm>
                      <a:off x="0" y="0"/>
                      <a:ext cx="4780485" cy="2534416"/>
                    </a:xfrm>
                    <a:prstGeom prst="rect">
                      <a:avLst/>
                    </a:prstGeom>
                  </pic:spPr>
                </pic:pic>
              </a:graphicData>
            </a:graphic>
          </wp:inline>
        </w:drawing>
      </w:r>
    </w:p>
    <w:p w14:paraId="61094C14" w14:textId="77777777" w:rsidR="00B00841" w:rsidRPr="00B00841" w:rsidRDefault="00B00841" w:rsidP="00B00841">
      <w:p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En los casos en que el PNUD o una entidad del gobierno nacional desempeñen simultáneamente roles y estén representados en ambas capas de la estructura organizativa del proyecto, la entidad debe procurar separar sus deberes de supervisión e implementación del proyecto y describir en el documento de proyecto relevante: 1) un arreglo institucional interno satisfactorio para la separación de las funciones de supervisión e implementación en diferentes departamentos de dicha entidad; y 2) líneas claras de responsabilidad, reporte y rendición de cuentas dentro de la entidad entre sus funciones de supervisión e implementación.</w:t>
      </w:r>
    </w:p>
    <w:p w14:paraId="3CB88FB4" w14:textId="77777777" w:rsidR="00B00841" w:rsidRPr="00B00841" w:rsidRDefault="00B00841" w:rsidP="00B00841">
      <w:pPr>
        <w:shd w:val="clear" w:color="auto" w:fill="FFFFFF"/>
        <w:jc w:val="both"/>
        <w:rPr>
          <w:rFonts w:ascii="Calibri" w:hAnsi="Calibri" w:cs="Calibri"/>
          <w:noProof/>
          <w:sz w:val="20"/>
          <w:szCs w:val="20"/>
          <w:lang w:val="es-EC" w:eastAsia="zh-CN"/>
        </w:rPr>
      </w:pPr>
    </w:p>
    <w:p w14:paraId="0F6DD093" w14:textId="52ACF6F6" w:rsidR="00B00841" w:rsidRPr="00B00841" w:rsidRDefault="00B00841" w:rsidP="00B00841">
      <w:p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 xml:space="preserve">A fin de asegurar la responsabilidad última del PNUD, las decisiones de la Junta de Proyecto deben tomarse de acuerdo con los </w:t>
      </w:r>
      <w:hyperlink r:id="rId48" w:history="1">
        <w:r w:rsidRPr="00B00841">
          <w:rPr>
            <w:rStyle w:val="Hipervnculo"/>
            <w:rFonts w:ascii="Calibri" w:hAnsi="Calibri" w:cs="Calibri"/>
            <w:noProof/>
            <w:sz w:val="20"/>
            <w:szCs w:val="20"/>
            <w:lang w:val="es-EC" w:eastAsia="zh-CN"/>
          </w:rPr>
          <w:t>Estándares de Calidad para la Programación</w:t>
        </w:r>
      </w:hyperlink>
      <w:r w:rsidRPr="00B00841">
        <w:rPr>
          <w:rFonts w:ascii="Calibri" w:hAnsi="Calibri" w:cs="Calibri"/>
          <w:noProof/>
          <w:sz w:val="20"/>
          <w:szCs w:val="20"/>
          <w:lang w:val="es-EC" w:eastAsia="zh-CN"/>
        </w:rPr>
        <w:t>, los cuales asegurarán la gestión para resultados del desarrollo, la mejor relación calidad-precio, la equidad, la integridad, la transparencia y una competencia nacional e internacional efectiva. Una Junta de Proyecto eficaz necesita datos y evidencia creíbles, garantía de calidad e informes para facilitar la toma de decisiones (ver la siguiente sección sobre funciones de apoyo a la Junta). La Junta de Proyecto también necesita ser responsable para protegerse contra conflictos de interés y fraude.</w:t>
      </w:r>
    </w:p>
    <w:p w14:paraId="02E74543" w14:textId="77777777" w:rsidR="00B00841" w:rsidRPr="00B00841" w:rsidRDefault="00B00841" w:rsidP="00B00841">
      <w:pPr>
        <w:shd w:val="clear" w:color="auto" w:fill="FFFFFF"/>
        <w:jc w:val="both"/>
        <w:rPr>
          <w:rFonts w:ascii="Calibri" w:hAnsi="Calibri" w:cs="Calibri"/>
          <w:noProof/>
          <w:sz w:val="20"/>
          <w:szCs w:val="20"/>
          <w:lang w:val="es-EC" w:eastAsia="zh-CN"/>
        </w:rPr>
      </w:pPr>
    </w:p>
    <w:p w14:paraId="7D58D51B" w14:textId="77777777" w:rsidR="00B00841" w:rsidRPr="00B00841" w:rsidRDefault="00B00841" w:rsidP="00B00841">
      <w:p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Las responsabilidades específicas de la Junta de Proyecto incluyen las siguientes:</w:t>
      </w:r>
    </w:p>
    <w:p w14:paraId="53F46EBC" w14:textId="77777777" w:rsidR="00B00841" w:rsidRPr="00B00841" w:rsidRDefault="00B00841" w:rsidP="00B00841">
      <w:pPr>
        <w:shd w:val="clear" w:color="auto" w:fill="FFFFFF"/>
        <w:jc w:val="both"/>
        <w:rPr>
          <w:rFonts w:ascii="Calibri" w:hAnsi="Calibri" w:cs="Calibri"/>
          <w:noProof/>
          <w:sz w:val="20"/>
          <w:szCs w:val="20"/>
          <w:lang w:val="es-EC" w:eastAsia="zh-CN"/>
        </w:rPr>
      </w:pPr>
    </w:p>
    <w:p w14:paraId="634911DD"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Proporcionar orientación y dirección general al proyecto, asegurando que se mantenga dentro de cualquier restricción especificada, y promover la igualdad de género y la inclusión social (LNOB, por sus siglas en inglés) en la implementación del proyecto.</w:t>
      </w:r>
    </w:p>
    <w:p w14:paraId="053F36E3"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Revisar el desempeño del proyecto con base en el monitoreo, la evaluación y la presentación de informes, incluyendo verificaciones estándar de garantía de calidad, informes de progreso, registros de riesgo, informes de verificaciones puntuales/auditorías y el informe combinado de entrega.</w:t>
      </w:r>
    </w:p>
    <w:p w14:paraId="65294FA5"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Abordar cualquier problema de alto nivel del proyecto planteado por el gerente del proyecto y la garantía del proyecto.</w:t>
      </w:r>
    </w:p>
    <w:p w14:paraId="7CE15B15"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Proporcionar orientación sobre riesgos del proyecto emergentes y/o apremiantes y acordar posibles acciones de mitigación y gestión para abordar riesgos específicos (incluyendo asegurar el cumplimiento de los Estándares Sociales y Ambientales del PNUD, el fraude/corrupción, la Explotación y Abuso Sexual y el Acoso Sexual).</w:t>
      </w:r>
    </w:p>
    <w:p w14:paraId="6C703547" w14:textId="720F3D69"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Acordar o decidir sobre los márgenes de tolerancia del gerente del proyecto según sea requerido, dentro de los parámetros establecidos por el PNUD (</w:t>
      </w:r>
      <w:hyperlink r:id="rId49" w:history="1">
        <w:r w:rsidRPr="00B00841">
          <w:rPr>
            <w:rStyle w:val="Hipervnculo"/>
            <w:rFonts w:ascii="Calibri" w:hAnsi="Calibri" w:cs="Calibri"/>
            <w:noProof/>
            <w:sz w:val="20"/>
            <w:szCs w:val="20"/>
            <w:lang w:val="es-EC" w:eastAsia="zh-CN"/>
          </w:rPr>
          <w:t>Gestionar el Cambio</w:t>
        </w:r>
      </w:hyperlink>
      <w:r w:rsidRPr="00B00841">
        <w:rPr>
          <w:rFonts w:ascii="Calibri" w:hAnsi="Calibri" w:cs="Calibri"/>
          <w:noProof/>
          <w:sz w:val="20"/>
          <w:szCs w:val="20"/>
          <w:lang w:val="es-EC" w:eastAsia="zh-CN"/>
        </w:rPr>
        <w:t xml:space="preserve"> en el PPM) y el donante, y proporcionar dirección y decisiones para situaciones excepcionales cuando se excedan los márgenes de tolerancia del gerente del proyecto.</w:t>
      </w:r>
    </w:p>
    <w:p w14:paraId="27B8E05A"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Asesorar sobre enmiendas mayores y menores al proyecto dentro de los parámetros establecidos por el PNUD y el donante.</w:t>
      </w:r>
    </w:p>
    <w:p w14:paraId="7A83A466"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lastRenderedPageBreak/>
        <w:t>Acordar o decidir sobre una suspensión o cancelación del proyecto, si fuera necesario (nota: para proyectos del FMAM y del GCF es el PNUD quien decide suspender o cancelar un proyecto, y la Junta de Proyecto solo es informada/consultada).</w:t>
      </w:r>
    </w:p>
    <w:p w14:paraId="2746D6BD"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Proporcionar dirección y recomendaciones de alto nivel a la unidad de gestión del proyecto para garantizar que los productos acordados se entreguen de manera satisfactoria según los planes.</w:t>
      </w:r>
    </w:p>
    <w:p w14:paraId="63A8E9E6" w14:textId="77777777" w:rsidR="00B00841"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Recibir y abordar quejas a nivel del proyecto, incluyendo supervisar los mecanismos específicos de cumplimiento y respuesta a las partes interesadas (o de reclamación) que se hayan establecido, para que las personas y comunidades potencialmente afectadas por el proyecto tengan acceso a mecanismos y procedimientos efectivos para plantear inquietudes sobre el desempeño social y ambiental del proyecto.</w:t>
      </w:r>
    </w:p>
    <w:p w14:paraId="6C6EEE6D" w14:textId="51E5A1A0" w:rsidR="00255C42" w:rsidRPr="00B00841" w:rsidRDefault="00B00841" w:rsidP="00EC2CBE">
      <w:pPr>
        <w:pStyle w:val="Prrafodelista"/>
        <w:numPr>
          <w:ilvl w:val="0"/>
          <w:numId w:val="116"/>
        </w:numPr>
        <w:shd w:val="clear" w:color="auto" w:fill="FFFFFF"/>
        <w:jc w:val="both"/>
        <w:rPr>
          <w:rFonts w:ascii="Calibri" w:hAnsi="Calibri" w:cs="Calibri"/>
          <w:noProof/>
          <w:sz w:val="20"/>
          <w:szCs w:val="20"/>
          <w:lang w:val="es-EC" w:eastAsia="zh-CN"/>
        </w:rPr>
      </w:pPr>
      <w:r w:rsidRPr="00B00841">
        <w:rPr>
          <w:rFonts w:ascii="Calibri" w:hAnsi="Calibri" w:cs="Calibri"/>
          <w:noProof/>
          <w:sz w:val="20"/>
          <w:szCs w:val="20"/>
          <w:lang w:val="es-EC" w:eastAsia="zh-CN"/>
        </w:rPr>
        <w:t xml:space="preserve">Participar en el proceso de selección de subvenciones de bajo valor cuando no exista un Comité de Selección de Subvenciones, según lo guiado por la </w:t>
      </w:r>
      <w:hyperlink r:id="rId50" w:history="1">
        <w:r w:rsidRPr="00B00841">
          <w:rPr>
            <w:rStyle w:val="Hipervnculo"/>
            <w:rFonts w:ascii="Calibri" w:hAnsi="Calibri" w:cs="Calibri"/>
            <w:noProof/>
            <w:sz w:val="20"/>
            <w:szCs w:val="20"/>
            <w:lang w:val="es-EC" w:eastAsia="zh-CN"/>
          </w:rPr>
          <w:t>Guía Operativa del PNUD para Subvenciones de Bajo Valor</w:t>
        </w:r>
      </w:hyperlink>
      <w:r w:rsidRPr="00B00841">
        <w:rPr>
          <w:rFonts w:ascii="Calibri" w:hAnsi="Calibri" w:cs="Calibri"/>
          <w:noProof/>
          <w:sz w:val="20"/>
          <w:szCs w:val="20"/>
          <w:lang w:val="es-EC" w:eastAsia="zh-CN"/>
        </w:rPr>
        <w:t>.</w:t>
      </w:r>
    </w:p>
    <w:p w14:paraId="6EDA9EF8" w14:textId="77777777" w:rsidR="00B00841" w:rsidRDefault="00B00841" w:rsidP="00255C42">
      <w:pPr>
        <w:jc w:val="both"/>
        <w:rPr>
          <w:rFonts w:asciiTheme="minorHAnsi" w:hAnsiTheme="minorHAnsi" w:cstheme="minorHAnsi"/>
          <w:bCs/>
          <w:noProof/>
          <w:sz w:val="20"/>
          <w:szCs w:val="20"/>
          <w:lang w:val="es-EC" w:eastAsia="zh-CN"/>
        </w:rPr>
      </w:pPr>
    </w:p>
    <w:p w14:paraId="3EA3BE18" w14:textId="011574CB" w:rsidR="00CC7F89" w:rsidRPr="00CC7F89" w:rsidRDefault="00CC7F89" w:rsidP="00CC7F89">
      <w:pPr>
        <w:ind w:left="360"/>
        <w:jc w:val="both"/>
        <w:rPr>
          <w:rFonts w:asciiTheme="minorHAnsi" w:hAnsiTheme="minorHAnsi" w:cstheme="minorHAnsi"/>
          <w:bCs/>
          <w:i/>
          <w:iCs/>
          <w:noProof/>
          <w:sz w:val="20"/>
          <w:szCs w:val="20"/>
          <w:lang w:val="es-EC" w:eastAsia="zh-CN"/>
        </w:rPr>
      </w:pPr>
      <w:r w:rsidRPr="00CC7F89">
        <w:rPr>
          <w:rFonts w:asciiTheme="minorHAnsi" w:hAnsiTheme="minorHAnsi" w:cstheme="minorHAnsi"/>
          <w:bCs/>
          <w:i/>
          <w:iCs/>
          <w:noProof/>
          <w:sz w:val="20"/>
          <w:szCs w:val="20"/>
          <w:lang w:val="es-EC" w:eastAsia="zh-CN"/>
        </w:rPr>
        <w:t xml:space="preserve">Nota: Pueden aplicarse requisitos específicos para proyectos financiados por donantes, como los financiados por el FMAM o el </w:t>
      </w:r>
      <w:r w:rsidR="00A53A0E">
        <w:rPr>
          <w:rFonts w:asciiTheme="minorHAnsi" w:hAnsiTheme="minorHAnsi" w:cstheme="minorHAnsi"/>
          <w:bCs/>
          <w:i/>
          <w:iCs/>
          <w:noProof/>
          <w:sz w:val="20"/>
          <w:szCs w:val="20"/>
          <w:lang w:val="es-EC" w:eastAsia="zh-CN"/>
        </w:rPr>
        <w:t>FVC</w:t>
      </w:r>
      <w:r w:rsidRPr="00CC7F89">
        <w:rPr>
          <w:rFonts w:asciiTheme="minorHAnsi" w:hAnsiTheme="minorHAnsi" w:cstheme="minorHAnsi"/>
          <w:bCs/>
          <w:i/>
          <w:iCs/>
          <w:noProof/>
          <w:sz w:val="20"/>
          <w:szCs w:val="20"/>
          <w:lang w:val="es-EC" w:eastAsia="zh-CN"/>
        </w:rPr>
        <w:t>. Por favor, consulte las disposiciones en el documento del proyecto.</w:t>
      </w:r>
    </w:p>
    <w:p w14:paraId="2AC061C8" w14:textId="77777777" w:rsidR="00CC7F89" w:rsidRPr="00CC7F89" w:rsidRDefault="00CC7F89" w:rsidP="00CC7F89">
      <w:pPr>
        <w:jc w:val="both"/>
        <w:rPr>
          <w:rFonts w:asciiTheme="minorHAnsi" w:hAnsiTheme="minorHAnsi" w:cstheme="minorHAnsi"/>
          <w:bCs/>
          <w:noProof/>
          <w:sz w:val="20"/>
          <w:szCs w:val="20"/>
          <w:lang w:val="es-EC" w:eastAsia="zh-CN"/>
        </w:rPr>
      </w:pPr>
    </w:p>
    <w:p w14:paraId="4A080964" w14:textId="074221FE" w:rsidR="00CC7F89" w:rsidRPr="00CC7F89" w:rsidRDefault="00CC7F89" w:rsidP="00CC7F89">
      <w:pPr>
        <w:jc w:val="both"/>
        <w:rPr>
          <w:rFonts w:asciiTheme="minorHAnsi" w:hAnsiTheme="minorHAnsi" w:cstheme="minorHAnsi"/>
          <w:bCs/>
          <w:noProof/>
          <w:sz w:val="20"/>
          <w:szCs w:val="20"/>
          <w:lang w:val="es-EC" w:eastAsia="zh-CN"/>
        </w:rPr>
      </w:pPr>
      <w:r w:rsidRPr="00CC7F89">
        <w:rPr>
          <w:rFonts w:asciiTheme="minorHAnsi" w:hAnsiTheme="minorHAnsi" w:cstheme="minorHAnsi"/>
          <w:bCs/>
          <w:noProof/>
          <w:sz w:val="20"/>
          <w:szCs w:val="20"/>
          <w:lang w:val="es-EC" w:eastAsia="zh-CN"/>
        </w:rPr>
        <w:t>Las responsabilidades adicionales de la Junta de Proyecto pueden incluir, entre otras:</w:t>
      </w:r>
      <w:r>
        <w:rPr>
          <w:rFonts w:asciiTheme="minorHAnsi" w:hAnsiTheme="minorHAnsi" w:cstheme="minorHAnsi"/>
          <w:bCs/>
          <w:noProof/>
          <w:sz w:val="20"/>
          <w:szCs w:val="20"/>
          <w:lang w:val="es-EC" w:eastAsia="zh-CN"/>
        </w:rPr>
        <w:t xml:space="preserve"> </w:t>
      </w:r>
    </w:p>
    <w:p w14:paraId="315D10C1"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Asegurar la coordinación entre los diversos proyectos y programas financiados por donantes y el gobierno.</w:t>
      </w:r>
    </w:p>
    <w:p w14:paraId="5A588445"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Informar a los órganos interministeriales pertinentes o a los órganos de supervisión de nivel superior.</w:t>
      </w:r>
    </w:p>
    <w:p w14:paraId="10D721D6"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Asegurar la coordinación con múltiples agencias gubernamentales y su participación en las actividades del proyecto.</w:t>
      </w:r>
    </w:p>
    <w:p w14:paraId="2839CF42"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Rastrear y monitorear el cofinanciamiento de este proyecto.</w:t>
      </w:r>
    </w:p>
    <w:p w14:paraId="4CD0D983"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Evaluar el informe anual de implementación del proyecto, incluido el informe de calificación de la evaluación de calidad.</w:t>
      </w:r>
    </w:p>
    <w:p w14:paraId="03355BD2"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Asegurar el compromiso de recursos humanos para apoyar la implementación del proyecto, arbitrando cualquier problema dentro del mismo.</w:t>
      </w:r>
    </w:p>
    <w:p w14:paraId="311049FA"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Actuar como un mecanismo informal de consulta para las partes interesadas.</w:t>
      </w:r>
    </w:p>
    <w:p w14:paraId="58F2C89F"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Revisar el paquete del informe final del proyecto durante una reunión de revisión al final del proyecto para discutir lecciones aprendidas y oportunidades de ampliación.</w:t>
      </w:r>
    </w:p>
    <w:p w14:paraId="75077392" w14:textId="77777777" w:rsidR="00CC7F89" w:rsidRPr="00A53A0E" w:rsidRDefault="00CC7F89" w:rsidP="00EC2CBE">
      <w:pPr>
        <w:pStyle w:val="Prrafodelista"/>
        <w:numPr>
          <w:ilvl w:val="0"/>
          <w:numId w:val="117"/>
        </w:numPr>
        <w:jc w:val="both"/>
        <w:rPr>
          <w:rFonts w:asciiTheme="minorHAnsi" w:hAnsiTheme="minorHAnsi" w:cstheme="minorHAnsi"/>
          <w:bCs/>
          <w:noProof/>
          <w:sz w:val="20"/>
          <w:szCs w:val="20"/>
          <w:lang w:val="es-EC" w:eastAsia="zh-CN"/>
        </w:rPr>
      </w:pPr>
      <w:r w:rsidRPr="00A53A0E">
        <w:rPr>
          <w:rFonts w:asciiTheme="minorHAnsi" w:hAnsiTheme="minorHAnsi" w:cstheme="minorHAnsi"/>
          <w:bCs/>
          <w:noProof/>
          <w:sz w:val="20"/>
          <w:szCs w:val="20"/>
          <w:lang w:val="es-EC" w:eastAsia="zh-CN"/>
        </w:rPr>
        <w:t>Proporcionar orientación o protocolos de reporte a comités técnicos o subórganos que informen a la Junta (si corresponde).</w:t>
      </w:r>
    </w:p>
    <w:p w14:paraId="52A29496" w14:textId="77777777" w:rsidR="00A53A0E" w:rsidRDefault="00A53A0E" w:rsidP="00CC7F89">
      <w:pPr>
        <w:jc w:val="both"/>
        <w:rPr>
          <w:rFonts w:asciiTheme="minorHAnsi" w:hAnsiTheme="minorHAnsi" w:cstheme="minorHAnsi"/>
          <w:bCs/>
          <w:noProof/>
          <w:sz w:val="20"/>
          <w:szCs w:val="20"/>
          <w:lang w:val="es-EC" w:eastAsia="zh-CN"/>
        </w:rPr>
      </w:pPr>
    </w:p>
    <w:p w14:paraId="0DF2DCB5" w14:textId="77777777" w:rsidR="00A53A0E" w:rsidRDefault="00A53A0E" w:rsidP="00CC7F89">
      <w:pPr>
        <w:jc w:val="both"/>
        <w:rPr>
          <w:rFonts w:asciiTheme="minorHAnsi" w:hAnsiTheme="minorHAnsi" w:cstheme="minorHAnsi"/>
          <w:bCs/>
          <w:noProof/>
          <w:sz w:val="20"/>
          <w:szCs w:val="20"/>
          <w:lang w:val="es-EC" w:eastAsia="zh-CN"/>
        </w:rPr>
      </w:pPr>
    </w:p>
    <w:p w14:paraId="39E992E3" w14:textId="52073BF4" w:rsidR="00CC7F89" w:rsidRPr="00A53A0E" w:rsidRDefault="00CC7F89" w:rsidP="00EC2CBE">
      <w:pPr>
        <w:pStyle w:val="Prrafodelista"/>
        <w:numPr>
          <w:ilvl w:val="0"/>
          <w:numId w:val="85"/>
        </w:numPr>
        <w:shd w:val="clear" w:color="auto" w:fill="FFFFFF"/>
        <w:contextualSpacing w:val="0"/>
        <w:jc w:val="both"/>
        <w:rPr>
          <w:rFonts w:asciiTheme="minorHAnsi" w:hAnsiTheme="minorHAnsi" w:cstheme="minorHAnsi"/>
          <w:b/>
          <w:bCs/>
          <w:sz w:val="20"/>
          <w:szCs w:val="20"/>
        </w:rPr>
      </w:pPr>
      <w:r w:rsidRPr="00A53A0E">
        <w:rPr>
          <w:rFonts w:asciiTheme="minorHAnsi" w:hAnsiTheme="minorHAnsi" w:cstheme="minorHAnsi"/>
          <w:b/>
          <w:bCs/>
          <w:sz w:val="20"/>
          <w:szCs w:val="20"/>
        </w:rPr>
        <w:t>Composición de la Junta de Proyecto</w:t>
      </w:r>
    </w:p>
    <w:p w14:paraId="4752FC96" w14:textId="77777777" w:rsidR="00A53A0E" w:rsidRDefault="00A53A0E" w:rsidP="00CC7F89">
      <w:pPr>
        <w:jc w:val="both"/>
        <w:rPr>
          <w:rFonts w:asciiTheme="minorHAnsi" w:hAnsiTheme="minorHAnsi" w:cstheme="minorHAnsi"/>
          <w:bCs/>
          <w:noProof/>
          <w:sz w:val="20"/>
          <w:szCs w:val="20"/>
          <w:lang w:val="es-EC" w:eastAsia="zh-CN"/>
        </w:rPr>
      </w:pPr>
    </w:p>
    <w:p w14:paraId="46DF7ECE" w14:textId="3909C839" w:rsidR="00CC7F89" w:rsidRDefault="00CC7F89" w:rsidP="00CC7F89">
      <w:pPr>
        <w:jc w:val="both"/>
        <w:rPr>
          <w:rFonts w:asciiTheme="minorHAnsi" w:hAnsiTheme="minorHAnsi" w:cstheme="minorHAnsi"/>
          <w:bCs/>
          <w:noProof/>
          <w:sz w:val="20"/>
          <w:szCs w:val="20"/>
          <w:lang w:val="es-EC" w:eastAsia="zh-CN"/>
        </w:rPr>
      </w:pPr>
      <w:r w:rsidRPr="00CC7F89">
        <w:rPr>
          <w:rFonts w:asciiTheme="minorHAnsi" w:hAnsiTheme="minorHAnsi" w:cstheme="minorHAnsi"/>
          <w:bCs/>
          <w:noProof/>
          <w:sz w:val="20"/>
          <w:szCs w:val="20"/>
          <w:lang w:val="es-EC" w:eastAsia="zh-CN"/>
        </w:rPr>
        <w:t>Como se observa en el diagrama siguiente, cada Junta de Proyecto en un proyecto del PNUD tiene tres categorías de miembros formales (por ejemplo, miembros con derecho a voto). El rol de cada miembro formal de la Junta de Proyecto debe corresponder a uno de estos tres roles y ser identificado como tal en la documentación del proyecto.</w:t>
      </w:r>
    </w:p>
    <w:p w14:paraId="7E2AA815" w14:textId="77777777" w:rsidR="00A53A0E" w:rsidRPr="00CC7F89" w:rsidRDefault="00A53A0E" w:rsidP="00CC7F89">
      <w:pPr>
        <w:jc w:val="both"/>
        <w:rPr>
          <w:rFonts w:asciiTheme="minorHAnsi" w:hAnsiTheme="minorHAnsi" w:cstheme="minorHAnsi"/>
          <w:bCs/>
          <w:noProof/>
          <w:sz w:val="20"/>
          <w:szCs w:val="20"/>
          <w:lang w:val="es-EC" w:eastAsia="zh-CN"/>
        </w:rPr>
      </w:pPr>
    </w:p>
    <w:p w14:paraId="56963117" w14:textId="2A315349" w:rsidR="00CC7F89" w:rsidRPr="00CC7F89" w:rsidRDefault="00CC7F89" w:rsidP="00A53A0E">
      <w:pPr>
        <w:jc w:val="center"/>
        <w:rPr>
          <w:rFonts w:ascii="Calibri" w:hAnsi="Calibri"/>
          <w:lang w:val="es-EC"/>
        </w:rPr>
      </w:pPr>
      <w:r w:rsidRPr="00A53A0E">
        <w:rPr>
          <w:rFonts w:asciiTheme="minorHAnsi" w:hAnsiTheme="minorHAnsi" w:cstheme="minorHAnsi"/>
          <w:b/>
          <w:noProof/>
          <w:sz w:val="20"/>
          <w:szCs w:val="20"/>
          <w:lang w:val="es-EC" w:eastAsia="zh-CN"/>
        </w:rPr>
        <w:t>Diagrama 2 – Figura Estándar para una Estructura Organizativa del Proyecto</w:t>
      </w:r>
    </w:p>
    <w:p w14:paraId="4B750166" w14:textId="77777777" w:rsidR="00CC7F89" w:rsidRPr="00CC7F89" w:rsidRDefault="00CC7F89" w:rsidP="00255C42">
      <w:pPr>
        <w:pStyle w:val="Prrafodelista"/>
        <w:jc w:val="both"/>
        <w:rPr>
          <w:rFonts w:ascii="Calibri" w:hAnsi="Calibri"/>
          <w:lang w:val="es-EC"/>
        </w:rPr>
      </w:pPr>
    </w:p>
    <w:p w14:paraId="7D82BB90" w14:textId="77777777" w:rsidR="00255C42" w:rsidRPr="00A51E75" w:rsidRDefault="00255C42" w:rsidP="00255C42">
      <w:pPr>
        <w:shd w:val="clear" w:color="auto" w:fill="FFFFFF"/>
        <w:jc w:val="center"/>
        <w:rPr>
          <w:rFonts w:cstheme="minorHAnsi"/>
          <w:noProof/>
          <w:szCs w:val="20"/>
          <w:lang w:eastAsia="zh-CN"/>
        </w:rPr>
      </w:pPr>
      <w:r w:rsidRPr="00A51E75">
        <w:rPr>
          <w:noProof/>
        </w:rPr>
        <w:drawing>
          <wp:inline distT="0" distB="0" distL="0" distR="0" wp14:anchorId="2184851F" wp14:editId="5498B643">
            <wp:extent cx="4162664" cy="2543260"/>
            <wp:effectExtent l="0" t="0" r="3175" b="0"/>
            <wp:docPr id="1622116275"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51"/>
                    <a:srcRect b="4533"/>
                    <a:stretch/>
                  </pic:blipFill>
                  <pic:spPr bwMode="auto">
                    <a:xfrm>
                      <a:off x="0" y="0"/>
                      <a:ext cx="4177932" cy="2552588"/>
                    </a:xfrm>
                    <a:prstGeom prst="rect">
                      <a:avLst/>
                    </a:prstGeom>
                    <a:ln>
                      <a:noFill/>
                    </a:ln>
                    <a:extLst>
                      <a:ext uri="{53640926-AAD7-44D8-BBD7-CCE9431645EC}">
                        <a14:shadowObscured xmlns:a14="http://schemas.microsoft.com/office/drawing/2010/main"/>
                      </a:ext>
                    </a:extLst>
                  </pic:spPr>
                </pic:pic>
              </a:graphicData>
            </a:graphic>
          </wp:inline>
        </w:drawing>
      </w:r>
    </w:p>
    <w:p w14:paraId="1B627402" w14:textId="77777777" w:rsidR="00255C42" w:rsidRDefault="00255C42" w:rsidP="00255C42">
      <w:pPr>
        <w:shd w:val="clear" w:color="auto" w:fill="FFFFFF"/>
        <w:jc w:val="both"/>
      </w:pPr>
    </w:p>
    <w:p w14:paraId="5D1DF949" w14:textId="77777777" w:rsidR="00A53A0E" w:rsidRPr="00A53A0E" w:rsidRDefault="00A53A0E" w:rsidP="00A53A0E">
      <w:pPr>
        <w:shd w:val="clear" w:color="auto" w:fill="FFFFFF"/>
        <w:jc w:val="both"/>
        <w:rPr>
          <w:rFonts w:ascii="Calibri" w:hAnsi="Calibri" w:cs="Calibri"/>
          <w:sz w:val="20"/>
          <w:szCs w:val="20"/>
        </w:rPr>
      </w:pPr>
      <w:r w:rsidRPr="00A53A0E">
        <w:rPr>
          <w:rFonts w:ascii="Calibri" w:hAnsi="Calibri" w:cs="Calibri"/>
          <w:sz w:val="20"/>
          <w:szCs w:val="20"/>
        </w:rPr>
        <w:lastRenderedPageBreak/>
        <w:t>Las tres categorías de miembros de la Junta de Proyecto son las siguientes:</w:t>
      </w:r>
    </w:p>
    <w:p w14:paraId="61F156BC" w14:textId="77777777" w:rsidR="00A53A0E" w:rsidRPr="00A53A0E" w:rsidRDefault="00A53A0E" w:rsidP="00A53A0E">
      <w:pPr>
        <w:shd w:val="clear" w:color="auto" w:fill="FFFFFF"/>
        <w:jc w:val="both"/>
        <w:rPr>
          <w:rFonts w:ascii="Calibri" w:hAnsi="Calibri" w:cs="Calibri"/>
          <w:sz w:val="20"/>
          <w:szCs w:val="20"/>
        </w:rPr>
      </w:pPr>
    </w:p>
    <w:p w14:paraId="029955C0" w14:textId="2D323E4C" w:rsidR="00A53A0E" w:rsidRPr="00A53A0E" w:rsidRDefault="00A53A0E" w:rsidP="00EC2CBE">
      <w:pPr>
        <w:pStyle w:val="Prrafodelista"/>
        <w:numPr>
          <w:ilvl w:val="0"/>
          <w:numId w:val="118"/>
        </w:numPr>
        <w:shd w:val="clear" w:color="auto" w:fill="FFFFFF"/>
        <w:jc w:val="both"/>
        <w:rPr>
          <w:rFonts w:ascii="Calibri" w:hAnsi="Calibri" w:cs="Calibri"/>
          <w:sz w:val="20"/>
          <w:szCs w:val="20"/>
        </w:rPr>
      </w:pPr>
      <w:r w:rsidRPr="00A53A0E">
        <w:rPr>
          <w:rFonts w:ascii="Calibri" w:hAnsi="Calibri" w:cs="Calibri"/>
          <w:b/>
          <w:bCs/>
          <w:sz w:val="20"/>
          <w:szCs w:val="20"/>
        </w:rPr>
        <w:t>Director/Ejecutivo(s) del Proyecto:</w:t>
      </w:r>
      <w:r w:rsidRPr="00A53A0E">
        <w:rPr>
          <w:rFonts w:ascii="Calibri" w:hAnsi="Calibri" w:cs="Calibri"/>
          <w:sz w:val="20"/>
          <w:szCs w:val="20"/>
        </w:rPr>
        <w:t xml:space="preserve"> Es un individuo (o individuos) que representa la titularidad del proyecto y preside (o copreside) la Junta de Proyecto. El ejecutivo suele ser la contraparte nacional de más alto nivel para proyectos de implementación nacional (normalmente de la misma entidad que el Socio Implementador), y debe ser el PNUD para proyectos de implementación directa (DIM, por sus siglas en inglés). En casos excepcionales, dos personas de entidades diferentes pueden compartir este rol y/o copresidir la Junta de Proyecto. Si el ejecutivo del proyecto copreside la Junta de Proyecto con un representante de otra categoría, normalmente lo hace con un representante de un socio para el desarrollo. El Ejecutivo del Proyecto es: El representante de más alto nivel del Socio Implementador (MAE).</w:t>
      </w:r>
    </w:p>
    <w:p w14:paraId="4F7B45FF" w14:textId="77777777" w:rsidR="00A53A0E" w:rsidRPr="00A53A0E" w:rsidRDefault="00A53A0E" w:rsidP="00A53A0E">
      <w:pPr>
        <w:shd w:val="clear" w:color="auto" w:fill="FFFFFF"/>
        <w:jc w:val="both"/>
        <w:rPr>
          <w:rFonts w:ascii="Calibri" w:hAnsi="Calibri" w:cs="Calibri"/>
          <w:sz w:val="20"/>
          <w:szCs w:val="20"/>
        </w:rPr>
      </w:pPr>
    </w:p>
    <w:p w14:paraId="473917AA" w14:textId="5F22AADE" w:rsidR="00A53A0E" w:rsidRPr="00A53A0E" w:rsidRDefault="00A53A0E" w:rsidP="00EC2CBE">
      <w:pPr>
        <w:pStyle w:val="Prrafodelista"/>
        <w:numPr>
          <w:ilvl w:val="0"/>
          <w:numId w:val="118"/>
        </w:numPr>
        <w:shd w:val="clear" w:color="auto" w:fill="FFFFFF"/>
        <w:jc w:val="both"/>
        <w:rPr>
          <w:rFonts w:ascii="Calibri" w:hAnsi="Calibri" w:cs="Calibri"/>
          <w:sz w:val="20"/>
          <w:szCs w:val="20"/>
        </w:rPr>
      </w:pPr>
      <w:r w:rsidRPr="00A53A0E">
        <w:rPr>
          <w:rFonts w:ascii="Calibri" w:hAnsi="Calibri" w:cs="Calibri"/>
          <w:b/>
          <w:bCs/>
          <w:sz w:val="20"/>
          <w:szCs w:val="20"/>
        </w:rPr>
        <w:t>Representante(s) de los Beneficiarios:</w:t>
      </w:r>
      <w:r w:rsidRPr="00A53A0E">
        <w:rPr>
          <w:rFonts w:ascii="Calibri" w:hAnsi="Calibri" w:cs="Calibri"/>
          <w:sz w:val="20"/>
          <w:szCs w:val="20"/>
        </w:rPr>
        <w:t xml:space="preserve"> Es un individuo (o individuos) que representa los intereses de aquellos grupos de partes interesadas que finalmente se beneficiarán del proyecto. Su función principal dentro de la Junta es asegurar la realización de los resultados del proyecto desde la perspectiva de los beneficiarios. A menudo, representantes de la sociedad civil, asociaciones industriales, grupos comunitarios u otras entidades gubernamentales que se benefician del proyecto pueden cumplir este rol. Si el proyecto tiene un enfoque geográfico específico, a menudo los representantes de las entidades gubernamentales en el área/región objetivo desempeñarán este rol. Puede haber múltiples representantes de beneficiarios en una Junta de Proyecto. El (Los) Representante(s) de los Beneficiarios es: Un Representante de la Mesa REDD+.</w:t>
      </w:r>
    </w:p>
    <w:p w14:paraId="744D9EEF" w14:textId="77777777" w:rsidR="00A53A0E" w:rsidRPr="00A53A0E" w:rsidRDefault="00A53A0E" w:rsidP="00A53A0E">
      <w:pPr>
        <w:pStyle w:val="Prrafodelista"/>
        <w:shd w:val="clear" w:color="auto" w:fill="FFFFFF"/>
        <w:jc w:val="both"/>
        <w:rPr>
          <w:rFonts w:ascii="Calibri" w:hAnsi="Calibri" w:cs="Calibri"/>
          <w:sz w:val="20"/>
          <w:szCs w:val="20"/>
        </w:rPr>
      </w:pPr>
    </w:p>
    <w:p w14:paraId="60D73048" w14:textId="72E8FA4D" w:rsidR="00A53A0E" w:rsidRPr="00A53A0E" w:rsidRDefault="00A53A0E" w:rsidP="00EC2CBE">
      <w:pPr>
        <w:pStyle w:val="Prrafodelista"/>
        <w:numPr>
          <w:ilvl w:val="0"/>
          <w:numId w:val="118"/>
        </w:numPr>
        <w:shd w:val="clear" w:color="auto" w:fill="FFFFFF"/>
        <w:jc w:val="both"/>
        <w:rPr>
          <w:rFonts w:ascii="Calibri" w:hAnsi="Calibri" w:cs="Calibri"/>
          <w:sz w:val="20"/>
          <w:szCs w:val="20"/>
        </w:rPr>
      </w:pPr>
      <w:r w:rsidRPr="00A53A0E">
        <w:rPr>
          <w:rFonts w:ascii="Calibri" w:hAnsi="Calibri" w:cs="Calibri"/>
          <w:b/>
          <w:bCs/>
          <w:sz w:val="20"/>
          <w:szCs w:val="20"/>
        </w:rPr>
        <w:t>Socio(s) para el Desarrollo:</w:t>
      </w:r>
      <w:r w:rsidRPr="00A53A0E">
        <w:rPr>
          <w:rFonts w:ascii="Calibri" w:hAnsi="Calibri" w:cs="Calibri"/>
          <w:sz w:val="20"/>
          <w:szCs w:val="20"/>
        </w:rPr>
        <w:t xml:space="preserve"> Individuos que representan los intereses de las partes que proporcionan financiamiento, orientación estratégica y/o experiencia técnica al proyecto. Puede haber múltiples representantes de socios para el desarrollo en una Junta de Proyecto. El representante del Socio para el Desarrollo es: el Representante Residente del PNUD.</w:t>
      </w:r>
    </w:p>
    <w:p w14:paraId="3A6424EE" w14:textId="77777777" w:rsidR="00A53A0E" w:rsidRPr="00A53A0E" w:rsidRDefault="00A53A0E" w:rsidP="00A53A0E">
      <w:pPr>
        <w:shd w:val="clear" w:color="auto" w:fill="FFFFFF"/>
        <w:jc w:val="both"/>
        <w:rPr>
          <w:rFonts w:ascii="Calibri" w:hAnsi="Calibri" w:cs="Calibri"/>
          <w:sz w:val="20"/>
          <w:szCs w:val="20"/>
        </w:rPr>
      </w:pPr>
    </w:p>
    <w:p w14:paraId="2EE99215" w14:textId="77777777" w:rsidR="00A53A0E" w:rsidRPr="00A53A0E" w:rsidRDefault="00A53A0E" w:rsidP="00A53A0E">
      <w:pPr>
        <w:shd w:val="clear" w:color="auto" w:fill="FFFFFF"/>
        <w:jc w:val="both"/>
        <w:rPr>
          <w:rFonts w:ascii="Calibri" w:hAnsi="Calibri" w:cs="Calibri"/>
          <w:sz w:val="20"/>
          <w:szCs w:val="20"/>
        </w:rPr>
      </w:pPr>
      <w:r w:rsidRPr="00A53A0E">
        <w:rPr>
          <w:rFonts w:ascii="Calibri" w:hAnsi="Calibri" w:cs="Calibri"/>
          <w:b/>
          <w:bCs/>
          <w:sz w:val="20"/>
          <w:szCs w:val="20"/>
          <w:u w:val="single"/>
        </w:rPr>
        <w:t>Un representante del PNUD siempre debe estar representado en la Junta de Proyecto</w:t>
      </w:r>
      <w:r w:rsidRPr="00A53A0E">
        <w:rPr>
          <w:rFonts w:ascii="Calibri" w:hAnsi="Calibri" w:cs="Calibri"/>
          <w:sz w:val="20"/>
          <w:szCs w:val="20"/>
        </w:rPr>
        <w:t>, ya sea en el rol de ejecutivo del proyecto o de socio para el desarrollo.</w:t>
      </w:r>
    </w:p>
    <w:p w14:paraId="5195FE61" w14:textId="77777777" w:rsidR="00A53A0E" w:rsidRPr="00A53A0E" w:rsidRDefault="00A53A0E" w:rsidP="00A53A0E">
      <w:pPr>
        <w:shd w:val="clear" w:color="auto" w:fill="FFFFFF"/>
        <w:jc w:val="both"/>
        <w:rPr>
          <w:rFonts w:ascii="Calibri" w:hAnsi="Calibri" w:cs="Calibri"/>
          <w:sz w:val="20"/>
          <w:szCs w:val="20"/>
        </w:rPr>
      </w:pPr>
    </w:p>
    <w:p w14:paraId="024CA569" w14:textId="77777777" w:rsidR="00A53A0E" w:rsidRPr="00A53A0E" w:rsidRDefault="00A53A0E" w:rsidP="00A53A0E">
      <w:pPr>
        <w:shd w:val="clear" w:color="auto" w:fill="FFFFFF"/>
        <w:jc w:val="both"/>
        <w:rPr>
          <w:rFonts w:ascii="Calibri" w:hAnsi="Calibri" w:cs="Calibri"/>
          <w:sz w:val="20"/>
          <w:szCs w:val="20"/>
        </w:rPr>
      </w:pPr>
      <w:r w:rsidRPr="00A53A0E">
        <w:rPr>
          <w:rFonts w:ascii="Calibri" w:hAnsi="Calibri" w:cs="Calibri"/>
          <w:sz w:val="20"/>
          <w:szCs w:val="20"/>
        </w:rPr>
        <w:t xml:space="preserve">Cuando corresponda, los representantes de las partes responsables del proyecto no pueden ser miembros formales con derecho a voto en la Junta de Proyecto; pueden (si se solicita) asistir a las reuniones de la junta como observadores. Dado que la principal responsabilidad de la Junta es proporcionar supervisión de alto nivel de la implementación del proyecto, para evitar conflictos de interés, no es apropiado que representantes de entidades de terceros contratadas por el proyecto para proporcionar servicios – ya sean partes responsables o contratistas/proveedores de servicios – sean simultáneamente miembros de la Junta. Los representantes de las partes responsables pueden asistir a las reuniones de la junta (como observadores) pero no pueden tener un rol oficial en la toma de decisiones de la junta. El mismo principio se aplica al gerente del proyecto, </w:t>
      </w:r>
      <w:proofErr w:type="gramStart"/>
      <w:r w:rsidRPr="00A53A0E">
        <w:rPr>
          <w:rFonts w:ascii="Calibri" w:hAnsi="Calibri" w:cs="Calibri"/>
          <w:sz w:val="20"/>
          <w:szCs w:val="20"/>
        </w:rPr>
        <w:t>quien</w:t>
      </w:r>
      <w:proofErr w:type="gramEnd"/>
      <w:r w:rsidRPr="00A53A0E">
        <w:rPr>
          <w:rFonts w:ascii="Calibri" w:hAnsi="Calibri" w:cs="Calibri"/>
          <w:sz w:val="20"/>
          <w:szCs w:val="20"/>
        </w:rPr>
        <w:t xml:space="preserve"> al asistir y presentar en las reuniones de la junta, lo hace en calidad de no votante.</w:t>
      </w:r>
    </w:p>
    <w:p w14:paraId="51725C46" w14:textId="77777777" w:rsidR="00A53A0E" w:rsidRPr="00A53A0E" w:rsidRDefault="00A53A0E" w:rsidP="00A53A0E">
      <w:pPr>
        <w:shd w:val="clear" w:color="auto" w:fill="FFFFFF"/>
        <w:jc w:val="both"/>
        <w:rPr>
          <w:rFonts w:ascii="Calibri" w:hAnsi="Calibri" w:cs="Calibri"/>
          <w:sz w:val="20"/>
          <w:szCs w:val="20"/>
        </w:rPr>
      </w:pPr>
    </w:p>
    <w:p w14:paraId="2B4ACCF0" w14:textId="77777777" w:rsidR="00A53A0E" w:rsidRPr="00A53A0E" w:rsidRDefault="00A53A0E" w:rsidP="00A53A0E">
      <w:pPr>
        <w:shd w:val="clear" w:color="auto" w:fill="FFFFFF"/>
        <w:jc w:val="both"/>
        <w:rPr>
          <w:rFonts w:ascii="Calibri" w:hAnsi="Calibri" w:cs="Calibri"/>
          <w:sz w:val="20"/>
          <w:szCs w:val="20"/>
        </w:rPr>
      </w:pPr>
      <w:r w:rsidRPr="00A53A0E">
        <w:rPr>
          <w:rFonts w:ascii="Calibri" w:hAnsi="Calibri" w:cs="Calibri"/>
          <w:sz w:val="20"/>
          <w:szCs w:val="20"/>
        </w:rPr>
        <w:t>En los casos en que la Junta necesite de manera recurrente los aportes y la orientación de las partes responsables u otras entidades formalmente contratadas para proporcionar bienes o servicios al proyecto, se recomienda establecer comités asesores o técnicos apropiados, o grupos de trabajo compuestos por esas entidades, que puedan informar formalmente a la Junta, asegurando al mismo tiempo la imparcialidad e integridad de las decisiones de la junta, las cuales deben tomarse de forma independiente de esos órganos (ver Sección V de los TdR).</w:t>
      </w:r>
    </w:p>
    <w:p w14:paraId="6FA4E60E" w14:textId="77777777" w:rsidR="00A53A0E" w:rsidRPr="00A53A0E" w:rsidRDefault="00A53A0E" w:rsidP="00A53A0E">
      <w:pPr>
        <w:shd w:val="clear" w:color="auto" w:fill="FFFFFF"/>
        <w:jc w:val="both"/>
        <w:rPr>
          <w:rFonts w:ascii="Calibri" w:hAnsi="Calibri" w:cs="Calibri"/>
          <w:sz w:val="20"/>
          <w:szCs w:val="20"/>
        </w:rPr>
      </w:pPr>
    </w:p>
    <w:p w14:paraId="39B0EF47" w14:textId="241AA33F" w:rsidR="00A53A0E" w:rsidRPr="00A53A0E" w:rsidRDefault="00A53A0E" w:rsidP="00A53A0E">
      <w:pPr>
        <w:shd w:val="clear" w:color="auto" w:fill="FFFFFF"/>
        <w:jc w:val="both"/>
        <w:rPr>
          <w:rFonts w:ascii="Calibri" w:hAnsi="Calibri" w:cs="Calibri"/>
          <w:sz w:val="20"/>
          <w:szCs w:val="20"/>
        </w:rPr>
      </w:pPr>
      <w:r w:rsidRPr="00A53A0E">
        <w:rPr>
          <w:rFonts w:ascii="Calibri" w:hAnsi="Calibri" w:cs="Calibri"/>
          <w:sz w:val="20"/>
          <w:szCs w:val="20"/>
        </w:rPr>
        <w:t>[Representación en la Junta en contextos de crisis: Por definir].</w:t>
      </w:r>
    </w:p>
    <w:p w14:paraId="2CE2054B" w14:textId="77777777" w:rsidR="00A53A0E" w:rsidRPr="00A51E75" w:rsidRDefault="00A53A0E" w:rsidP="00255C42">
      <w:pPr>
        <w:shd w:val="clear" w:color="auto" w:fill="FFFFFF"/>
        <w:jc w:val="both"/>
      </w:pPr>
    </w:p>
    <w:p w14:paraId="2D3B7083" w14:textId="77777777" w:rsidR="006C1C56" w:rsidRPr="007E49E0" w:rsidRDefault="006C1C56" w:rsidP="00255C42">
      <w:pPr>
        <w:jc w:val="both"/>
        <w:rPr>
          <w:rFonts w:ascii="Calibri" w:hAnsi="Calibri" w:cs="Calibri"/>
          <w:b/>
          <w:bCs/>
          <w:noProof/>
          <w:sz w:val="20"/>
          <w:szCs w:val="20"/>
          <w:lang w:val="es-EC" w:eastAsia="zh-CN"/>
        </w:rPr>
      </w:pPr>
    </w:p>
    <w:p w14:paraId="5F26B4F7" w14:textId="5F917DEA" w:rsidR="008658BE" w:rsidRPr="008658BE" w:rsidRDefault="008658BE" w:rsidP="00EC2CBE">
      <w:pPr>
        <w:pStyle w:val="Prrafodelista"/>
        <w:numPr>
          <w:ilvl w:val="0"/>
          <w:numId w:val="85"/>
        </w:numPr>
        <w:shd w:val="clear" w:color="auto" w:fill="FFFFFF"/>
        <w:contextualSpacing w:val="0"/>
        <w:jc w:val="both"/>
        <w:rPr>
          <w:rFonts w:asciiTheme="minorHAnsi" w:hAnsiTheme="minorHAnsi" w:cstheme="minorHAnsi"/>
          <w:b/>
          <w:bCs/>
          <w:sz w:val="20"/>
          <w:szCs w:val="20"/>
        </w:rPr>
      </w:pPr>
      <w:r w:rsidRPr="008658BE">
        <w:rPr>
          <w:rFonts w:asciiTheme="minorHAnsi" w:hAnsiTheme="minorHAnsi" w:cstheme="minorHAnsi"/>
          <w:b/>
          <w:bCs/>
          <w:sz w:val="20"/>
          <w:szCs w:val="20"/>
        </w:rPr>
        <w:t>Protocolos Estándar de la Junta de Proyecto</w:t>
      </w:r>
    </w:p>
    <w:p w14:paraId="6AF96349" w14:textId="77777777" w:rsidR="008658BE" w:rsidRPr="008658BE" w:rsidRDefault="008658BE" w:rsidP="008658BE">
      <w:pPr>
        <w:jc w:val="both"/>
        <w:rPr>
          <w:rFonts w:ascii="Calibri" w:hAnsi="Calibri" w:cs="Calibri"/>
          <w:noProof/>
          <w:sz w:val="20"/>
          <w:szCs w:val="20"/>
          <w:lang w:val="es-EC" w:eastAsia="zh-CN"/>
        </w:rPr>
      </w:pPr>
    </w:p>
    <w:p w14:paraId="7C62D583"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b/>
          <w:bCs/>
          <w:noProof/>
          <w:sz w:val="20"/>
          <w:szCs w:val="20"/>
          <w:u w:val="single"/>
          <w:lang w:val="es-EC" w:eastAsia="zh-CN"/>
        </w:rPr>
        <w:t>La Junta de Proyecto debe reunirse al menos una vez al año.</w:t>
      </w:r>
      <w:r w:rsidRPr="008658BE">
        <w:rPr>
          <w:rFonts w:ascii="Calibri" w:hAnsi="Calibri" w:cs="Calibri"/>
          <w:noProof/>
          <w:sz w:val="20"/>
          <w:szCs w:val="20"/>
          <w:lang w:val="es-EC" w:eastAsia="zh-CN"/>
        </w:rPr>
        <w:t xml:space="preserve"> Se recomienda acordar con anticipación la calendarización de las reuniones de la junta, de modo que correspondan con hitos clave de presentación de informes o planificación de trabajo del proyecto. Esta Junta de Proyecto se reunirá una vez al año.</w:t>
      </w:r>
    </w:p>
    <w:p w14:paraId="76A5F54D" w14:textId="77777777" w:rsidR="008658BE" w:rsidRPr="008658BE" w:rsidRDefault="008658BE" w:rsidP="008658BE">
      <w:pPr>
        <w:jc w:val="both"/>
        <w:rPr>
          <w:rFonts w:ascii="Calibri" w:hAnsi="Calibri" w:cs="Calibri"/>
          <w:noProof/>
          <w:sz w:val="20"/>
          <w:szCs w:val="20"/>
          <w:lang w:val="es-EC" w:eastAsia="zh-CN"/>
        </w:rPr>
      </w:pPr>
    </w:p>
    <w:p w14:paraId="57C08EC5"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Los miembros de la Junta de Proyecto no pueden recibir remuneración de los fondos del proyecto por su participación en la Junta. Sin embargo, es permisible que a los miembros de la junta se les reembolsen, con fondos del proyecto, ciertos gastos razonables y calificados relacionados con viajes o alojamiento para asistir a las reuniones de la junta. Dichos protocolos se describen en estos TdR y los beneficios son aplicables a todos los miembros de la junta elegibles.</w:t>
      </w:r>
    </w:p>
    <w:p w14:paraId="113208E4" w14:textId="77777777" w:rsidR="008658BE" w:rsidRPr="008658BE" w:rsidRDefault="008658BE" w:rsidP="008658BE">
      <w:pPr>
        <w:jc w:val="both"/>
        <w:rPr>
          <w:rFonts w:ascii="Calibri" w:hAnsi="Calibri" w:cs="Calibri"/>
          <w:noProof/>
          <w:sz w:val="20"/>
          <w:szCs w:val="20"/>
          <w:lang w:val="es-EC" w:eastAsia="zh-CN"/>
        </w:rPr>
      </w:pPr>
    </w:p>
    <w:p w14:paraId="478BC6D4"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lastRenderedPageBreak/>
        <w:t>Toda Junta de Proyecto debe tener reglas para el quórum y la documentación/actas de las decisiones de la junta. Todas las decisiones y actas de la junta deben ser conservadas por la unidad de gestión del proyecto y el PNUD. Las directrices sobre las decisiones tomadas entre reuniones de la junta o de manera virtual deben estar claramente elaboradas en los Términos de Referencia (TdR) de la Junta de Proyecto.</w:t>
      </w:r>
    </w:p>
    <w:p w14:paraId="58578F1A" w14:textId="77777777" w:rsidR="008658BE" w:rsidRPr="008658BE" w:rsidRDefault="008658BE" w:rsidP="008658BE">
      <w:pPr>
        <w:jc w:val="both"/>
        <w:rPr>
          <w:rFonts w:ascii="Calibri" w:hAnsi="Calibri" w:cs="Calibri"/>
          <w:noProof/>
          <w:sz w:val="20"/>
          <w:szCs w:val="20"/>
          <w:lang w:val="es-EC" w:eastAsia="zh-CN"/>
        </w:rPr>
      </w:pPr>
    </w:p>
    <w:p w14:paraId="3219BB5A" w14:textId="721CF69F"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A menos que se especifique lo contrario, las decisiones de la Junta de Proyecto se toman por consenso unánime. Si no se puede llegar a un consenso dentro de la Junta, la decisión final recaerá en el representante del PNUD en el Proyecto o en un miembro del personal del PNUD con autoridad delegada como gerente del programa</w:t>
      </w:r>
      <w:r>
        <w:rPr>
          <w:rStyle w:val="Refdenotaalpie"/>
          <w:rFonts w:ascii="Calibri" w:hAnsi="Calibri" w:cs="Calibri"/>
          <w:noProof/>
          <w:sz w:val="20"/>
          <w:szCs w:val="20"/>
          <w:lang w:val="es-EC" w:eastAsia="zh-CN"/>
        </w:rPr>
        <w:footnoteReference w:id="25"/>
      </w:r>
      <w:r w:rsidRPr="008658BE">
        <w:rPr>
          <w:rFonts w:ascii="Calibri" w:hAnsi="Calibri" w:cs="Calibri"/>
          <w:noProof/>
          <w:sz w:val="20"/>
          <w:szCs w:val="20"/>
          <w:lang w:val="es-EC" w:eastAsia="zh-CN"/>
        </w:rPr>
        <w:t>.</w:t>
      </w:r>
    </w:p>
    <w:p w14:paraId="20353C8C" w14:textId="77777777" w:rsidR="008658BE" w:rsidRPr="008658BE" w:rsidRDefault="008658BE" w:rsidP="008658BE">
      <w:pPr>
        <w:jc w:val="both"/>
        <w:rPr>
          <w:rFonts w:ascii="Calibri" w:hAnsi="Calibri" w:cs="Calibri"/>
          <w:noProof/>
          <w:sz w:val="20"/>
          <w:szCs w:val="20"/>
          <w:lang w:val="es-EC" w:eastAsia="zh-CN"/>
        </w:rPr>
      </w:pPr>
    </w:p>
    <w:p w14:paraId="356079F6"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Es obligatorio que, de acuerdo con los estándares profesionales y principios de buena gobernanza reconocidos internacionalmente, los conflictos de interés que afecten a los miembros de la junta en el desempeño de sus funciones se divulguen formalmente si no son evitables. Cuando un miembro de la junta tenga un conflicto de interés personal específico con un asunto determinado que se trate ante la junta, debe excusarse de participar en la decisión. Ningún miembro de la junta puede votar o deliberar sobre una cuestión en la que tenga un interés personal o pecuniario directo no común a los demás miembros de la junta.</w:t>
      </w:r>
    </w:p>
    <w:p w14:paraId="5133A78F" w14:textId="77777777" w:rsidR="008658BE" w:rsidRPr="008658BE" w:rsidRDefault="008658BE" w:rsidP="008658BE">
      <w:pPr>
        <w:jc w:val="both"/>
        <w:rPr>
          <w:rFonts w:ascii="Calibri" w:hAnsi="Calibri" w:cs="Calibri"/>
          <w:noProof/>
          <w:sz w:val="20"/>
          <w:szCs w:val="20"/>
          <w:lang w:val="es-EC" w:eastAsia="zh-CN"/>
        </w:rPr>
      </w:pPr>
    </w:p>
    <w:p w14:paraId="45B006F2"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A todos los miembros de la junta se les debe presentar unos TdR para la Junta de Proyecto, que incluirán las responsabilidades ya descritas e indicarán las prácticas y logísticas acordadas para la junta.</w:t>
      </w:r>
    </w:p>
    <w:p w14:paraId="0D073E45" w14:textId="77777777" w:rsidR="008658BE" w:rsidRPr="008658BE" w:rsidRDefault="008658BE" w:rsidP="008658BE">
      <w:pPr>
        <w:jc w:val="both"/>
        <w:rPr>
          <w:rFonts w:ascii="Calibri" w:hAnsi="Calibri" w:cs="Calibri"/>
          <w:noProof/>
          <w:sz w:val="20"/>
          <w:szCs w:val="20"/>
          <w:lang w:val="es-EC" w:eastAsia="zh-CN"/>
        </w:rPr>
      </w:pPr>
    </w:p>
    <w:p w14:paraId="69EC9410" w14:textId="0E144792" w:rsidR="008658BE" w:rsidRPr="008658BE" w:rsidRDefault="008658BE" w:rsidP="00EC2CBE">
      <w:pPr>
        <w:pStyle w:val="Prrafodelista"/>
        <w:numPr>
          <w:ilvl w:val="0"/>
          <w:numId w:val="85"/>
        </w:numPr>
        <w:shd w:val="clear" w:color="auto" w:fill="FFFFFF"/>
        <w:contextualSpacing w:val="0"/>
        <w:jc w:val="both"/>
        <w:rPr>
          <w:rFonts w:asciiTheme="minorHAnsi" w:hAnsiTheme="minorHAnsi" w:cstheme="minorHAnsi"/>
          <w:b/>
          <w:bCs/>
          <w:sz w:val="20"/>
          <w:szCs w:val="20"/>
        </w:rPr>
      </w:pPr>
      <w:r w:rsidRPr="008658BE">
        <w:rPr>
          <w:rFonts w:asciiTheme="minorHAnsi" w:hAnsiTheme="minorHAnsi" w:cstheme="minorHAnsi"/>
          <w:b/>
          <w:bCs/>
          <w:sz w:val="20"/>
          <w:szCs w:val="20"/>
        </w:rPr>
        <w:t>Productos Estándar de las Reuniones de la Junta de Proyecto</w:t>
      </w:r>
    </w:p>
    <w:p w14:paraId="33F91017" w14:textId="77777777" w:rsidR="008658BE" w:rsidRPr="008658BE" w:rsidRDefault="008658BE" w:rsidP="008658BE">
      <w:pPr>
        <w:jc w:val="both"/>
        <w:rPr>
          <w:rFonts w:ascii="Calibri" w:hAnsi="Calibri" w:cs="Calibri"/>
          <w:noProof/>
          <w:sz w:val="20"/>
          <w:szCs w:val="20"/>
          <w:lang w:val="es-EC" w:eastAsia="zh-CN"/>
        </w:rPr>
      </w:pPr>
    </w:p>
    <w:p w14:paraId="74EB19DE"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En su función de supervisión, la Junta de Proyecto revisará y evaluará (como mínimo) la siguiente evidencia relacionada con el proyecto en cada reunión:</w:t>
      </w:r>
    </w:p>
    <w:p w14:paraId="7A4C5FD7" w14:textId="77777777" w:rsidR="008658BE" w:rsidRPr="008658BE" w:rsidRDefault="008658BE" w:rsidP="008658BE">
      <w:pPr>
        <w:jc w:val="both"/>
        <w:rPr>
          <w:rFonts w:ascii="Calibri" w:hAnsi="Calibri" w:cs="Calibri"/>
          <w:noProof/>
          <w:sz w:val="20"/>
          <w:szCs w:val="20"/>
          <w:lang w:val="es-EC" w:eastAsia="zh-CN"/>
        </w:rPr>
      </w:pPr>
    </w:p>
    <w:p w14:paraId="5F05C798" w14:textId="77777777" w:rsidR="008658BE" w:rsidRPr="008658BE" w:rsidRDefault="008658BE" w:rsidP="00EC2CBE">
      <w:pPr>
        <w:pStyle w:val="Prrafodelista"/>
        <w:numPr>
          <w:ilvl w:val="0"/>
          <w:numId w:val="119"/>
        </w:num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Evaluación del progreso del proyecto a la fecha contra los indicadores de producto del proyecto (según se documenta en el marco de resultados del documento del proyecto).</w:t>
      </w:r>
    </w:p>
    <w:p w14:paraId="7BC7023C" w14:textId="77777777" w:rsidR="008658BE" w:rsidRPr="008658BE" w:rsidRDefault="008658BE" w:rsidP="00EC2CBE">
      <w:pPr>
        <w:pStyle w:val="Prrafodelista"/>
        <w:numPr>
          <w:ilvl w:val="0"/>
          <w:numId w:val="119"/>
        </w:num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Aprobación/revisión de los planes de trabajo anuales.</w:t>
      </w:r>
    </w:p>
    <w:p w14:paraId="1CADA6D8" w14:textId="01C768D6" w:rsidR="008658BE" w:rsidRPr="008658BE" w:rsidRDefault="008658BE" w:rsidP="00EC2CBE">
      <w:pPr>
        <w:pStyle w:val="Prrafodelista"/>
        <w:numPr>
          <w:ilvl w:val="0"/>
          <w:numId w:val="119"/>
        </w:num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Evaluación de los mecanismos relevantes de Monitoreo y Evaluación, incluidas todas las evaluaciones</w:t>
      </w:r>
      <w:r>
        <w:rPr>
          <w:rStyle w:val="Refdenotaalpie"/>
          <w:rFonts w:ascii="Calibri" w:hAnsi="Calibri" w:cs="Calibri"/>
          <w:noProof/>
          <w:sz w:val="20"/>
          <w:szCs w:val="20"/>
          <w:lang w:val="es-EC" w:eastAsia="zh-CN"/>
        </w:rPr>
        <w:footnoteReference w:id="26"/>
      </w:r>
      <w:r w:rsidRPr="008658BE">
        <w:rPr>
          <w:rFonts w:ascii="Calibri" w:hAnsi="Calibri" w:cs="Calibri"/>
          <w:noProof/>
          <w:sz w:val="20"/>
          <w:szCs w:val="20"/>
          <w:lang w:val="es-EC" w:eastAsia="zh-CN"/>
        </w:rPr>
        <w:t>.</w:t>
      </w:r>
    </w:p>
    <w:p w14:paraId="4CE66770" w14:textId="77777777" w:rsidR="008658BE" w:rsidRPr="008658BE" w:rsidRDefault="008658BE" w:rsidP="00EC2CBE">
      <w:pPr>
        <w:pStyle w:val="Prrafodelista"/>
        <w:numPr>
          <w:ilvl w:val="0"/>
          <w:numId w:val="119"/>
        </w:num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Revisión y evaluación del Registro de Riesgos del Proyecto (con actualizaciones/enmiendas según sea necesario).</w:t>
      </w:r>
    </w:p>
    <w:p w14:paraId="3E1B0BA7" w14:textId="77777777" w:rsidR="008658BE" w:rsidRPr="008658BE" w:rsidRDefault="008658BE" w:rsidP="00EC2CBE">
      <w:pPr>
        <w:pStyle w:val="Prrafodelista"/>
        <w:numPr>
          <w:ilvl w:val="0"/>
          <w:numId w:val="119"/>
        </w:num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Evaluación del gasto del proyecto, con base en la revisión del informe combinado de entrega.</w:t>
      </w:r>
    </w:p>
    <w:p w14:paraId="2E9AE8F3" w14:textId="77777777" w:rsidR="008658BE" w:rsidRPr="008658BE" w:rsidRDefault="008658BE" w:rsidP="00EC2CBE">
      <w:pPr>
        <w:pStyle w:val="Prrafodelista"/>
        <w:numPr>
          <w:ilvl w:val="0"/>
          <w:numId w:val="119"/>
        </w:num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Revisión de los recursos requeridos versus la financiación disponible (si corresponde) y de los pasos tomados para reducir la brecha de financiamiento identificada en la etapa de diseño del proyecto.</w:t>
      </w:r>
    </w:p>
    <w:p w14:paraId="35C519F7" w14:textId="77777777" w:rsidR="008658BE" w:rsidRDefault="008658BE" w:rsidP="008658BE">
      <w:pPr>
        <w:jc w:val="both"/>
        <w:rPr>
          <w:rFonts w:ascii="Calibri" w:hAnsi="Calibri" w:cs="Calibri"/>
          <w:noProof/>
          <w:sz w:val="20"/>
          <w:szCs w:val="20"/>
          <w:lang w:val="es-EC" w:eastAsia="zh-CN"/>
        </w:rPr>
      </w:pPr>
    </w:p>
    <w:p w14:paraId="07E77F9B" w14:textId="56DB4A7A"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Esto será adicional a la revisión y aprobación de cualquier decisión requerida sobre la ejecución del proyecto.</w:t>
      </w:r>
    </w:p>
    <w:p w14:paraId="5717222B" w14:textId="77777777" w:rsidR="008658BE" w:rsidRPr="008658BE" w:rsidRDefault="008658BE" w:rsidP="008658BE">
      <w:pPr>
        <w:jc w:val="both"/>
        <w:rPr>
          <w:rFonts w:ascii="Calibri" w:hAnsi="Calibri" w:cs="Calibri"/>
          <w:noProof/>
          <w:sz w:val="20"/>
          <w:szCs w:val="20"/>
          <w:lang w:val="es-EC" w:eastAsia="zh-CN"/>
        </w:rPr>
      </w:pPr>
    </w:p>
    <w:p w14:paraId="5A8457AE" w14:textId="2D86A2B0"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El producto de cada Junta de Proyecto debe ser un registro escrito (actas) que capture la agenda y los temas discutidos, así como los elementos de acción y decisiones acordados (si corresponde). Cada informe debe documentar claramente los miembros que asistieron a la reunión (así como todos los participantes en la reunión) y la modalidad utilizada para acordar una determinada acción o decisión (ya sea votación formal, objeción o cualquier otro mecanismo). Todos los registros de las reuniones de la junta deben ser documentados y conservados por el PNUD en su función de garantía de calidad (ver la siguiente sección).</w:t>
      </w:r>
    </w:p>
    <w:p w14:paraId="703BF89B" w14:textId="77777777" w:rsidR="008658BE" w:rsidRPr="008658BE" w:rsidRDefault="008658BE" w:rsidP="00255C42">
      <w:pPr>
        <w:jc w:val="both"/>
        <w:rPr>
          <w:rFonts w:cstheme="minorHAnsi"/>
          <w:b/>
          <w:bCs/>
          <w:noProof/>
          <w:lang w:val="es-EC" w:eastAsia="zh-CN"/>
        </w:rPr>
      </w:pPr>
    </w:p>
    <w:p w14:paraId="0AB7E006" w14:textId="77777777" w:rsidR="008658BE" w:rsidRDefault="008658BE" w:rsidP="00255C42">
      <w:pPr>
        <w:jc w:val="both"/>
        <w:rPr>
          <w:rFonts w:ascii="Calibri" w:hAnsi="Calibri" w:cs="Calibri"/>
          <w:noProof/>
          <w:sz w:val="20"/>
          <w:szCs w:val="20"/>
          <w:lang w:val="es-EC" w:eastAsia="zh-CN"/>
        </w:rPr>
      </w:pPr>
    </w:p>
    <w:p w14:paraId="276609FF" w14:textId="6EC21E96" w:rsidR="008658BE" w:rsidRPr="008658BE" w:rsidRDefault="008658BE" w:rsidP="00EC2CBE">
      <w:pPr>
        <w:pStyle w:val="Prrafodelista"/>
        <w:numPr>
          <w:ilvl w:val="0"/>
          <w:numId w:val="85"/>
        </w:numPr>
        <w:shd w:val="clear" w:color="auto" w:fill="FFFFFF"/>
        <w:contextualSpacing w:val="0"/>
        <w:jc w:val="both"/>
        <w:rPr>
          <w:rFonts w:asciiTheme="minorHAnsi" w:hAnsiTheme="minorHAnsi" w:cstheme="minorHAnsi"/>
          <w:b/>
          <w:bCs/>
          <w:sz w:val="20"/>
          <w:szCs w:val="20"/>
        </w:rPr>
      </w:pPr>
      <w:r w:rsidRPr="008658BE">
        <w:rPr>
          <w:rFonts w:asciiTheme="minorHAnsi" w:hAnsiTheme="minorHAnsi" w:cstheme="minorHAnsi"/>
          <w:b/>
          <w:bCs/>
          <w:sz w:val="20"/>
          <w:szCs w:val="20"/>
        </w:rPr>
        <w:t>Funciones de Apoyo a la Junta de Proyecto</w:t>
      </w:r>
    </w:p>
    <w:p w14:paraId="109A47D8" w14:textId="77777777" w:rsidR="008658BE" w:rsidRPr="008658BE" w:rsidRDefault="008658BE" w:rsidP="008658BE">
      <w:pPr>
        <w:jc w:val="both"/>
        <w:rPr>
          <w:rFonts w:ascii="Calibri" w:hAnsi="Calibri" w:cs="Calibri"/>
          <w:noProof/>
          <w:sz w:val="20"/>
          <w:szCs w:val="20"/>
          <w:lang w:val="es-EC" w:eastAsia="zh-CN"/>
        </w:rPr>
      </w:pPr>
    </w:p>
    <w:p w14:paraId="09C2D288"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Existen dos entidades/funciones principales fuera de la estructura de la Junta de Proyecto cuyo rol es reportar a la Junta de Proyecto y apoyar a sus miembros para que cumplan efectivamente sus funciones: la garantía del proyecto y la gestión del proyecto.</w:t>
      </w:r>
    </w:p>
    <w:p w14:paraId="12137391" w14:textId="77777777" w:rsidR="008658BE" w:rsidRPr="008658BE" w:rsidRDefault="008658BE" w:rsidP="008658BE">
      <w:pPr>
        <w:jc w:val="both"/>
        <w:rPr>
          <w:rFonts w:ascii="Calibri" w:hAnsi="Calibri" w:cs="Calibri"/>
          <w:noProof/>
          <w:sz w:val="20"/>
          <w:szCs w:val="20"/>
          <w:lang w:val="es-EC" w:eastAsia="zh-CN"/>
        </w:rPr>
      </w:pPr>
    </w:p>
    <w:p w14:paraId="0F453215" w14:textId="77777777" w:rsidR="008658BE" w:rsidRPr="008658BE" w:rsidRDefault="008658BE" w:rsidP="008658BE">
      <w:pPr>
        <w:jc w:val="both"/>
        <w:rPr>
          <w:rFonts w:ascii="Calibri" w:hAnsi="Calibri" w:cs="Calibri"/>
          <w:noProof/>
          <w:sz w:val="20"/>
          <w:szCs w:val="20"/>
          <w:lang w:val="es-EC" w:eastAsia="zh-CN"/>
        </w:rPr>
      </w:pPr>
      <w:r w:rsidRPr="008658BE">
        <w:rPr>
          <w:rFonts w:ascii="Calibri" w:hAnsi="Calibri" w:cs="Calibri"/>
          <w:noProof/>
          <w:sz w:val="20"/>
          <w:szCs w:val="20"/>
          <w:lang w:val="es-EC" w:eastAsia="zh-CN"/>
        </w:rPr>
        <w:t>El diagrama siguiente explica el rol principal de estas dos entidades en el contexto de su apoyo a las operaciones de la Junta. A continuación, se presenta una descripción de estas dos entidades.</w:t>
      </w:r>
    </w:p>
    <w:p w14:paraId="6C9F1024" w14:textId="77777777" w:rsidR="008658BE" w:rsidRPr="008658BE" w:rsidRDefault="008658BE" w:rsidP="008658BE">
      <w:pPr>
        <w:jc w:val="both"/>
        <w:rPr>
          <w:rFonts w:ascii="Calibri" w:hAnsi="Calibri" w:cs="Calibri"/>
          <w:noProof/>
          <w:sz w:val="20"/>
          <w:szCs w:val="20"/>
          <w:lang w:val="es-EC" w:eastAsia="zh-CN"/>
        </w:rPr>
      </w:pPr>
    </w:p>
    <w:p w14:paraId="412655B3" w14:textId="2D3B1DFB" w:rsidR="008658BE" w:rsidRPr="008658BE" w:rsidRDefault="008658BE" w:rsidP="008658BE">
      <w:pPr>
        <w:jc w:val="center"/>
        <w:rPr>
          <w:rFonts w:ascii="Calibri" w:hAnsi="Calibri" w:cs="Calibri"/>
          <w:b/>
          <w:bCs/>
          <w:noProof/>
          <w:sz w:val="20"/>
          <w:szCs w:val="20"/>
          <w:lang w:val="es-EC" w:eastAsia="zh-CN"/>
        </w:rPr>
      </w:pPr>
      <w:r w:rsidRPr="008658BE">
        <w:rPr>
          <w:rFonts w:ascii="Calibri" w:hAnsi="Calibri" w:cs="Calibri"/>
          <w:b/>
          <w:bCs/>
          <w:noProof/>
          <w:sz w:val="20"/>
          <w:szCs w:val="20"/>
          <w:lang w:val="es-EC" w:eastAsia="zh-CN"/>
        </w:rPr>
        <w:t>Diagrama 3 – Figura Estándar de la Estructura Organizativa del Proyecto – Entidades de Apoyo a la Junta</w:t>
      </w:r>
    </w:p>
    <w:p w14:paraId="416542A8" w14:textId="77777777" w:rsidR="00255C42" w:rsidRPr="007E49E0" w:rsidRDefault="00255C42" w:rsidP="00255C42">
      <w:pPr>
        <w:pStyle w:val="xmsonormal"/>
        <w:shd w:val="clear" w:color="auto" w:fill="FFFFFF"/>
        <w:spacing w:before="0" w:beforeAutospacing="0" w:after="0" w:afterAutospacing="0"/>
        <w:jc w:val="both"/>
        <w:rPr>
          <w:color w:val="000000"/>
          <w:lang w:val="es-EC"/>
        </w:rPr>
      </w:pPr>
    </w:p>
    <w:p w14:paraId="64BAF3A5" w14:textId="77777777" w:rsidR="00255C42" w:rsidRPr="00A51E75" w:rsidRDefault="00255C42" w:rsidP="0062332E">
      <w:pPr>
        <w:pStyle w:val="xmsonormal"/>
        <w:shd w:val="clear" w:color="auto" w:fill="FFFFFF"/>
        <w:spacing w:before="0" w:beforeAutospacing="0" w:after="0" w:afterAutospacing="0"/>
        <w:jc w:val="center"/>
        <w:rPr>
          <w:color w:val="000000"/>
        </w:rPr>
      </w:pPr>
      <w:r w:rsidRPr="00A51E75">
        <w:rPr>
          <w:noProof/>
        </w:rPr>
        <w:drawing>
          <wp:inline distT="0" distB="0" distL="0" distR="0" wp14:anchorId="698C3DBF" wp14:editId="2ED6701D">
            <wp:extent cx="6136463" cy="30511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54125" cy="3059968"/>
                    </a:xfrm>
                    <a:prstGeom prst="rect">
                      <a:avLst/>
                    </a:prstGeom>
                  </pic:spPr>
                </pic:pic>
              </a:graphicData>
            </a:graphic>
          </wp:inline>
        </w:drawing>
      </w:r>
    </w:p>
    <w:p w14:paraId="7321E38B" w14:textId="77777777" w:rsidR="00255C42" w:rsidRDefault="00255C42" w:rsidP="00255C42">
      <w:pPr>
        <w:jc w:val="both"/>
        <w:rPr>
          <w:rFonts w:cstheme="minorHAnsi"/>
          <w:noProof/>
          <w:szCs w:val="20"/>
          <w:lang w:eastAsia="zh-CN"/>
        </w:rPr>
      </w:pPr>
    </w:p>
    <w:p w14:paraId="68F3CAB1" w14:textId="77777777" w:rsidR="0062332E" w:rsidRPr="0062332E" w:rsidRDefault="0062332E" w:rsidP="0062332E">
      <w:pPr>
        <w:jc w:val="both"/>
        <w:rPr>
          <w:rFonts w:asciiTheme="minorHAnsi" w:hAnsiTheme="minorHAnsi" w:cstheme="minorHAnsi"/>
          <w:noProof/>
          <w:sz w:val="20"/>
          <w:szCs w:val="20"/>
          <w:lang w:eastAsia="zh-CN"/>
        </w:rPr>
      </w:pPr>
      <w:r w:rsidRPr="0062332E">
        <w:rPr>
          <w:rFonts w:asciiTheme="minorHAnsi" w:hAnsiTheme="minorHAnsi" w:cstheme="minorHAnsi"/>
          <w:b/>
          <w:bCs/>
          <w:noProof/>
          <w:sz w:val="20"/>
          <w:szCs w:val="20"/>
          <w:u w:val="single"/>
          <w:lang w:eastAsia="zh-CN"/>
        </w:rPr>
        <w:t>Garantía del Proyecto</w:t>
      </w:r>
      <w:r w:rsidRPr="0062332E">
        <w:rPr>
          <w:rFonts w:asciiTheme="minorHAnsi" w:hAnsiTheme="minorHAnsi" w:cstheme="minorHAnsi"/>
          <w:noProof/>
          <w:sz w:val="20"/>
          <w:szCs w:val="20"/>
          <w:lang w:eastAsia="zh-CN"/>
        </w:rPr>
        <w:t xml:space="preserve">: La garantía del proyecto es responsabilidad de cada miembro de la Junta de Proyecto; sin embargo, el PNUD tiene un rol de garantía distintivo para todos los proyectos del PNUD al llevar a cabo funciones objetivas e independientes de supervisión y monitoreo del proyecto. El PNUD realiza la garantía de calidad y apoya a la Junta de Proyecto (y a la Unidad de Gestión del Proyecto) ejecutando funciones objetivas e independientes de supervisión y monitoreo del proyecto, incluyendo la aplicación del sistema de gestión social y ambiental del PNUD para asegurar que los Estándares Sociales y Ambientales (SES, por sus siglas en inglés) se apliquen a lo largo del ciclo del proyecto. La Junta de Proyecto no puede delegar ninguna de sus responsabilidades de garantía de calidad en el gerente del proyecto. </w:t>
      </w:r>
      <w:r w:rsidRPr="0062332E">
        <w:rPr>
          <w:rFonts w:asciiTheme="minorHAnsi" w:hAnsiTheme="minorHAnsi" w:cstheme="minorHAnsi"/>
          <w:b/>
          <w:bCs/>
          <w:noProof/>
          <w:sz w:val="20"/>
          <w:szCs w:val="20"/>
          <w:u w:val="single"/>
          <w:lang w:eastAsia="zh-CN"/>
        </w:rPr>
        <w:t>La garantía del proyecto es totalmente independiente de la ejecución del proyecto</w:t>
      </w:r>
      <w:r w:rsidRPr="0062332E">
        <w:rPr>
          <w:rFonts w:asciiTheme="minorHAnsi" w:hAnsiTheme="minorHAnsi" w:cstheme="minorHAnsi"/>
          <w:noProof/>
          <w:sz w:val="20"/>
          <w:szCs w:val="20"/>
          <w:lang w:eastAsia="zh-CN"/>
        </w:rPr>
        <w:t>. En el caso en que el PNUD también esté apoyando la implementación del proyecto, se deben establecer protocolos que garanticen una separación adecuada entre el rol del PNUD en la Junta y en la función de garantía del proyecto, y cualquier rol concurrente en la implementación.</w:t>
      </w:r>
    </w:p>
    <w:p w14:paraId="6BB3D41F" w14:textId="77777777" w:rsidR="0062332E" w:rsidRPr="0062332E" w:rsidRDefault="0062332E" w:rsidP="0062332E">
      <w:pPr>
        <w:jc w:val="both"/>
        <w:rPr>
          <w:rFonts w:asciiTheme="minorHAnsi" w:hAnsiTheme="minorHAnsi" w:cstheme="minorHAnsi"/>
          <w:noProof/>
          <w:sz w:val="20"/>
          <w:szCs w:val="20"/>
          <w:lang w:eastAsia="zh-CN"/>
        </w:rPr>
      </w:pPr>
    </w:p>
    <w:p w14:paraId="6CDD91B6" w14:textId="77777777" w:rsidR="0062332E" w:rsidRPr="0062332E" w:rsidRDefault="0062332E" w:rsidP="0062332E">
      <w:pPr>
        <w:jc w:val="both"/>
        <w:rPr>
          <w:rFonts w:asciiTheme="minorHAnsi" w:hAnsiTheme="minorHAnsi" w:cstheme="minorHAnsi"/>
          <w:noProof/>
          <w:sz w:val="20"/>
          <w:szCs w:val="20"/>
          <w:lang w:eastAsia="zh-CN"/>
        </w:rPr>
      </w:pPr>
      <w:r w:rsidRPr="0062332E">
        <w:rPr>
          <w:rFonts w:asciiTheme="minorHAnsi" w:hAnsiTheme="minorHAnsi" w:cstheme="minorHAnsi"/>
          <w:noProof/>
          <w:sz w:val="20"/>
          <w:szCs w:val="20"/>
          <w:lang w:eastAsia="zh-CN"/>
        </w:rPr>
        <w:t>Se espera que un representante designado del PNUD que desempeñe el rol de garantía del proyecto asista a todas las reuniones de la Junta de Proyecto y apoye los procesos de la junta como representante sin derecho a voto. Cabe señalar que, si bien en ciertos casos el rol de garantía del proyecto del PNUD puede abarcar actividades que ocurren en varios niveles (por ejemplo, global, regional), al menos un representante del PNUD que desempeñe esa función debe, como parte de sus deberes, asistir específicamente a las reuniones de la junta y proporcionar a sus miembros la documentación requerida para realizar sus funciones.</w:t>
      </w:r>
    </w:p>
    <w:p w14:paraId="0B2BD50D" w14:textId="77777777" w:rsidR="0062332E" w:rsidRPr="0062332E" w:rsidRDefault="0062332E" w:rsidP="0062332E">
      <w:pPr>
        <w:jc w:val="both"/>
        <w:rPr>
          <w:rFonts w:asciiTheme="minorHAnsi" w:hAnsiTheme="minorHAnsi" w:cstheme="minorHAnsi"/>
          <w:noProof/>
          <w:sz w:val="20"/>
          <w:szCs w:val="20"/>
          <w:lang w:eastAsia="zh-CN"/>
        </w:rPr>
      </w:pPr>
    </w:p>
    <w:p w14:paraId="2B9916C9" w14:textId="77777777" w:rsidR="0062332E" w:rsidRPr="0062332E" w:rsidRDefault="0062332E" w:rsidP="0062332E">
      <w:pPr>
        <w:jc w:val="both"/>
        <w:rPr>
          <w:rFonts w:asciiTheme="minorHAnsi" w:hAnsiTheme="minorHAnsi" w:cstheme="minorHAnsi"/>
          <w:noProof/>
          <w:sz w:val="20"/>
          <w:szCs w:val="20"/>
          <w:lang w:eastAsia="zh-CN"/>
        </w:rPr>
      </w:pPr>
      <w:r w:rsidRPr="0062332E">
        <w:rPr>
          <w:rFonts w:asciiTheme="minorHAnsi" w:hAnsiTheme="minorHAnsi" w:cstheme="minorHAnsi"/>
          <w:noProof/>
          <w:sz w:val="20"/>
          <w:szCs w:val="20"/>
          <w:lang w:eastAsia="zh-CN"/>
        </w:rPr>
        <w:t>El representante del PNUD que desempeña la función principal de garantía del proyecto es: el Asesor Regional o su delegado y el Punto Focal de la Oficina de País del PNUD en la Unidad de Medio Ambiente.</w:t>
      </w:r>
    </w:p>
    <w:p w14:paraId="2B0BE64D" w14:textId="77777777" w:rsidR="0062332E" w:rsidRPr="0062332E" w:rsidRDefault="0062332E" w:rsidP="0062332E">
      <w:pPr>
        <w:jc w:val="both"/>
        <w:rPr>
          <w:rFonts w:asciiTheme="minorHAnsi" w:hAnsiTheme="minorHAnsi" w:cstheme="minorHAnsi"/>
          <w:noProof/>
          <w:sz w:val="20"/>
          <w:szCs w:val="20"/>
          <w:lang w:eastAsia="zh-CN"/>
        </w:rPr>
      </w:pPr>
    </w:p>
    <w:p w14:paraId="028EE42E" w14:textId="77777777" w:rsidR="0062332E" w:rsidRPr="0062332E" w:rsidRDefault="0062332E" w:rsidP="0062332E">
      <w:pPr>
        <w:jc w:val="both"/>
        <w:rPr>
          <w:rFonts w:asciiTheme="minorHAnsi" w:hAnsiTheme="minorHAnsi" w:cstheme="minorHAnsi"/>
          <w:noProof/>
          <w:sz w:val="20"/>
          <w:szCs w:val="20"/>
          <w:lang w:eastAsia="zh-CN"/>
        </w:rPr>
      </w:pPr>
      <w:r w:rsidRPr="0062332E">
        <w:rPr>
          <w:rFonts w:asciiTheme="minorHAnsi" w:hAnsiTheme="minorHAnsi" w:cstheme="minorHAnsi"/>
          <w:b/>
          <w:bCs/>
          <w:noProof/>
          <w:sz w:val="20"/>
          <w:szCs w:val="20"/>
          <w:u w:val="single"/>
          <w:lang w:eastAsia="zh-CN"/>
        </w:rPr>
        <w:t>Apoyo al Proyecto (esta función suele ser cubierta por la Unidad de Gestión del Proyecto)</w:t>
      </w:r>
      <w:r w:rsidRPr="0062332E">
        <w:rPr>
          <w:rFonts w:asciiTheme="minorHAnsi" w:hAnsiTheme="minorHAnsi" w:cstheme="minorHAnsi"/>
          <w:noProof/>
          <w:sz w:val="20"/>
          <w:szCs w:val="20"/>
          <w:lang w:eastAsia="zh-CN"/>
        </w:rPr>
        <w:t>: El Gerente del Proyecto (GP) (también llamado coordinador del proyecto) es el representante de más alto nivel de la Unidad de Gestión del Proyecto (UGP) y es responsable de la gestión general del proyecto en nombre del Socio Implementador, incluyendo la movilización de todos los insumos del proyecto, la supervisión del personal del proyecto, las partes responsables, los consultores y los subcontratistas. El gerente del proyecto presenta típicamente a la Junta los productos clave y documentos para su revisión y aprobación, incluyendo informes de progreso, planes de trabajo anuales, ajustes a los niveles de tolerancia y registros de riesgo.</w:t>
      </w:r>
    </w:p>
    <w:p w14:paraId="3ED461C6" w14:textId="77777777" w:rsidR="0062332E" w:rsidRPr="0062332E" w:rsidRDefault="0062332E" w:rsidP="0062332E">
      <w:pPr>
        <w:jc w:val="both"/>
        <w:rPr>
          <w:rFonts w:asciiTheme="minorHAnsi" w:hAnsiTheme="minorHAnsi" w:cstheme="minorHAnsi"/>
          <w:noProof/>
          <w:sz w:val="20"/>
          <w:szCs w:val="20"/>
          <w:lang w:eastAsia="zh-CN"/>
        </w:rPr>
      </w:pPr>
    </w:p>
    <w:p w14:paraId="74B7B116" w14:textId="77777777" w:rsidR="0062332E" w:rsidRPr="0062332E" w:rsidRDefault="0062332E" w:rsidP="0062332E">
      <w:pPr>
        <w:jc w:val="both"/>
        <w:rPr>
          <w:rFonts w:asciiTheme="minorHAnsi" w:hAnsiTheme="minorHAnsi" w:cstheme="minorHAnsi"/>
          <w:noProof/>
          <w:sz w:val="20"/>
          <w:szCs w:val="20"/>
          <w:lang w:eastAsia="zh-CN"/>
        </w:rPr>
      </w:pPr>
      <w:r w:rsidRPr="0062332E">
        <w:rPr>
          <w:rFonts w:asciiTheme="minorHAnsi" w:hAnsiTheme="minorHAnsi" w:cstheme="minorHAnsi"/>
          <w:noProof/>
          <w:sz w:val="20"/>
          <w:szCs w:val="20"/>
          <w:lang w:eastAsia="zh-CN"/>
        </w:rPr>
        <w:t>Se espera que un representante designado de la UGP asista a todas las reuniones de la junta y presente los informes de progreso requeridos y otra documentación necesaria para apoyar los procesos de la junta como representante sin derecho a voto.</w:t>
      </w:r>
    </w:p>
    <w:p w14:paraId="461186C3" w14:textId="77777777" w:rsidR="0062332E" w:rsidRPr="0062332E" w:rsidRDefault="0062332E" w:rsidP="0062332E">
      <w:pPr>
        <w:jc w:val="both"/>
        <w:rPr>
          <w:rFonts w:asciiTheme="minorHAnsi" w:hAnsiTheme="minorHAnsi" w:cstheme="minorHAnsi"/>
          <w:noProof/>
          <w:sz w:val="20"/>
          <w:szCs w:val="20"/>
          <w:lang w:eastAsia="zh-CN"/>
        </w:rPr>
      </w:pPr>
    </w:p>
    <w:p w14:paraId="4354EA7F" w14:textId="48496773" w:rsidR="00255C42" w:rsidRPr="007E49E0" w:rsidRDefault="0062332E" w:rsidP="0062332E">
      <w:pPr>
        <w:jc w:val="both"/>
        <w:rPr>
          <w:b/>
          <w:bCs/>
          <w:lang w:val="es-EC"/>
        </w:rPr>
      </w:pPr>
      <w:r w:rsidRPr="0062332E">
        <w:rPr>
          <w:rFonts w:asciiTheme="minorHAnsi" w:hAnsiTheme="minorHAnsi" w:cstheme="minorHAnsi"/>
          <w:noProof/>
          <w:sz w:val="20"/>
          <w:szCs w:val="20"/>
          <w:lang w:eastAsia="zh-CN"/>
        </w:rPr>
        <w:t>El representante principal de la UGP que asiste a las reuniones de la junta es: el Gerente del Proyecto.</w:t>
      </w:r>
      <w:r w:rsidR="00255C42" w:rsidRPr="007E49E0">
        <w:rPr>
          <w:b/>
          <w:bCs/>
          <w:lang w:val="es-EC"/>
        </w:rPr>
        <w:br w:type="page"/>
      </w:r>
    </w:p>
    <w:p w14:paraId="719BD059" w14:textId="77777777" w:rsidR="0062332E" w:rsidRPr="0062332E" w:rsidRDefault="0062332E" w:rsidP="0062332E">
      <w:pPr>
        <w:jc w:val="both"/>
        <w:rPr>
          <w:rFonts w:asciiTheme="minorHAnsi" w:hAnsiTheme="minorHAnsi" w:cstheme="minorHAnsi"/>
          <w:b/>
          <w:bCs/>
          <w:sz w:val="20"/>
          <w:szCs w:val="20"/>
        </w:rPr>
      </w:pPr>
      <w:r w:rsidRPr="0062332E">
        <w:rPr>
          <w:rFonts w:asciiTheme="minorHAnsi" w:hAnsiTheme="minorHAnsi" w:cstheme="minorHAnsi"/>
          <w:b/>
          <w:bCs/>
          <w:sz w:val="20"/>
          <w:szCs w:val="20"/>
        </w:rPr>
        <w:lastRenderedPageBreak/>
        <w:t>ANEXO A – Acuse de Recibo de estos TdR por cada miembro oficial designado de la Junta de Proyecto</w:t>
      </w:r>
    </w:p>
    <w:p w14:paraId="0194DFB8" w14:textId="77777777" w:rsidR="0062332E" w:rsidRPr="0062332E" w:rsidRDefault="0062332E" w:rsidP="0062332E">
      <w:pPr>
        <w:jc w:val="both"/>
        <w:rPr>
          <w:rFonts w:asciiTheme="minorHAnsi" w:hAnsiTheme="minorHAnsi" w:cstheme="minorHAnsi"/>
          <w:sz w:val="20"/>
          <w:szCs w:val="20"/>
        </w:rPr>
      </w:pPr>
    </w:p>
    <w:p w14:paraId="47575336" w14:textId="77777777" w:rsidR="0062332E" w:rsidRPr="0062332E" w:rsidRDefault="0062332E" w:rsidP="0062332E">
      <w:pPr>
        <w:jc w:val="both"/>
        <w:rPr>
          <w:rFonts w:asciiTheme="minorHAnsi" w:hAnsiTheme="minorHAnsi" w:cstheme="minorHAnsi"/>
          <w:b/>
          <w:bCs/>
          <w:sz w:val="20"/>
          <w:szCs w:val="20"/>
        </w:rPr>
      </w:pPr>
      <w:r w:rsidRPr="0062332E">
        <w:rPr>
          <w:rFonts w:asciiTheme="minorHAnsi" w:hAnsiTheme="minorHAnsi" w:cstheme="minorHAnsi"/>
          <w:b/>
          <w:bCs/>
          <w:sz w:val="20"/>
          <w:szCs w:val="20"/>
        </w:rPr>
        <w:t>Requisitos para servir en la Junta de Proyecto:</w:t>
      </w:r>
    </w:p>
    <w:p w14:paraId="74FB4D49"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Aceptar los Términos de Referencia de la Junta y las reglas sobre protocolos, quórum y levantamiento de actas.</w:t>
      </w:r>
    </w:p>
    <w:p w14:paraId="67D0E154"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Reunirse anualmente; al menos una vez.</w:t>
      </w:r>
    </w:p>
    <w:p w14:paraId="53613E70"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Declarar cualquier conflicto de interés en el desempeño de las funciones de miembro de la Junta de Proyecto y tomar todas las medidas para evitar cualquier conflicto de interés real o percibido. Esta declaración debe ser documentada y mantenida en registro por el PNUD.</w:t>
      </w:r>
    </w:p>
    <w:p w14:paraId="54A5303E"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Desempeñar las funciones de la Junta de Proyecto de acuerdo con las políticas y procedimientos del PNUD.</w:t>
      </w:r>
    </w:p>
    <w:p w14:paraId="6038A765"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Garantizar los más altos niveles de transparencia y asegurar que las actas de las reuniones de la Junta de Proyecto sean registradas y compartidas con las partes interesadas del proyecto.</w:t>
      </w:r>
    </w:p>
    <w:p w14:paraId="15CF5A91" w14:textId="77777777" w:rsidR="0062332E" w:rsidRDefault="0062332E" w:rsidP="0062332E">
      <w:pPr>
        <w:jc w:val="both"/>
        <w:rPr>
          <w:rFonts w:asciiTheme="minorHAnsi" w:hAnsiTheme="minorHAnsi" w:cstheme="minorHAnsi"/>
          <w:sz w:val="20"/>
          <w:szCs w:val="20"/>
        </w:rPr>
      </w:pPr>
    </w:p>
    <w:p w14:paraId="787AA49B" w14:textId="1A7501B6" w:rsidR="0062332E" w:rsidRPr="0062332E" w:rsidRDefault="0062332E" w:rsidP="0062332E">
      <w:pPr>
        <w:jc w:val="both"/>
        <w:rPr>
          <w:rFonts w:asciiTheme="minorHAnsi" w:hAnsiTheme="minorHAnsi" w:cstheme="minorHAnsi"/>
          <w:b/>
          <w:bCs/>
          <w:sz w:val="20"/>
          <w:szCs w:val="20"/>
        </w:rPr>
      </w:pPr>
      <w:r w:rsidRPr="0062332E">
        <w:rPr>
          <w:rFonts w:asciiTheme="minorHAnsi" w:hAnsiTheme="minorHAnsi" w:cstheme="minorHAnsi"/>
          <w:b/>
          <w:bCs/>
          <w:sz w:val="20"/>
          <w:szCs w:val="20"/>
        </w:rPr>
        <w:t>Responsabilidades de la Junta de Proyecto:</w:t>
      </w:r>
    </w:p>
    <w:p w14:paraId="558F5CFE" w14:textId="1DC144B1"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Toma de decisiones por consenso:</w:t>
      </w:r>
    </w:p>
    <w:p w14:paraId="77EF6937"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1. La junta de proyecto proporciona orientación y dirección general al proyecto, asegurando que se mantenga dentro de cualquier restricción especificada, y proporcionando supervisión general de la implementación del proyecto.</w:t>
      </w:r>
    </w:p>
    <w:p w14:paraId="36A4673B"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2. Revisar el desempeño del proyecto con base en el monitoreo, la evaluación y la presentación de informes, incluyendo informes de progreso, registros de riesgo y el informe combinado de entrega.</w:t>
      </w:r>
    </w:p>
    <w:p w14:paraId="5C190CD6"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3. La junta de proyecto es responsable de tomar decisiones de gestión por consenso.</w:t>
      </w:r>
    </w:p>
    <w:p w14:paraId="480E55BE"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4. A fin de asegurar la responsabilidad última del PNUD, las decisiones de la Junta de Proyecto deben tomarse de acuerdo con estándares que aseguren la gestión para resultados del desarrollo, la mejor relación calidad-precio, la equidad, la integridad, la transparencia y una competencia internacional efectiva.</w:t>
      </w:r>
    </w:p>
    <w:p w14:paraId="68FC385B"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5. En caso de que no se pueda alcanzar un consenso dentro de la Junta, el representante del PNUD en la junta mediará para encontrar un consenso y, si esto no es posible, tomará la decisión final para asegurar que la implementación del proyecto no se retrase indebidamente.</w:t>
      </w:r>
    </w:p>
    <w:p w14:paraId="2F0AEF33" w14:textId="77777777" w:rsidR="0062332E" w:rsidRPr="0062332E" w:rsidRDefault="0062332E" w:rsidP="0062332E">
      <w:pPr>
        <w:jc w:val="both"/>
        <w:rPr>
          <w:rFonts w:asciiTheme="minorHAnsi" w:hAnsiTheme="minorHAnsi" w:cstheme="minorHAnsi"/>
          <w:sz w:val="20"/>
          <w:szCs w:val="20"/>
        </w:rPr>
      </w:pPr>
    </w:p>
    <w:p w14:paraId="51873FD5" w14:textId="6D108E41" w:rsidR="0062332E" w:rsidRPr="0062332E" w:rsidRDefault="0062332E" w:rsidP="00EC2CBE">
      <w:pPr>
        <w:pStyle w:val="Prrafodelista"/>
        <w:numPr>
          <w:ilvl w:val="0"/>
          <w:numId w:val="120"/>
        </w:numPr>
        <w:jc w:val="both"/>
        <w:rPr>
          <w:rFonts w:asciiTheme="minorHAnsi" w:hAnsiTheme="minorHAnsi" w:cstheme="minorHAnsi"/>
          <w:b/>
          <w:bCs/>
          <w:sz w:val="20"/>
          <w:szCs w:val="20"/>
        </w:rPr>
      </w:pPr>
      <w:r w:rsidRPr="0062332E">
        <w:rPr>
          <w:rFonts w:asciiTheme="minorHAnsi" w:hAnsiTheme="minorHAnsi" w:cstheme="minorHAnsi"/>
          <w:b/>
          <w:bCs/>
          <w:sz w:val="20"/>
          <w:szCs w:val="20"/>
        </w:rPr>
        <w:t>Supervisar la ejecución del proyecto:</w:t>
      </w:r>
    </w:p>
    <w:p w14:paraId="4CA8B315"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1. Acordar los márgenes de tolerancia del gerente del proyecto según sea requerido, dentro de los parámetros descritos en el documento del proyecto, y proporcionar dirección y asesoramiento para situaciones excepcionales cuando se excedan dichos márgenes.</w:t>
      </w:r>
    </w:p>
    <w:p w14:paraId="7EEB0B43" w14:textId="77777777" w:rsidR="0062332E" w:rsidRPr="0062332E" w:rsidRDefault="0062332E" w:rsidP="0062332E">
      <w:pPr>
        <w:jc w:val="both"/>
        <w:rPr>
          <w:rFonts w:asciiTheme="minorHAnsi" w:hAnsiTheme="minorHAnsi" w:cstheme="minorHAnsi"/>
          <w:sz w:val="20"/>
          <w:szCs w:val="20"/>
        </w:rPr>
      </w:pPr>
    </w:p>
    <w:p w14:paraId="1A1BF2FE"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Evaluar los planes de trabajo anuales preparados por el Socio Implementador para el Proyecto; revisar los informes combinados de entrega antes de su certificación por el socio implementador.</w:t>
      </w:r>
    </w:p>
    <w:p w14:paraId="3D45B23F"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Abordar cualquier problema de alto nivel del proyecto planteado por el gerente del proyecto y la garantía del proyecto.</w:t>
      </w:r>
    </w:p>
    <w:p w14:paraId="35D3E8AA"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Asesorar sobre enmiendas mayores y menores al proyecto dentro de los parámetros establecidos por el PNUD y el donante, y remitir dichas enmiendas mayores y menores propuestas al Coordinador Ejecutivo de Naturaleza, Clima y Energía de BPPS/PNUD (y al FMAM, según lo exijan las políticas del FMAM).</w:t>
      </w:r>
    </w:p>
    <w:p w14:paraId="1D918A11"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Proporcionar dirección y recomendaciones de alto nivel a la unidad de gestión del proyecto para garantizar que los productos acordados se entreguen de manera satisfactoria y según los planes.</w:t>
      </w:r>
    </w:p>
    <w:p w14:paraId="736A6C83"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Rastrear y monitorear las actividades cofinanciadas y la realización de los montos de cofinanciamiento de este proyecto.</w:t>
      </w:r>
    </w:p>
    <w:p w14:paraId="54D1E296"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Aprobar el Informe de Inicio, los informes anuales de implementación del proyecto del FMAM, la revisión de medio término y los informes de evaluación final.</w:t>
      </w:r>
    </w:p>
    <w:p w14:paraId="12EE7E38" w14:textId="77777777" w:rsidR="0062332E" w:rsidRPr="0062332E" w:rsidRDefault="0062332E" w:rsidP="00EC2CBE">
      <w:pPr>
        <w:pStyle w:val="Prrafodelista"/>
        <w:numPr>
          <w:ilvl w:val="0"/>
          <w:numId w:val="120"/>
        </w:numPr>
        <w:jc w:val="both"/>
        <w:rPr>
          <w:rFonts w:asciiTheme="minorHAnsi" w:hAnsiTheme="minorHAnsi" w:cstheme="minorHAnsi"/>
          <w:sz w:val="20"/>
          <w:szCs w:val="20"/>
        </w:rPr>
      </w:pPr>
      <w:r w:rsidRPr="0062332E">
        <w:rPr>
          <w:rFonts w:asciiTheme="minorHAnsi" w:hAnsiTheme="minorHAnsi" w:cstheme="minorHAnsi"/>
          <w:sz w:val="20"/>
          <w:szCs w:val="20"/>
        </w:rPr>
        <w:t>Asegurar el compromiso de recursos humanos para apoyar la implementación del proyecto, arbitrando cualquier problema dentro del proyecto.</w:t>
      </w:r>
    </w:p>
    <w:p w14:paraId="626CE922" w14:textId="261B0A1D" w:rsidR="0062332E" w:rsidRPr="0062332E" w:rsidRDefault="0062332E" w:rsidP="00EC2CBE">
      <w:pPr>
        <w:pStyle w:val="Prrafodelista"/>
        <w:numPr>
          <w:ilvl w:val="0"/>
          <w:numId w:val="120"/>
        </w:numPr>
        <w:jc w:val="both"/>
        <w:rPr>
          <w:rFonts w:asciiTheme="minorHAnsi" w:hAnsiTheme="minorHAnsi" w:cstheme="minorHAnsi"/>
          <w:b/>
          <w:bCs/>
          <w:sz w:val="20"/>
          <w:szCs w:val="20"/>
        </w:rPr>
      </w:pPr>
      <w:r w:rsidRPr="0062332E">
        <w:rPr>
          <w:rFonts w:asciiTheme="minorHAnsi" w:hAnsiTheme="minorHAnsi" w:cstheme="minorHAnsi"/>
          <w:b/>
          <w:bCs/>
          <w:sz w:val="20"/>
          <w:szCs w:val="20"/>
        </w:rPr>
        <w:t>Gestión de Riesgos:</w:t>
      </w:r>
    </w:p>
    <w:p w14:paraId="07389F70"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1. Proporcionar orientación sobre riesgos del proyecto en evolución o materializados y acordar posibles acciones de mitigación y gestión para abordar riesgos específicos.</w:t>
      </w:r>
    </w:p>
    <w:p w14:paraId="22493640"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2. Revisar y actualizar el registro de riesgos del proyecto y los planes de gestión asociados con base en la información preparada por el Socio Implementador. Esto incluye riesgos relacionados que pueden ser gestionados directamente por este proyecto, así como riesgos contextuales que puedan afectar la entrega del proyecto o el cumplimiento y la reputación continuos del PNUD, pero que están fuera del control del proyecto. Por ejemplo, riesgos sociales y ambientales asociados con actividades cofinanciadas o actividades que tengan lugar en el área de influencia del proyecto y que tengan implicaciones para este.</w:t>
      </w:r>
    </w:p>
    <w:p w14:paraId="6DB2EF51"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3. Abordar quejas a nivel del proyecto.</w:t>
      </w:r>
    </w:p>
    <w:p w14:paraId="0493EDDE" w14:textId="77777777" w:rsidR="0062332E" w:rsidRPr="0062332E" w:rsidRDefault="0062332E" w:rsidP="0062332E">
      <w:pPr>
        <w:jc w:val="both"/>
        <w:rPr>
          <w:rFonts w:asciiTheme="minorHAnsi" w:hAnsiTheme="minorHAnsi" w:cstheme="minorHAnsi"/>
          <w:sz w:val="20"/>
          <w:szCs w:val="20"/>
        </w:rPr>
      </w:pPr>
    </w:p>
    <w:p w14:paraId="3A18FF71" w14:textId="3C8B27D0" w:rsidR="0062332E" w:rsidRPr="0062332E" w:rsidRDefault="0062332E" w:rsidP="00EC2CBE">
      <w:pPr>
        <w:pStyle w:val="Prrafodelista"/>
        <w:numPr>
          <w:ilvl w:val="0"/>
          <w:numId w:val="120"/>
        </w:numPr>
        <w:jc w:val="both"/>
        <w:rPr>
          <w:rFonts w:asciiTheme="minorHAnsi" w:hAnsiTheme="minorHAnsi" w:cstheme="minorHAnsi"/>
          <w:b/>
          <w:bCs/>
          <w:sz w:val="20"/>
          <w:szCs w:val="20"/>
        </w:rPr>
      </w:pPr>
      <w:r w:rsidRPr="0062332E">
        <w:rPr>
          <w:rFonts w:asciiTheme="minorHAnsi" w:hAnsiTheme="minorHAnsi" w:cstheme="minorHAnsi"/>
          <w:b/>
          <w:bCs/>
          <w:sz w:val="20"/>
          <w:szCs w:val="20"/>
        </w:rPr>
        <w:t>Coordinación:</w:t>
      </w:r>
    </w:p>
    <w:p w14:paraId="6C0C68D1" w14:textId="77777777"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1. Asegurar la coordinación entre diversos proyectos y programas financiados por donantes y el gobierno.</w:t>
      </w:r>
    </w:p>
    <w:p w14:paraId="4B8F8C07" w14:textId="331E00CE" w:rsidR="0062332E" w:rsidRPr="0062332E" w:rsidRDefault="0062332E" w:rsidP="0062332E">
      <w:pPr>
        <w:ind w:left="720"/>
        <w:jc w:val="both"/>
        <w:rPr>
          <w:rFonts w:asciiTheme="minorHAnsi" w:hAnsiTheme="minorHAnsi" w:cstheme="minorHAnsi"/>
          <w:sz w:val="20"/>
          <w:szCs w:val="20"/>
        </w:rPr>
      </w:pPr>
      <w:r w:rsidRPr="0062332E">
        <w:rPr>
          <w:rFonts w:asciiTheme="minorHAnsi" w:hAnsiTheme="minorHAnsi" w:cstheme="minorHAnsi"/>
          <w:sz w:val="20"/>
          <w:szCs w:val="20"/>
        </w:rPr>
        <w:t>2. Asegurar la coordinación con diversas agencias gubernamentales y su participación en las actividades del proyecto.</w:t>
      </w:r>
    </w:p>
    <w:p w14:paraId="4231B1B4" w14:textId="77777777" w:rsidR="0062332E" w:rsidRPr="007E49E0" w:rsidRDefault="0062332E" w:rsidP="00255C42">
      <w:pPr>
        <w:jc w:val="both"/>
        <w:rPr>
          <w:b/>
          <w:bCs/>
          <w:lang w:val="es-EC"/>
        </w:rPr>
      </w:pPr>
    </w:p>
    <w:p w14:paraId="68763429" w14:textId="77777777" w:rsidR="005D7E25" w:rsidRPr="007E49E0" w:rsidRDefault="005D7E25" w:rsidP="00D606DC">
      <w:pPr>
        <w:rPr>
          <w:rFonts w:asciiTheme="minorHAnsi" w:eastAsia="SimSun" w:hAnsiTheme="minorHAnsi" w:cstheme="minorHAnsi"/>
          <w:sz w:val="20"/>
          <w:szCs w:val="20"/>
          <w:lang w:val="es-EC"/>
        </w:rPr>
      </w:pPr>
    </w:p>
    <w:p w14:paraId="258A4B99" w14:textId="77777777" w:rsidR="005C2C19" w:rsidRPr="007E49E0" w:rsidRDefault="005C2C19" w:rsidP="00D606DC">
      <w:pPr>
        <w:rPr>
          <w:rFonts w:asciiTheme="minorHAnsi" w:eastAsia="SimSun" w:hAnsiTheme="minorHAnsi" w:cstheme="minorHAnsi"/>
          <w:sz w:val="20"/>
          <w:szCs w:val="20"/>
          <w:lang w:val="es-EC"/>
        </w:rPr>
      </w:pPr>
    </w:p>
    <w:p w14:paraId="4C6C87FF" w14:textId="77777777" w:rsidR="005C2C19" w:rsidRPr="007E49E0" w:rsidRDefault="005C2C19" w:rsidP="00D606DC">
      <w:pPr>
        <w:rPr>
          <w:rFonts w:asciiTheme="minorHAnsi" w:eastAsia="SimSun" w:hAnsiTheme="minorHAnsi" w:cstheme="minorHAnsi"/>
          <w:sz w:val="20"/>
          <w:szCs w:val="20"/>
          <w:lang w:val="es-EC"/>
        </w:rPr>
      </w:pPr>
    </w:p>
    <w:p w14:paraId="63B2B3ED" w14:textId="77777777"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t>Términos de Referencia para el Equipo del Proyecto (Unidad de Gestión del Proyecto - UGP)</w:t>
      </w:r>
    </w:p>
    <w:p w14:paraId="59AD7F03" w14:textId="77777777" w:rsidR="005C2C19" w:rsidRPr="005C2C19" w:rsidRDefault="005C2C19" w:rsidP="005C2C19">
      <w:pPr>
        <w:rPr>
          <w:rFonts w:asciiTheme="minorHAnsi" w:eastAsia="SimSun" w:hAnsiTheme="minorHAnsi" w:cstheme="minorHAnsi"/>
          <w:sz w:val="20"/>
          <w:szCs w:val="20"/>
        </w:rPr>
      </w:pPr>
    </w:p>
    <w:p w14:paraId="6FEE6FDA" w14:textId="77777777"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t>1. Propósito de la UGP</w:t>
      </w:r>
    </w:p>
    <w:p w14:paraId="2945EF44" w14:textId="77777777" w:rsidR="005C2C19" w:rsidRPr="005C2C19" w:rsidRDefault="005C2C19" w:rsidP="005C2C19">
      <w:pPr>
        <w:rPr>
          <w:rFonts w:asciiTheme="minorHAnsi" w:eastAsia="SimSun" w:hAnsiTheme="minorHAnsi" w:cstheme="minorHAnsi"/>
          <w:sz w:val="20"/>
          <w:szCs w:val="20"/>
        </w:rPr>
      </w:pPr>
    </w:p>
    <w:p w14:paraId="7AF8BAEC" w14:textId="77777777" w:rsidR="005C2C19" w:rsidRPr="005C2C19" w:rsidRDefault="005C2C19" w:rsidP="005C2C19">
      <w:pPr>
        <w:rPr>
          <w:rFonts w:asciiTheme="minorHAnsi" w:eastAsia="SimSun" w:hAnsiTheme="minorHAnsi" w:cstheme="minorHAnsi"/>
          <w:sz w:val="20"/>
          <w:szCs w:val="20"/>
        </w:rPr>
      </w:pPr>
      <w:r w:rsidRPr="005C2C19">
        <w:rPr>
          <w:rFonts w:asciiTheme="minorHAnsi" w:eastAsia="SimSun" w:hAnsiTheme="minorHAnsi" w:cstheme="minorHAnsi"/>
          <w:sz w:val="20"/>
          <w:szCs w:val="20"/>
        </w:rPr>
        <w:t>La UGP es el equipo técnico y operativo responsable de la gestión, coordinación y ejecución diaria del proyecto en nombre del Socio Implementador, asegurando el cumplimiento de los resultados, productos y cronogramas establecidos. La UGP trabaja bajo la dirección estratégica de la Junta de Proyecto y se coordina directamente con el Socio Implementador (MAE), el PNUD y otras partes responsables para garantizar una implementación efectiva, transparente e inclusiva.</w:t>
      </w:r>
    </w:p>
    <w:p w14:paraId="3327EAEB" w14:textId="77777777" w:rsidR="005C2C19" w:rsidRPr="005C2C19" w:rsidRDefault="005C2C19" w:rsidP="005C2C19">
      <w:pPr>
        <w:rPr>
          <w:rFonts w:asciiTheme="minorHAnsi" w:eastAsia="SimSun" w:hAnsiTheme="minorHAnsi" w:cstheme="minorHAnsi"/>
          <w:sz w:val="20"/>
          <w:szCs w:val="20"/>
        </w:rPr>
      </w:pPr>
    </w:p>
    <w:p w14:paraId="1D6C0487" w14:textId="77777777"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t>2. Composición de la UGP</w:t>
      </w:r>
    </w:p>
    <w:p w14:paraId="53F669A3" w14:textId="77777777" w:rsidR="005C2C19" w:rsidRPr="005C2C19" w:rsidRDefault="005C2C19" w:rsidP="005C2C19">
      <w:pPr>
        <w:rPr>
          <w:rFonts w:asciiTheme="minorHAnsi" w:eastAsia="SimSun" w:hAnsiTheme="minorHAnsi" w:cstheme="minorHAnsi"/>
          <w:sz w:val="20"/>
          <w:szCs w:val="20"/>
        </w:rPr>
      </w:pPr>
    </w:p>
    <w:p w14:paraId="2F3F6DB4" w14:textId="77777777" w:rsidR="005C2C19" w:rsidRPr="005C2C19" w:rsidRDefault="005C2C19" w:rsidP="005C2C19">
      <w:pPr>
        <w:rPr>
          <w:rFonts w:asciiTheme="minorHAnsi" w:eastAsia="SimSun" w:hAnsiTheme="minorHAnsi" w:cstheme="minorHAnsi"/>
          <w:sz w:val="20"/>
          <w:szCs w:val="20"/>
        </w:rPr>
      </w:pPr>
      <w:r w:rsidRPr="005C2C19">
        <w:rPr>
          <w:rFonts w:asciiTheme="minorHAnsi" w:eastAsia="SimSun" w:hAnsiTheme="minorHAnsi" w:cstheme="minorHAnsi"/>
          <w:sz w:val="20"/>
          <w:szCs w:val="20"/>
        </w:rPr>
        <w:t>La Unidad de Gestión del Proyecto (UGP) estará compuesta por el personal necesario para desempeñar las funciones de ejecución del proyecto, según se detalla en el Anexo 7: Descripción General del Personal y Consultorías del Proyecto. Este anexo describe la estructura del equipo central, incluyendo los roles técnicos, administrativos y de apoyo requeridos para una implementación efectiva. Podrán incorporarse perfiles técnicos adicionales en función de las necesidades evolutivas del proyecto.</w:t>
      </w:r>
    </w:p>
    <w:p w14:paraId="2F6063EA" w14:textId="77777777" w:rsidR="005C2C19" w:rsidRPr="005C2C19" w:rsidRDefault="005C2C19" w:rsidP="005C2C19">
      <w:pPr>
        <w:rPr>
          <w:rFonts w:asciiTheme="minorHAnsi" w:eastAsia="SimSun" w:hAnsiTheme="minorHAnsi" w:cstheme="minorHAnsi"/>
          <w:sz w:val="20"/>
          <w:szCs w:val="20"/>
        </w:rPr>
      </w:pPr>
    </w:p>
    <w:p w14:paraId="1FE5D376" w14:textId="77777777"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t>3. Roles y Responsabilidades Generales</w:t>
      </w:r>
    </w:p>
    <w:p w14:paraId="4EEE2C55" w14:textId="77777777" w:rsidR="005C2C19" w:rsidRPr="005C2C19" w:rsidRDefault="005C2C19" w:rsidP="005C2C19">
      <w:pPr>
        <w:rPr>
          <w:rFonts w:asciiTheme="minorHAnsi" w:eastAsia="SimSun" w:hAnsiTheme="minorHAnsi" w:cstheme="minorHAnsi"/>
          <w:sz w:val="20"/>
          <w:szCs w:val="20"/>
        </w:rPr>
      </w:pPr>
    </w:p>
    <w:p w14:paraId="2227AA3F" w14:textId="77777777" w:rsidR="005C2C19" w:rsidRPr="005C2C19" w:rsidRDefault="005C2C19" w:rsidP="005C2C19">
      <w:pPr>
        <w:rPr>
          <w:rFonts w:asciiTheme="minorHAnsi" w:eastAsia="SimSun" w:hAnsiTheme="minorHAnsi" w:cstheme="minorHAnsi"/>
          <w:sz w:val="20"/>
          <w:szCs w:val="20"/>
        </w:rPr>
      </w:pPr>
      <w:r w:rsidRPr="005C2C19">
        <w:rPr>
          <w:rFonts w:asciiTheme="minorHAnsi" w:eastAsia="SimSun" w:hAnsiTheme="minorHAnsi" w:cstheme="minorHAnsi"/>
          <w:sz w:val="20"/>
          <w:szCs w:val="20"/>
        </w:rPr>
        <w:t>Todos los TdR del personal se detallan en el Anexo / de este documento.</w:t>
      </w:r>
    </w:p>
    <w:p w14:paraId="66BB05E8" w14:textId="77777777" w:rsidR="005C2C19" w:rsidRPr="005C2C19" w:rsidRDefault="005C2C19" w:rsidP="005C2C19">
      <w:pPr>
        <w:rPr>
          <w:rFonts w:asciiTheme="minorHAnsi" w:eastAsia="SimSun" w:hAnsiTheme="minorHAnsi" w:cstheme="minorHAnsi"/>
          <w:sz w:val="20"/>
          <w:szCs w:val="20"/>
        </w:rPr>
      </w:pPr>
    </w:p>
    <w:p w14:paraId="2FDE7903" w14:textId="6E03FC83"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Coordinador/a General del Proyecto / Coordinador/a Nacional: Dirige la ejecución general del proyecto, la planificación y la coordinación interinstitucional. Supervisa la gestión técnica, financiera y administrativa. Asegura el cumplimiento de las salvaguardas y obligaciones de reporte del GEF y el PNUD.</w:t>
      </w:r>
    </w:p>
    <w:p w14:paraId="04D538DE" w14:textId="617B77A1"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Administrador/a Financiero/a: Gestiona las finanzas, adquisiciones y presupuesto del proyecto. Asegura la alineación con las regulaciones financieras del PNUD y nacionales, y apoya las auditorías y reportes financieros.</w:t>
      </w:r>
    </w:p>
    <w:p w14:paraId="02F348C9" w14:textId="5AC8239B"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Especialista en Monitoreo y Evaluación (M&amp;E): Diseña e implementa el sistema MEL. Supervisa la recolección de datos, el seguimiento de indicadores y la preparación de informes de progreso y evaluación (PIR, RMT, EFI).</w:t>
      </w:r>
    </w:p>
    <w:p w14:paraId="4A3BF9F8" w14:textId="142EB7CE"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Especialista en Salvaguardas Ambientales y Sociales: Asegura el cumplimiento de las salvaguardas del PNUD y el GEF. Gestiona las evaluaciones de riesgo, desarrolla los ESMP y supervisa los mecanismos de quejas y el monitoreo de salvaguardas.</w:t>
      </w:r>
    </w:p>
    <w:p w14:paraId="79F18CB7" w14:textId="0C95B65A"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Especialista en Género y Pueblos Indígenas: Lidera la integración de la igualdad de género y los derechos de los pueblos indígenas. Asegura la participación, la implementación de salvaguardas y la planificación inclusiva en todos los componentes del proyecto.</w:t>
      </w:r>
    </w:p>
    <w:p w14:paraId="42B02F5B" w14:textId="7DE311C1"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Coordinador/a de Gestión del Conocimiento y Aprendizaje: Lidera la estrategia de conocimiento y la plataforma de e-learning. Coordina la sistematización de lecciones aprendidas e innovaciones técnicas, y apoya la capacitación y documentación.</w:t>
      </w:r>
    </w:p>
    <w:p w14:paraId="7C159F08" w14:textId="3F06EA18"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Especialista en Finanzas Climáticas y Mercados Sostenibles: Diseña y gestiona mecanismos de financiamiento verde y estrategias de mercado. Facilita el acceso a financiamiento y el desarrollo de cadenas de valor para iniciativas de bioeconomía.</w:t>
      </w:r>
    </w:p>
    <w:p w14:paraId="6482E21A" w14:textId="3BD485FD"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Especialista en Producción Sostenible y Bioeconomía: Lidera la implementación de sistemas de producción sostenible. Brinda asistencia técnica y vincula a los productores locales con mercados y financiamiento.</w:t>
      </w:r>
    </w:p>
    <w:p w14:paraId="0C28E461" w14:textId="79F2C861"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Especialista en GF y Gestión Hídrica: Coordina la restauración y gobernanza forestal y de cuencas. Supervisa la gestión forestal sostenible (GFS), las evaluaciones hidrológicas y la integración de salvaguardas relacionadas con el agua.</w:t>
      </w:r>
    </w:p>
    <w:p w14:paraId="17CE040E" w14:textId="5965F98D" w:rsidR="005C2C19" w:rsidRPr="005C2C19" w:rsidRDefault="005C2C19" w:rsidP="00EC2CBE">
      <w:pPr>
        <w:pStyle w:val="Prrafodelista"/>
        <w:numPr>
          <w:ilvl w:val="0"/>
          <w:numId w:val="121"/>
        </w:numPr>
        <w:rPr>
          <w:rFonts w:asciiTheme="minorHAnsi" w:eastAsia="SimSun" w:hAnsiTheme="minorHAnsi" w:cstheme="minorHAnsi"/>
          <w:sz w:val="20"/>
          <w:szCs w:val="20"/>
        </w:rPr>
      </w:pPr>
      <w:r w:rsidRPr="005C2C19">
        <w:rPr>
          <w:rFonts w:asciiTheme="minorHAnsi" w:eastAsia="SimSun" w:hAnsiTheme="minorHAnsi" w:cstheme="minorHAnsi"/>
          <w:sz w:val="20"/>
          <w:szCs w:val="20"/>
        </w:rPr>
        <w:t>Oficial de Comunicación Estratégica y Participación: Desarrolla estrategias y materiales de comunicación. Promueve la visibilidad, la apropiación local y el compromiso con las partes interesadas indígenas, mujeres y jóvenes.</w:t>
      </w:r>
    </w:p>
    <w:p w14:paraId="557E4402" w14:textId="77777777" w:rsidR="005C2C19" w:rsidRPr="005C2C19" w:rsidRDefault="005C2C19" w:rsidP="005C2C19">
      <w:pPr>
        <w:rPr>
          <w:rFonts w:asciiTheme="minorHAnsi" w:eastAsia="SimSun" w:hAnsiTheme="minorHAnsi" w:cstheme="minorHAnsi"/>
          <w:sz w:val="20"/>
          <w:szCs w:val="20"/>
        </w:rPr>
      </w:pPr>
    </w:p>
    <w:p w14:paraId="6803E009" w14:textId="77777777"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lastRenderedPageBreak/>
        <w:t>4. Lugar de Trabajo y Estructura de Reporte</w:t>
      </w:r>
    </w:p>
    <w:p w14:paraId="77B694E7" w14:textId="77777777" w:rsidR="005C2C19" w:rsidRPr="005C2C19" w:rsidRDefault="005C2C19" w:rsidP="005C2C19">
      <w:pPr>
        <w:rPr>
          <w:rFonts w:asciiTheme="minorHAnsi" w:eastAsia="SimSun" w:hAnsiTheme="minorHAnsi" w:cstheme="minorHAnsi"/>
          <w:sz w:val="20"/>
          <w:szCs w:val="20"/>
        </w:rPr>
      </w:pPr>
    </w:p>
    <w:p w14:paraId="327B67BE" w14:textId="77777777" w:rsidR="005C2C19" w:rsidRPr="005C2C19" w:rsidRDefault="005C2C19" w:rsidP="00EC2CBE">
      <w:pPr>
        <w:pStyle w:val="Prrafodelista"/>
        <w:numPr>
          <w:ilvl w:val="0"/>
          <w:numId w:val="124"/>
        </w:numPr>
        <w:rPr>
          <w:rFonts w:asciiTheme="minorHAnsi" w:eastAsia="SimSun" w:hAnsiTheme="minorHAnsi" w:cstheme="minorHAnsi"/>
          <w:sz w:val="20"/>
          <w:szCs w:val="20"/>
        </w:rPr>
      </w:pPr>
      <w:r w:rsidRPr="005C2C19">
        <w:rPr>
          <w:rFonts w:asciiTheme="minorHAnsi" w:eastAsia="SimSun" w:hAnsiTheme="minorHAnsi" w:cstheme="minorHAnsi"/>
          <w:sz w:val="20"/>
          <w:szCs w:val="20"/>
        </w:rPr>
        <w:t>La UGP no estará ubicada en las oficinas del PNUD, conforme a las directrices del GEF y el PNUD.</w:t>
      </w:r>
    </w:p>
    <w:p w14:paraId="4347A762" w14:textId="77777777" w:rsidR="005C2C19" w:rsidRPr="005C2C19" w:rsidRDefault="005C2C19" w:rsidP="00EC2CBE">
      <w:pPr>
        <w:pStyle w:val="Prrafodelista"/>
        <w:numPr>
          <w:ilvl w:val="0"/>
          <w:numId w:val="124"/>
        </w:numPr>
        <w:rPr>
          <w:rFonts w:asciiTheme="minorHAnsi" w:eastAsia="SimSun" w:hAnsiTheme="minorHAnsi" w:cstheme="minorHAnsi"/>
          <w:sz w:val="20"/>
          <w:szCs w:val="20"/>
        </w:rPr>
      </w:pPr>
      <w:r w:rsidRPr="005C2C19">
        <w:rPr>
          <w:rFonts w:asciiTheme="minorHAnsi" w:eastAsia="SimSun" w:hAnsiTheme="minorHAnsi" w:cstheme="minorHAnsi"/>
          <w:sz w:val="20"/>
          <w:szCs w:val="20"/>
        </w:rPr>
        <w:t>El/la Gerente del Proyecto reporta directamente al Socio Implementador (MAE) y rinde cuentas a la Junta de Proyecto.</w:t>
      </w:r>
    </w:p>
    <w:p w14:paraId="2EED3FC2" w14:textId="77777777" w:rsidR="005C2C19" w:rsidRPr="005C2C19" w:rsidRDefault="005C2C19" w:rsidP="00EC2CBE">
      <w:pPr>
        <w:pStyle w:val="Prrafodelista"/>
        <w:numPr>
          <w:ilvl w:val="0"/>
          <w:numId w:val="124"/>
        </w:numPr>
        <w:rPr>
          <w:rFonts w:asciiTheme="minorHAnsi" w:eastAsia="SimSun" w:hAnsiTheme="minorHAnsi" w:cstheme="minorHAnsi"/>
          <w:sz w:val="20"/>
          <w:szCs w:val="20"/>
        </w:rPr>
      </w:pPr>
      <w:r w:rsidRPr="005C2C19">
        <w:rPr>
          <w:rFonts w:asciiTheme="minorHAnsi" w:eastAsia="SimSun" w:hAnsiTheme="minorHAnsi" w:cstheme="minorHAnsi"/>
          <w:sz w:val="20"/>
          <w:szCs w:val="20"/>
        </w:rPr>
        <w:t>Todo el equipo se coordinará estrechamente con la Oficina de País del PNUD, pero de manera independiente a las funciones de garantía y supervisión.</w:t>
      </w:r>
    </w:p>
    <w:p w14:paraId="2FDB3590" w14:textId="77777777" w:rsidR="005C2C19" w:rsidRDefault="005C2C19" w:rsidP="005C2C19">
      <w:pPr>
        <w:rPr>
          <w:rFonts w:asciiTheme="minorHAnsi" w:eastAsia="SimSun" w:hAnsiTheme="minorHAnsi" w:cstheme="minorHAnsi"/>
          <w:b/>
          <w:bCs/>
          <w:sz w:val="20"/>
          <w:szCs w:val="20"/>
        </w:rPr>
      </w:pPr>
    </w:p>
    <w:p w14:paraId="5EB3B131" w14:textId="25EA7D72"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t>5. Reuniones y Coordinación</w:t>
      </w:r>
    </w:p>
    <w:p w14:paraId="2EA19C17" w14:textId="77777777" w:rsidR="005C2C19" w:rsidRPr="005C2C19" w:rsidRDefault="005C2C19" w:rsidP="005C2C19">
      <w:pPr>
        <w:rPr>
          <w:rFonts w:asciiTheme="minorHAnsi" w:eastAsia="SimSun" w:hAnsiTheme="minorHAnsi" w:cstheme="minorHAnsi"/>
          <w:sz w:val="20"/>
          <w:szCs w:val="20"/>
        </w:rPr>
      </w:pPr>
    </w:p>
    <w:p w14:paraId="08EDD86E" w14:textId="77777777" w:rsidR="005C2C19" w:rsidRPr="005C2C19" w:rsidRDefault="005C2C19" w:rsidP="00EC2CBE">
      <w:pPr>
        <w:pStyle w:val="Prrafodelista"/>
        <w:numPr>
          <w:ilvl w:val="0"/>
          <w:numId w:val="123"/>
        </w:numPr>
        <w:rPr>
          <w:rFonts w:asciiTheme="minorHAnsi" w:eastAsia="SimSun" w:hAnsiTheme="minorHAnsi" w:cstheme="minorHAnsi"/>
          <w:sz w:val="20"/>
          <w:szCs w:val="20"/>
        </w:rPr>
      </w:pPr>
      <w:r w:rsidRPr="005C2C19">
        <w:rPr>
          <w:rFonts w:asciiTheme="minorHAnsi" w:eastAsia="SimSun" w:hAnsiTheme="minorHAnsi" w:cstheme="minorHAnsi"/>
          <w:sz w:val="20"/>
          <w:szCs w:val="20"/>
        </w:rPr>
        <w:t>La UGP participará en las reuniones de la Junta de Proyecto como invitada sin derecho a voto, brindando apoyo técnico e informes de progreso.</w:t>
      </w:r>
    </w:p>
    <w:p w14:paraId="27949EAC" w14:textId="77777777" w:rsidR="005C2C19" w:rsidRPr="005C2C19" w:rsidRDefault="005C2C19" w:rsidP="00EC2CBE">
      <w:pPr>
        <w:pStyle w:val="Prrafodelista"/>
        <w:numPr>
          <w:ilvl w:val="0"/>
          <w:numId w:val="123"/>
        </w:numPr>
        <w:rPr>
          <w:rFonts w:asciiTheme="minorHAnsi" w:eastAsia="SimSun" w:hAnsiTheme="minorHAnsi" w:cstheme="minorHAnsi"/>
          <w:sz w:val="20"/>
          <w:szCs w:val="20"/>
        </w:rPr>
      </w:pPr>
      <w:r w:rsidRPr="005C2C19">
        <w:rPr>
          <w:rFonts w:asciiTheme="minorHAnsi" w:eastAsia="SimSun" w:hAnsiTheme="minorHAnsi" w:cstheme="minorHAnsi"/>
          <w:sz w:val="20"/>
          <w:szCs w:val="20"/>
        </w:rPr>
        <w:t>Debe mantener una coordinación continua con las partes responsables, actores territoriales, socios técnicos y comunidades beneficiarias.</w:t>
      </w:r>
    </w:p>
    <w:p w14:paraId="24BBD17B" w14:textId="77777777" w:rsidR="005C2C19" w:rsidRPr="005C2C19" w:rsidRDefault="005C2C19" w:rsidP="005C2C19">
      <w:pPr>
        <w:rPr>
          <w:rFonts w:asciiTheme="minorHAnsi" w:eastAsia="SimSun" w:hAnsiTheme="minorHAnsi" w:cstheme="minorHAnsi"/>
          <w:sz w:val="20"/>
          <w:szCs w:val="20"/>
        </w:rPr>
      </w:pPr>
    </w:p>
    <w:p w14:paraId="0B97F47E" w14:textId="77777777" w:rsidR="005C2C19" w:rsidRPr="005C2C19" w:rsidRDefault="005C2C19" w:rsidP="005C2C19">
      <w:pPr>
        <w:rPr>
          <w:rFonts w:asciiTheme="minorHAnsi" w:eastAsia="SimSun" w:hAnsiTheme="minorHAnsi" w:cstheme="minorHAnsi"/>
          <w:b/>
          <w:bCs/>
          <w:sz w:val="20"/>
          <w:szCs w:val="20"/>
        </w:rPr>
      </w:pPr>
      <w:r w:rsidRPr="005C2C19">
        <w:rPr>
          <w:rFonts w:asciiTheme="minorHAnsi" w:eastAsia="SimSun" w:hAnsiTheme="minorHAnsi" w:cstheme="minorHAnsi"/>
          <w:b/>
          <w:bCs/>
          <w:sz w:val="20"/>
          <w:szCs w:val="20"/>
        </w:rPr>
        <w:t>6. Principios Rectores</w:t>
      </w:r>
    </w:p>
    <w:p w14:paraId="5F8B4E9A" w14:textId="77777777" w:rsidR="005C2C19" w:rsidRPr="005C2C19" w:rsidRDefault="005C2C19" w:rsidP="005C2C19">
      <w:pPr>
        <w:rPr>
          <w:rFonts w:asciiTheme="minorHAnsi" w:eastAsia="SimSun" w:hAnsiTheme="minorHAnsi" w:cstheme="minorHAnsi"/>
          <w:sz w:val="20"/>
          <w:szCs w:val="20"/>
        </w:rPr>
      </w:pPr>
    </w:p>
    <w:p w14:paraId="7E53590F" w14:textId="77777777" w:rsidR="005C2C19" w:rsidRPr="005C2C19" w:rsidRDefault="005C2C19" w:rsidP="005C2C19">
      <w:pPr>
        <w:rPr>
          <w:rFonts w:asciiTheme="minorHAnsi" w:eastAsia="SimSun" w:hAnsiTheme="minorHAnsi" w:cstheme="minorHAnsi"/>
          <w:sz w:val="20"/>
          <w:szCs w:val="20"/>
        </w:rPr>
      </w:pPr>
      <w:r w:rsidRPr="005C2C19">
        <w:rPr>
          <w:rFonts w:asciiTheme="minorHAnsi" w:eastAsia="SimSun" w:hAnsiTheme="minorHAnsi" w:cstheme="minorHAnsi"/>
          <w:sz w:val="20"/>
          <w:szCs w:val="20"/>
        </w:rPr>
        <w:t>Todos los miembros de la UGP, cuyos Términos de Referencia se detallan en el Anexo 7 del ProDoc, deberán:</w:t>
      </w:r>
    </w:p>
    <w:p w14:paraId="5454A3CA" w14:textId="77777777" w:rsidR="005C2C19" w:rsidRPr="005C2C19" w:rsidRDefault="005C2C19" w:rsidP="00EC2CBE">
      <w:pPr>
        <w:pStyle w:val="Prrafodelista"/>
        <w:numPr>
          <w:ilvl w:val="0"/>
          <w:numId w:val="122"/>
        </w:numPr>
        <w:rPr>
          <w:rFonts w:asciiTheme="minorHAnsi" w:eastAsia="SimSun" w:hAnsiTheme="minorHAnsi" w:cstheme="minorHAnsi"/>
          <w:sz w:val="20"/>
          <w:szCs w:val="20"/>
        </w:rPr>
      </w:pPr>
      <w:r w:rsidRPr="005C2C19">
        <w:rPr>
          <w:rFonts w:asciiTheme="minorHAnsi" w:eastAsia="SimSun" w:hAnsiTheme="minorHAnsi" w:cstheme="minorHAnsi"/>
          <w:sz w:val="20"/>
          <w:szCs w:val="20"/>
        </w:rPr>
        <w:t>Actuar bajo los principios de eficiencia, transparencia, ética y rendición de cuentas.</w:t>
      </w:r>
    </w:p>
    <w:p w14:paraId="4E1C4FDA" w14:textId="77777777" w:rsidR="005C2C19" w:rsidRPr="005C2C19" w:rsidRDefault="005C2C19" w:rsidP="00EC2CBE">
      <w:pPr>
        <w:pStyle w:val="Prrafodelista"/>
        <w:numPr>
          <w:ilvl w:val="0"/>
          <w:numId w:val="122"/>
        </w:numPr>
        <w:rPr>
          <w:rFonts w:asciiTheme="minorHAnsi" w:eastAsia="SimSun" w:hAnsiTheme="minorHAnsi" w:cstheme="minorHAnsi"/>
          <w:sz w:val="20"/>
          <w:szCs w:val="20"/>
        </w:rPr>
      </w:pPr>
      <w:r w:rsidRPr="005C2C19">
        <w:rPr>
          <w:rFonts w:asciiTheme="minorHAnsi" w:eastAsia="SimSun" w:hAnsiTheme="minorHAnsi" w:cstheme="minorHAnsi"/>
          <w:sz w:val="20"/>
          <w:szCs w:val="20"/>
        </w:rPr>
        <w:t>Promover enfoques inclusivos, participativos, interculturales y de equidad de género.</w:t>
      </w:r>
    </w:p>
    <w:p w14:paraId="2C7CDE61" w14:textId="2F30455F" w:rsidR="005D7E25" w:rsidRPr="005C2C19" w:rsidRDefault="005C2C19" w:rsidP="00EC2CBE">
      <w:pPr>
        <w:pStyle w:val="Prrafodelista"/>
        <w:numPr>
          <w:ilvl w:val="0"/>
          <w:numId w:val="122"/>
        </w:numPr>
        <w:rPr>
          <w:rFonts w:asciiTheme="minorHAnsi" w:eastAsia="SimSun" w:hAnsiTheme="minorHAnsi" w:cstheme="minorHAnsi"/>
          <w:sz w:val="20"/>
          <w:szCs w:val="20"/>
        </w:rPr>
      </w:pPr>
      <w:r w:rsidRPr="005C2C19">
        <w:rPr>
          <w:rFonts w:asciiTheme="minorHAnsi" w:eastAsia="SimSun" w:hAnsiTheme="minorHAnsi" w:cstheme="minorHAnsi"/>
          <w:sz w:val="20"/>
          <w:szCs w:val="20"/>
        </w:rPr>
        <w:t>Asegurar el cumplimiento de las políticas del PNUD, el GEF y el Gobierno del Ecuador en materia ambiental, social y de derechos humanos.</w:t>
      </w:r>
    </w:p>
    <w:p w14:paraId="27761939" w14:textId="77777777" w:rsidR="0062332E" w:rsidRPr="007E49E0" w:rsidRDefault="0062332E" w:rsidP="00D606DC">
      <w:pPr>
        <w:rPr>
          <w:rFonts w:asciiTheme="minorHAnsi" w:eastAsia="SimSun" w:hAnsiTheme="minorHAnsi" w:cstheme="minorHAnsi"/>
          <w:sz w:val="20"/>
          <w:szCs w:val="20"/>
          <w:lang w:val="es-EC"/>
        </w:rPr>
      </w:pPr>
    </w:p>
    <w:p w14:paraId="195D18B9" w14:textId="77777777" w:rsidR="0006118E" w:rsidRPr="007E49E0" w:rsidRDefault="0006118E" w:rsidP="00D606DC">
      <w:pPr>
        <w:rPr>
          <w:rFonts w:asciiTheme="minorHAnsi" w:eastAsia="SimSun" w:hAnsiTheme="minorHAnsi" w:cstheme="minorHAnsi"/>
          <w:sz w:val="20"/>
          <w:szCs w:val="20"/>
          <w:lang w:val="es-EC"/>
        </w:rPr>
      </w:pPr>
    </w:p>
    <w:p w14:paraId="56A00136" w14:textId="712D3C4A" w:rsidR="008B6F84" w:rsidRPr="007E49E0" w:rsidRDefault="00211737" w:rsidP="008B6F84">
      <w:pPr>
        <w:rPr>
          <w:rFonts w:asciiTheme="minorHAnsi" w:eastAsia="SimSun" w:hAnsiTheme="minorHAnsi" w:cstheme="minorHAnsi"/>
          <w:b/>
          <w:sz w:val="20"/>
          <w:szCs w:val="20"/>
          <w:lang w:val="es-EC"/>
        </w:rPr>
      </w:pPr>
      <w:r w:rsidRPr="007E49E0">
        <w:rPr>
          <w:rFonts w:asciiTheme="minorHAnsi" w:eastAsia="SimSun" w:hAnsiTheme="minorHAnsi" w:cstheme="minorHAnsi"/>
          <w:sz w:val="20"/>
          <w:szCs w:val="20"/>
          <w:lang w:val="es-EC"/>
        </w:rPr>
        <w:br w:type="page"/>
      </w:r>
    </w:p>
    <w:p w14:paraId="40DF6D5D" w14:textId="705FA50C" w:rsidR="00EC5899" w:rsidRPr="00635C07" w:rsidRDefault="00211737" w:rsidP="00125CE3">
      <w:pPr>
        <w:keepNext/>
        <w:spacing w:after="60"/>
        <w:jc w:val="both"/>
        <w:outlineLvl w:val="1"/>
        <w:rPr>
          <w:rFonts w:asciiTheme="minorHAnsi" w:eastAsia="SimSun" w:hAnsiTheme="minorHAnsi" w:cstheme="minorHAnsi"/>
          <w:b/>
          <w:bCs/>
          <w:sz w:val="20"/>
          <w:lang w:val="es-EC"/>
        </w:rPr>
      </w:pPr>
      <w:bookmarkStart w:id="85" w:name="_Toc221696324"/>
      <w:r w:rsidRPr="00125CE3">
        <w:rPr>
          <w:rFonts w:ascii="Calibri" w:eastAsia="SimSun" w:hAnsi="Calibri" w:cs="Calibri"/>
          <w:b/>
          <w:bCs/>
          <w:sz w:val="20"/>
          <w:szCs w:val="20"/>
        </w:rPr>
        <w:lastRenderedPageBreak/>
        <w:t xml:space="preserve">Annex 17: </w:t>
      </w:r>
      <w:r w:rsidR="00A60D5B" w:rsidRPr="00125CE3">
        <w:rPr>
          <w:rFonts w:ascii="Calibri" w:eastAsia="SimSun" w:hAnsi="Calibri" w:cs="Calibri"/>
          <w:b/>
          <w:bCs/>
          <w:sz w:val="20"/>
          <w:szCs w:val="20"/>
        </w:rPr>
        <w:t>Indicadores C</w:t>
      </w:r>
      <w:r w:rsidR="00F3640D" w:rsidRPr="00125CE3">
        <w:rPr>
          <w:rFonts w:ascii="Calibri" w:eastAsia="SimSun" w:hAnsi="Calibri" w:cs="Calibri"/>
          <w:b/>
          <w:bCs/>
          <w:sz w:val="20"/>
          <w:szCs w:val="20"/>
        </w:rPr>
        <w:t xml:space="preserve">ore </w:t>
      </w:r>
      <w:r w:rsidR="00B77D65" w:rsidRPr="00125CE3">
        <w:rPr>
          <w:rFonts w:ascii="Calibri" w:eastAsia="SimSun" w:hAnsi="Calibri" w:cs="Calibri"/>
          <w:b/>
          <w:bCs/>
          <w:sz w:val="20"/>
          <w:szCs w:val="20"/>
        </w:rPr>
        <w:t xml:space="preserve">(IC) </w:t>
      </w:r>
      <w:r w:rsidR="00F3640D" w:rsidRPr="00125CE3">
        <w:rPr>
          <w:rFonts w:ascii="Calibri" w:eastAsia="SimSun" w:hAnsi="Calibri" w:cs="Calibri"/>
          <w:b/>
          <w:bCs/>
          <w:sz w:val="20"/>
          <w:szCs w:val="20"/>
        </w:rPr>
        <w:t>del GEF</w:t>
      </w:r>
      <w:bookmarkEnd w:id="85"/>
      <w:r w:rsidR="00A60D5B" w:rsidRPr="00125CE3">
        <w:rPr>
          <w:rFonts w:ascii="Calibri" w:eastAsia="SimSun" w:hAnsi="Calibri" w:cs="Calibri"/>
          <w:b/>
          <w:bCs/>
          <w:sz w:val="20"/>
          <w:szCs w:val="20"/>
        </w:rPr>
        <w:t xml:space="preserve"> </w:t>
      </w:r>
    </w:p>
    <w:p w14:paraId="127F835E" w14:textId="77777777" w:rsidR="00EC5899" w:rsidRPr="00635C07" w:rsidRDefault="00EC5899" w:rsidP="008B6F84">
      <w:pPr>
        <w:keepNext/>
        <w:tabs>
          <w:tab w:val="left" w:pos="1740"/>
        </w:tabs>
        <w:spacing w:after="60"/>
        <w:jc w:val="both"/>
        <w:outlineLvl w:val="1"/>
        <w:rPr>
          <w:rFonts w:asciiTheme="minorHAnsi" w:eastAsia="SimSun" w:hAnsiTheme="minorHAnsi" w:cstheme="minorHAnsi"/>
          <w:b/>
          <w:bCs/>
          <w:sz w:val="20"/>
          <w:lang w:val="es-EC"/>
        </w:rPr>
      </w:pPr>
    </w:p>
    <w:p w14:paraId="3CBAC01E" w14:textId="77777777" w:rsidR="008B6F84" w:rsidRPr="00635C07" w:rsidRDefault="008B6F84" w:rsidP="008B6F84">
      <w:pPr>
        <w:spacing w:after="60"/>
        <w:jc w:val="both"/>
        <w:rPr>
          <w:rFonts w:asciiTheme="minorHAnsi" w:eastAsia="SimSun" w:hAnsiTheme="minorHAnsi" w:cstheme="minorHAnsi"/>
          <w:b/>
          <w:sz w:val="20"/>
          <w:lang w:val="es-EC"/>
        </w:rPr>
      </w:pPr>
    </w:p>
    <w:p w14:paraId="5062CDCA" w14:textId="77777777" w:rsidR="008B6F84" w:rsidRPr="00635C07" w:rsidRDefault="00211737" w:rsidP="008B6F84">
      <w:pPr>
        <w:keepNext/>
        <w:spacing w:after="60"/>
        <w:jc w:val="both"/>
        <w:outlineLvl w:val="1"/>
        <w:rPr>
          <w:rFonts w:asciiTheme="minorHAnsi" w:eastAsia="SimSun" w:hAnsiTheme="minorHAnsi" w:cstheme="minorHAnsi"/>
          <w:b/>
          <w:bCs/>
          <w:sz w:val="20"/>
          <w:lang w:val="es-EC"/>
        </w:rPr>
        <w:sectPr w:rsidR="008B6F84" w:rsidRPr="00635C07" w:rsidSect="008B6F84">
          <w:pgSz w:w="12240" w:h="15840" w:code="1"/>
          <w:pgMar w:top="720" w:right="720" w:bottom="720" w:left="720" w:header="720" w:footer="720" w:gutter="0"/>
          <w:cols w:space="720"/>
          <w:docGrid w:linePitch="360"/>
        </w:sectPr>
      </w:pPr>
      <w:r w:rsidRPr="00635C07">
        <w:rPr>
          <w:rFonts w:asciiTheme="minorHAnsi" w:eastAsia="SimSun" w:hAnsiTheme="minorHAnsi" w:cstheme="minorHAnsi"/>
          <w:b/>
          <w:bCs/>
          <w:sz w:val="20"/>
          <w:lang w:val="es-EC"/>
        </w:rPr>
        <w:br w:type="page"/>
      </w:r>
    </w:p>
    <w:p w14:paraId="797DAB07" w14:textId="0C7162C5" w:rsidR="008B6F84" w:rsidRPr="00125CE3" w:rsidRDefault="00211737" w:rsidP="008B6F84">
      <w:pPr>
        <w:keepNext/>
        <w:spacing w:after="60"/>
        <w:jc w:val="both"/>
        <w:outlineLvl w:val="1"/>
        <w:rPr>
          <w:rFonts w:ascii="Calibri" w:eastAsia="SimSun" w:hAnsi="Calibri" w:cs="Calibri"/>
          <w:b/>
          <w:bCs/>
          <w:sz w:val="20"/>
          <w:szCs w:val="20"/>
        </w:rPr>
      </w:pPr>
      <w:bookmarkStart w:id="86" w:name="_Toc221696325"/>
      <w:r w:rsidRPr="00125CE3">
        <w:rPr>
          <w:rFonts w:ascii="Calibri" w:eastAsia="SimSun" w:hAnsi="Calibri" w:cs="Calibri"/>
          <w:b/>
          <w:bCs/>
          <w:sz w:val="20"/>
          <w:szCs w:val="20"/>
        </w:rPr>
        <w:lastRenderedPageBreak/>
        <w:t>Anex</w:t>
      </w:r>
      <w:r w:rsidR="00B77D65" w:rsidRPr="00125CE3">
        <w:rPr>
          <w:rFonts w:ascii="Calibri" w:eastAsia="SimSun" w:hAnsi="Calibri" w:cs="Calibri"/>
          <w:b/>
          <w:bCs/>
          <w:sz w:val="20"/>
          <w:szCs w:val="20"/>
        </w:rPr>
        <w:t>o</w:t>
      </w:r>
      <w:r w:rsidRPr="00125CE3">
        <w:rPr>
          <w:rFonts w:ascii="Calibri" w:eastAsia="SimSun" w:hAnsi="Calibri" w:cs="Calibri"/>
          <w:b/>
          <w:bCs/>
          <w:sz w:val="20"/>
          <w:szCs w:val="20"/>
        </w:rPr>
        <w:t xml:space="preserve"> 18: </w:t>
      </w:r>
      <w:r w:rsidR="00B77D65" w:rsidRPr="00125CE3">
        <w:rPr>
          <w:rFonts w:ascii="Calibri" w:eastAsia="SimSun" w:hAnsi="Calibri" w:cs="Calibri"/>
          <w:b/>
          <w:bCs/>
          <w:sz w:val="20"/>
          <w:szCs w:val="20"/>
        </w:rPr>
        <w:t>Taxonomía del GEF</w:t>
      </w:r>
      <w:bookmarkEnd w:id="86"/>
      <w:r w:rsidRPr="00125CE3">
        <w:rPr>
          <w:rFonts w:ascii="Calibri" w:eastAsia="SimSun" w:hAnsi="Calibri" w:cs="Calibri"/>
          <w:b/>
          <w:bCs/>
          <w:sz w:val="20"/>
          <w:szCs w:val="20"/>
        </w:rPr>
        <w:t xml:space="preserve"> </w:t>
      </w:r>
    </w:p>
    <w:p w14:paraId="022AD083" w14:textId="77777777" w:rsidR="0045647A" w:rsidRPr="00635C07" w:rsidRDefault="0045647A" w:rsidP="008B6F84">
      <w:pPr>
        <w:spacing w:after="60"/>
        <w:jc w:val="both"/>
        <w:rPr>
          <w:rFonts w:asciiTheme="minorHAnsi" w:eastAsia="SimSun" w:hAnsiTheme="minorHAnsi" w:cstheme="minorHAnsi"/>
          <w:color w:val="000000"/>
          <w:sz w:val="20"/>
          <w:lang w:val="en-US"/>
        </w:rPr>
      </w:pPr>
    </w:p>
    <w:tbl>
      <w:tblPr>
        <w:tblW w:w="5000" w:type="pct"/>
        <w:tblCellMar>
          <w:left w:w="10" w:type="dxa"/>
          <w:right w:w="10" w:type="dxa"/>
        </w:tblCellMar>
        <w:tblLook w:val="04A0" w:firstRow="1" w:lastRow="0" w:firstColumn="1" w:lastColumn="0" w:noHBand="0" w:noVBand="1"/>
      </w:tblPr>
      <w:tblGrid>
        <w:gridCol w:w="2234"/>
        <w:gridCol w:w="3296"/>
        <w:gridCol w:w="2551"/>
        <w:gridCol w:w="2719"/>
      </w:tblGrid>
      <w:tr w:rsidR="008B6F84" w:rsidRPr="00A51E75" w14:paraId="4A5B73F3" w14:textId="77777777" w:rsidTr="4FBD6713">
        <w:trPr>
          <w:trHeight w:val="68"/>
        </w:trPr>
        <w:tc>
          <w:tcPr>
            <w:tcW w:w="1034" w:type="pct"/>
            <w:tcBorders>
              <w:top w:val="nil"/>
              <w:left w:val="nil"/>
              <w:bottom w:val="single" w:sz="12" w:space="0" w:color="4472C4" w:themeColor="accent1"/>
              <w:right w:val="nil"/>
            </w:tcBorders>
            <w:hideMark/>
          </w:tcPr>
          <w:p w14:paraId="4163F94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Level 1</w:t>
            </w:r>
          </w:p>
        </w:tc>
        <w:tc>
          <w:tcPr>
            <w:tcW w:w="1526" w:type="pct"/>
            <w:tcBorders>
              <w:top w:val="nil"/>
              <w:left w:val="nil"/>
              <w:bottom w:val="single" w:sz="12" w:space="0" w:color="4472C4" w:themeColor="accent1"/>
              <w:right w:val="nil"/>
            </w:tcBorders>
            <w:hideMark/>
          </w:tcPr>
          <w:p w14:paraId="335E3F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Level 2</w:t>
            </w:r>
          </w:p>
        </w:tc>
        <w:tc>
          <w:tcPr>
            <w:tcW w:w="1181" w:type="pct"/>
            <w:tcBorders>
              <w:top w:val="nil"/>
              <w:left w:val="nil"/>
              <w:bottom w:val="single" w:sz="12" w:space="0" w:color="4472C4" w:themeColor="accent1"/>
              <w:right w:val="nil"/>
            </w:tcBorders>
            <w:hideMark/>
          </w:tcPr>
          <w:p w14:paraId="41B617B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Level 3</w:t>
            </w:r>
          </w:p>
        </w:tc>
        <w:tc>
          <w:tcPr>
            <w:tcW w:w="1259" w:type="pct"/>
            <w:tcBorders>
              <w:top w:val="nil"/>
              <w:left w:val="nil"/>
              <w:bottom w:val="single" w:sz="12" w:space="0" w:color="4472C4" w:themeColor="accent1"/>
              <w:right w:val="nil"/>
            </w:tcBorders>
            <w:hideMark/>
          </w:tcPr>
          <w:p w14:paraId="01B9A77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Level 4</w:t>
            </w:r>
          </w:p>
        </w:tc>
      </w:tr>
      <w:tr w:rsidR="008B6F84" w:rsidRPr="00A51E75" w14:paraId="3AACD3E5" w14:textId="77777777" w:rsidTr="4FBD6713">
        <w:trPr>
          <w:trHeight w:val="51"/>
        </w:trPr>
        <w:tc>
          <w:tcPr>
            <w:tcW w:w="1034" w:type="pct"/>
            <w:tcBorders>
              <w:top w:val="single" w:sz="4" w:space="0" w:color="auto"/>
              <w:left w:val="single" w:sz="4" w:space="0" w:color="auto"/>
              <w:bottom w:val="single" w:sz="4" w:space="0" w:color="auto"/>
              <w:right w:val="single" w:sz="4" w:space="0" w:color="auto"/>
            </w:tcBorders>
            <w:hideMark/>
          </w:tcPr>
          <w:p w14:paraId="317C0FB1" w14:textId="5D090DA1" w:rsidR="008B6F84" w:rsidRPr="00A51E75" w:rsidRDefault="0045647A" w:rsidP="50428D8E">
            <w:pPr>
              <w:jc w:val="both"/>
              <w:rPr>
                <w:rFonts w:asciiTheme="minorHAnsi" w:hAnsiTheme="minorHAnsi" w:cstheme="minorBidi"/>
                <w:b/>
                <w:bCs/>
                <w:color w:val="000000"/>
                <w:sz w:val="16"/>
                <w:szCs w:val="16"/>
                <w:lang w:val="en-GB"/>
              </w:rPr>
            </w:pPr>
            <w:r w:rsidRPr="00A51E75">
              <w:rPr>
                <w:rFonts w:asciiTheme="minorHAnsi" w:eastAsia="SimSun" w:hAnsiTheme="minorHAnsi" w:cstheme="minorBidi"/>
                <w:color w:val="000000"/>
                <w:sz w:val="16"/>
                <w:szCs w:val="16"/>
                <w:shd w:val="clear" w:color="auto" w:fill="E6E6E6"/>
                <w:lang w:val="en-GB"/>
              </w:rPr>
              <w:fldChar w:fldCharType="begin">
                <w:fldData xml:space="preserve">/////2UEAAAUAAoASQBBAFAAXwBjAGkAdABpAGUAcwAAAAEAAAAAAAAAAAAAAAAAAAAAAAAAAAA=
</w:fldData>
              </w:fldChar>
            </w:r>
            <w:bookmarkStart w:id="87" w:name="IAP_cities"/>
            <w:r w:rsidR="7940F5A2" w:rsidRPr="00A51E75">
              <w:rPr>
                <w:rFonts w:asciiTheme="minorHAnsi" w:hAnsiTheme="minorHAnsi" w:cstheme="minorBidi"/>
                <w:b/>
                <w:bCs/>
                <w:color w:val="000000" w:themeColor="text1"/>
                <w:sz w:val="16"/>
                <w:szCs w:val="16"/>
                <w:lang w:val="en-GB"/>
              </w:rPr>
              <w:instrText xml:space="preserve">X </w:instrText>
            </w:r>
            <w:r w:rsidRPr="00A51E75">
              <w:rPr>
                <w:rFonts w:asciiTheme="minorHAnsi" w:hAnsiTheme="minorHAnsi" w:cstheme="minorBidi"/>
                <w:b/>
                <w:bCs/>
                <w:color w:val="000000" w:themeColor="text1"/>
                <w:sz w:val="16"/>
                <w:szCs w:val="16"/>
                <w:lang w:val="en-GB"/>
              </w:rPr>
              <w:instrText xml:space="preserve"> </w:instrText>
            </w:r>
            <w:r w:rsidRPr="00A51E75">
              <w:rPr>
                <w:rFonts w:asciiTheme="minorHAnsi" w:eastAsia="SimSun" w:hAnsiTheme="minorHAnsi" w:cstheme="minorBidi"/>
                <w:color w:val="000000"/>
                <w:sz w:val="16"/>
                <w:szCs w:val="16"/>
                <w:shd w:val="clear" w:color="auto" w:fill="E6E6E6"/>
                <w:lang w:val="en-GB"/>
              </w:rPr>
              <w:instrText xml:space="preserve"> FORMCHECKBOX </w:instrText>
            </w:r>
            <w:r w:rsidRPr="00A51E75">
              <w:rPr>
                <w:rFonts w:asciiTheme="minorHAnsi" w:eastAsia="SimSun" w:hAnsiTheme="minorHAnsi" w:cstheme="minorBidi"/>
                <w:color w:val="000000"/>
                <w:sz w:val="16"/>
                <w:szCs w:val="16"/>
                <w:shd w:val="clear" w:color="auto" w:fill="E6E6E6"/>
                <w:lang w:val="en-GB"/>
              </w:rPr>
            </w:r>
            <w:r w:rsidRPr="00A51E75">
              <w:rPr>
                <w:rFonts w:asciiTheme="minorHAnsi" w:eastAsia="SimSun" w:hAnsiTheme="minorHAnsi" w:cstheme="minorBidi"/>
                <w:color w:val="000000"/>
                <w:sz w:val="16"/>
                <w:szCs w:val="16"/>
                <w:shd w:val="clear" w:color="auto" w:fill="E6E6E6"/>
                <w:lang w:val="en-GB"/>
              </w:rPr>
              <w:fldChar w:fldCharType="separate"/>
            </w:r>
            <w:r w:rsidRPr="00A51E75">
              <w:rPr>
                <w:rFonts w:asciiTheme="minorHAnsi" w:eastAsia="SimSun" w:hAnsiTheme="minorHAnsi" w:cstheme="minorBidi"/>
                <w:color w:val="000000"/>
                <w:sz w:val="16"/>
                <w:szCs w:val="16"/>
                <w:shd w:val="clear" w:color="auto" w:fill="E6E6E6"/>
                <w:lang w:val="en-GB"/>
              </w:rPr>
              <w:fldChar w:fldCharType="end"/>
            </w:r>
            <w:bookmarkEnd w:id="87"/>
            <w:r w:rsidR="00211737" w:rsidRPr="00A51E75">
              <w:rPr>
                <w:rFonts w:asciiTheme="minorHAnsi" w:hAnsiTheme="minorHAnsi" w:cstheme="minorBidi"/>
                <w:b/>
                <w:bCs/>
                <w:color w:val="000000"/>
                <w:sz w:val="16"/>
                <w:szCs w:val="16"/>
                <w:lang w:val="en-GB"/>
              </w:rPr>
              <w:t>Influencing models</w:t>
            </w:r>
          </w:p>
        </w:tc>
        <w:tc>
          <w:tcPr>
            <w:tcW w:w="1526" w:type="pct"/>
            <w:tcBorders>
              <w:top w:val="nil"/>
              <w:left w:val="nil"/>
              <w:bottom w:val="nil"/>
              <w:right w:val="nil"/>
            </w:tcBorders>
            <w:noWrap/>
            <w:vAlign w:val="bottom"/>
            <w:hideMark/>
          </w:tcPr>
          <w:p w14:paraId="7F72BEA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hideMark/>
          </w:tcPr>
          <w:p w14:paraId="700A210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4FA2FC1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45647A" w:rsidRPr="00A51E75" w14:paraId="0355E253" w14:textId="77777777" w:rsidTr="4FBD6713">
        <w:trPr>
          <w:trHeight w:val="233"/>
        </w:trPr>
        <w:tc>
          <w:tcPr>
            <w:tcW w:w="1034" w:type="pct"/>
            <w:tcBorders>
              <w:top w:val="nil"/>
              <w:left w:val="single" w:sz="4" w:space="0" w:color="auto"/>
              <w:bottom w:val="single" w:sz="4" w:space="0" w:color="auto"/>
              <w:right w:val="single" w:sz="4" w:space="0" w:color="auto"/>
            </w:tcBorders>
            <w:hideMark/>
          </w:tcPr>
          <w:p w14:paraId="1349C91E" w14:textId="77777777" w:rsidR="0045647A" w:rsidRPr="00A51E75" w:rsidRDefault="0045647A" w:rsidP="0045647A">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hideMark/>
          </w:tcPr>
          <w:p w14:paraId="10B53DF9" w14:textId="408F1D85" w:rsidR="0045647A" w:rsidRPr="00A51E75" w:rsidRDefault="0045647A" w:rsidP="0045647A">
            <w:pPr>
              <w:ind w:left="204" w:hanging="20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hideMark/>
          </w:tcPr>
          <w:p w14:paraId="1417242B" w14:textId="64E4D302" w:rsidR="0045647A" w:rsidRPr="00A51E75" w:rsidRDefault="0045647A" w:rsidP="0045647A">
            <w:pPr>
              <w:jc w:val="both"/>
              <w:rPr>
                <w:rFonts w:asciiTheme="minorHAnsi" w:hAnsiTheme="minorHAnsi" w:cstheme="minorHAnsi"/>
                <w:i/>
                <w:color w:val="000000"/>
                <w:sz w:val="16"/>
                <w:szCs w:val="16"/>
                <w:lang w:val="en-GB"/>
              </w:rPr>
            </w:pPr>
            <w:r w:rsidRPr="00A51E75">
              <w:rPr>
                <w:rFonts w:asciiTheme="minorHAnsi" w:eastAsia="SimSun" w:hAnsiTheme="minorHAnsi" w:cstheme="minorHAnsi"/>
                <w:i/>
                <w:sz w:val="16"/>
                <w:szCs w:val="16"/>
                <w:lang w:val="en-US"/>
              </w:rPr>
              <w:t xml:space="preserve"> </w:t>
            </w:r>
            <w:proofErr w:type="spellStart"/>
            <w:r w:rsidR="00423FD4" w:rsidRPr="00A51E75">
              <w:rPr>
                <w:rFonts w:asciiTheme="minorHAnsi" w:eastAsia="SimSun" w:hAnsiTheme="minorHAnsi" w:cstheme="minorHAnsi"/>
                <w:i/>
                <w:sz w:val="16"/>
                <w:szCs w:val="16"/>
              </w:rPr>
              <w:t>Multilevel</w:t>
            </w:r>
            <w:proofErr w:type="spellEnd"/>
            <w:r w:rsidR="00423FD4" w:rsidRPr="00A51E75">
              <w:rPr>
                <w:rFonts w:asciiTheme="minorHAnsi" w:eastAsia="SimSun" w:hAnsiTheme="minorHAnsi" w:cstheme="minorHAnsi"/>
                <w:i/>
                <w:sz w:val="16"/>
                <w:szCs w:val="16"/>
              </w:rPr>
              <w:t xml:space="preserve"> territorial </w:t>
            </w:r>
            <w:proofErr w:type="spellStart"/>
            <w:r w:rsidR="00423FD4" w:rsidRPr="00A51E75">
              <w:rPr>
                <w:rFonts w:asciiTheme="minorHAnsi" w:eastAsia="SimSun" w:hAnsiTheme="minorHAnsi" w:cstheme="minorHAnsi"/>
                <w:i/>
                <w:sz w:val="16"/>
                <w:szCs w:val="16"/>
              </w:rPr>
              <w:t>governance</w:t>
            </w:r>
            <w:proofErr w:type="spellEnd"/>
          </w:p>
        </w:tc>
        <w:tc>
          <w:tcPr>
            <w:tcW w:w="1259" w:type="pct"/>
            <w:tcBorders>
              <w:top w:val="nil"/>
              <w:left w:val="nil"/>
              <w:bottom w:val="single" w:sz="4" w:space="0" w:color="auto"/>
              <w:right w:val="single" w:sz="4" w:space="0" w:color="auto"/>
            </w:tcBorders>
            <w:hideMark/>
          </w:tcPr>
          <w:p w14:paraId="56D34DA0" w14:textId="397FF0EF" w:rsidR="0045647A" w:rsidRPr="00A51E75" w:rsidRDefault="00423FD4" w:rsidP="0045647A">
            <w:pPr>
              <w:jc w:val="both"/>
              <w:rPr>
                <w:rFonts w:asciiTheme="minorHAnsi" w:hAnsiTheme="minorHAnsi" w:cstheme="minorHAnsi"/>
                <w:i/>
                <w:color w:val="000000"/>
                <w:sz w:val="16"/>
                <w:szCs w:val="16"/>
                <w:lang w:val="en-GB"/>
              </w:rPr>
            </w:pPr>
            <w:proofErr w:type="spellStart"/>
            <w:r w:rsidRPr="00A51E75">
              <w:rPr>
                <w:rFonts w:asciiTheme="minorHAnsi" w:eastAsia="SimSun" w:hAnsiTheme="minorHAnsi" w:cstheme="minorHAnsi"/>
                <w:i/>
                <w:sz w:val="16"/>
                <w:szCs w:val="16"/>
              </w:rPr>
              <w:t>Multilevel</w:t>
            </w:r>
            <w:proofErr w:type="spellEnd"/>
            <w:r w:rsidRPr="00A51E75">
              <w:rPr>
                <w:rFonts w:asciiTheme="minorHAnsi" w:eastAsia="SimSun" w:hAnsiTheme="minorHAnsi" w:cstheme="minorHAnsi"/>
                <w:i/>
                <w:sz w:val="16"/>
                <w:szCs w:val="16"/>
              </w:rPr>
              <w:t xml:space="preserve"> policies</w:t>
            </w:r>
          </w:p>
        </w:tc>
      </w:tr>
      <w:tr w:rsidR="008B6F84" w:rsidRPr="0063505D" w14:paraId="170A9603" w14:textId="77777777" w:rsidTr="4FBD6713">
        <w:trPr>
          <w:trHeight w:val="386"/>
        </w:trPr>
        <w:tc>
          <w:tcPr>
            <w:tcW w:w="1034" w:type="pct"/>
            <w:tcBorders>
              <w:top w:val="nil"/>
              <w:left w:val="single" w:sz="4" w:space="0" w:color="auto"/>
              <w:bottom w:val="single" w:sz="4" w:space="0" w:color="auto"/>
              <w:right w:val="single" w:sz="4" w:space="0" w:color="auto"/>
            </w:tcBorders>
            <w:hideMark/>
          </w:tcPr>
          <w:p w14:paraId="10D82C8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31B8A5" w14:textId="7C4AC84D" w:rsidR="008B6F84" w:rsidRPr="00A51E75" w:rsidRDefault="00423FD4" w:rsidP="008B6F84">
            <w:pPr>
              <w:ind w:left="204" w:hanging="20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hideMark/>
          </w:tcPr>
          <w:p w14:paraId="1E857E3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hideMark/>
          </w:tcPr>
          <w:p w14:paraId="0247C98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08B91626" w14:textId="77777777" w:rsidTr="4FBD6713">
        <w:trPr>
          <w:trHeight w:val="89"/>
        </w:trPr>
        <w:tc>
          <w:tcPr>
            <w:tcW w:w="1034" w:type="pct"/>
            <w:tcBorders>
              <w:top w:val="nil"/>
              <w:left w:val="single" w:sz="4" w:space="0" w:color="auto"/>
              <w:bottom w:val="single" w:sz="4" w:space="0" w:color="auto"/>
              <w:right w:val="single" w:sz="4" w:space="0" w:color="auto"/>
            </w:tcBorders>
            <w:hideMark/>
          </w:tcPr>
          <w:p w14:paraId="0C29A86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52DD0C2" w14:textId="77777777" w:rsidR="008B6F84" w:rsidRPr="00A51E75" w:rsidRDefault="00211737" w:rsidP="008B6F84">
            <w:pPr>
              <w:ind w:left="204" w:hanging="20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hideMark/>
          </w:tcPr>
          <w:p w14:paraId="39AE607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71B6B13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r>
      <w:tr w:rsidR="0045647A" w:rsidRPr="00A51E75" w14:paraId="02F6EF07" w14:textId="77777777" w:rsidTr="4FBD6713">
        <w:trPr>
          <w:trHeight w:val="323"/>
        </w:trPr>
        <w:tc>
          <w:tcPr>
            <w:tcW w:w="1034" w:type="pct"/>
            <w:tcBorders>
              <w:top w:val="nil"/>
              <w:left w:val="single" w:sz="4" w:space="0" w:color="auto"/>
              <w:bottom w:val="single" w:sz="4" w:space="0" w:color="auto"/>
              <w:right w:val="single" w:sz="4" w:space="0" w:color="auto"/>
            </w:tcBorders>
            <w:hideMark/>
          </w:tcPr>
          <w:p w14:paraId="3F9365D4" w14:textId="77777777" w:rsidR="0045647A" w:rsidRPr="00A51E75" w:rsidRDefault="0045647A" w:rsidP="0045647A">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B64E6F" w14:textId="195A483D" w:rsidR="0045647A" w:rsidRPr="00A51E75" w:rsidRDefault="0045647A" w:rsidP="0045647A">
            <w:pPr>
              <w:ind w:left="114" w:hanging="11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hideMark/>
          </w:tcPr>
          <w:p w14:paraId="30EBB8B0" w14:textId="5BF33D1D" w:rsidR="0045647A" w:rsidRPr="00A51E75" w:rsidRDefault="0045647A" w:rsidP="006E4DDA">
            <w:pPr>
              <w:rPr>
                <w:rFonts w:asciiTheme="minorHAnsi" w:hAnsiTheme="minorHAnsi" w:cstheme="minorHAnsi"/>
                <w:i/>
                <w:color w:val="000000"/>
                <w:sz w:val="16"/>
                <w:szCs w:val="16"/>
              </w:rPr>
            </w:pPr>
            <w:r w:rsidRPr="00A51E75">
              <w:rPr>
                <w:rFonts w:asciiTheme="minorHAnsi" w:eastAsia="SimSun" w:hAnsiTheme="minorHAnsi" w:cstheme="minorHAnsi"/>
                <w:i/>
                <w:sz w:val="16"/>
                <w:szCs w:val="16"/>
              </w:rPr>
              <w:t xml:space="preserve"> </w:t>
            </w:r>
            <w:proofErr w:type="spellStart"/>
            <w:r w:rsidR="00423FD4" w:rsidRPr="00A51E75">
              <w:rPr>
                <w:rFonts w:asciiTheme="minorHAnsi" w:eastAsia="SimSun" w:hAnsiTheme="minorHAnsi" w:cstheme="minorHAnsi"/>
                <w:i/>
                <w:sz w:val="16"/>
                <w:szCs w:val="16"/>
              </w:rPr>
              <w:t>Gender</w:t>
            </w:r>
            <w:proofErr w:type="spellEnd"/>
            <w:r w:rsidR="00423FD4" w:rsidRPr="00A51E75">
              <w:rPr>
                <w:rFonts w:asciiTheme="minorHAnsi" w:eastAsia="SimSun" w:hAnsiTheme="minorHAnsi" w:cstheme="minorHAnsi"/>
                <w:i/>
                <w:sz w:val="16"/>
                <w:szCs w:val="16"/>
              </w:rPr>
              <w:t xml:space="preserve">-responsive </w:t>
            </w:r>
            <w:proofErr w:type="spellStart"/>
            <w:r w:rsidR="00423FD4" w:rsidRPr="00A51E75">
              <w:rPr>
                <w:rFonts w:asciiTheme="minorHAnsi" w:eastAsia="SimSun" w:hAnsiTheme="minorHAnsi" w:cstheme="minorHAnsi"/>
                <w:i/>
                <w:sz w:val="16"/>
                <w:szCs w:val="16"/>
              </w:rPr>
              <w:t>financial</w:t>
            </w:r>
            <w:proofErr w:type="spellEnd"/>
            <w:r w:rsidR="00423FD4" w:rsidRPr="00A51E75">
              <w:rPr>
                <w:rFonts w:asciiTheme="minorHAnsi" w:eastAsia="SimSun" w:hAnsiTheme="minorHAnsi" w:cstheme="minorHAnsi"/>
                <w:i/>
                <w:sz w:val="16"/>
                <w:szCs w:val="16"/>
              </w:rPr>
              <w:t xml:space="preserve"> </w:t>
            </w:r>
            <w:proofErr w:type="spellStart"/>
            <w:r w:rsidR="00423FD4" w:rsidRPr="00A51E75">
              <w:rPr>
                <w:rFonts w:asciiTheme="minorHAnsi" w:eastAsia="SimSun" w:hAnsiTheme="minorHAnsi" w:cstheme="minorHAnsi"/>
                <w:i/>
                <w:sz w:val="16"/>
                <w:szCs w:val="16"/>
              </w:rPr>
              <w:t>mechanisms</w:t>
            </w:r>
            <w:proofErr w:type="spellEnd"/>
          </w:p>
        </w:tc>
        <w:tc>
          <w:tcPr>
            <w:tcW w:w="1259" w:type="pct"/>
            <w:tcBorders>
              <w:top w:val="nil"/>
              <w:left w:val="nil"/>
              <w:bottom w:val="single" w:sz="4" w:space="0" w:color="auto"/>
              <w:right w:val="single" w:sz="4" w:space="0" w:color="auto"/>
            </w:tcBorders>
            <w:hideMark/>
          </w:tcPr>
          <w:p w14:paraId="5E1912E6" w14:textId="1D7C6737" w:rsidR="0045647A" w:rsidRPr="00A51E75" w:rsidRDefault="0045647A" w:rsidP="0045647A">
            <w:pPr>
              <w:jc w:val="both"/>
              <w:rPr>
                <w:rFonts w:asciiTheme="minorHAnsi" w:hAnsiTheme="minorHAnsi" w:cstheme="minorHAnsi"/>
                <w:i/>
                <w:color w:val="000000"/>
                <w:sz w:val="16"/>
                <w:szCs w:val="16"/>
                <w:lang w:val="en-GB"/>
              </w:rPr>
            </w:pPr>
            <w:r w:rsidRPr="00A51E75">
              <w:rPr>
                <w:rFonts w:asciiTheme="minorHAnsi" w:eastAsia="SimSun" w:hAnsiTheme="minorHAnsi" w:cstheme="minorHAnsi"/>
                <w:i/>
                <w:sz w:val="16"/>
                <w:szCs w:val="16"/>
              </w:rPr>
              <w:t xml:space="preserve"> </w:t>
            </w:r>
            <w:r w:rsidR="00747433" w:rsidRPr="00A51E75">
              <w:rPr>
                <w:rFonts w:asciiTheme="minorHAnsi" w:eastAsia="SimSun" w:hAnsiTheme="minorHAnsi" w:cstheme="minorHAnsi"/>
                <w:i/>
                <w:sz w:val="16"/>
                <w:szCs w:val="16"/>
              </w:rPr>
              <w:t xml:space="preserve">Transformative </w:t>
            </w:r>
            <w:proofErr w:type="spellStart"/>
            <w:r w:rsidR="00747433" w:rsidRPr="00A51E75">
              <w:rPr>
                <w:rFonts w:asciiTheme="minorHAnsi" w:eastAsia="SimSun" w:hAnsiTheme="minorHAnsi" w:cstheme="minorHAnsi"/>
                <w:i/>
                <w:sz w:val="16"/>
                <w:szCs w:val="16"/>
              </w:rPr>
              <w:t>financing</w:t>
            </w:r>
            <w:proofErr w:type="spellEnd"/>
          </w:p>
        </w:tc>
      </w:tr>
      <w:tr w:rsidR="008B6F84" w:rsidRPr="00A51E75" w14:paraId="7FC5934C" w14:textId="77777777" w:rsidTr="4FBD6713">
        <w:trPr>
          <w:trHeight w:val="305"/>
        </w:trPr>
        <w:tc>
          <w:tcPr>
            <w:tcW w:w="1034" w:type="pct"/>
            <w:tcBorders>
              <w:top w:val="nil"/>
              <w:left w:val="single" w:sz="4" w:space="0" w:color="auto"/>
              <w:bottom w:val="single" w:sz="4" w:space="0" w:color="auto"/>
              <w:right w:val="single" w:sz="4" w:space="0" w:color="auto"/>
            </w:tcBorders>
            <w:hideMark/>
          </w:tcPr>
          <w:p w14:paraId="563CA1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F0BBF87" w14:textId="48906F1D" w:rsidR="008B6F84" w:rsidRPr="00A51E75" w:rsidRDefault="00423FD4" w:rsidP="008B6F84">
            <w:pPr>
              <w:ind w:left="114" w:hanging="11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hideMark/>
          </w:tcPr>
          <w:p w14:paraId="30BF98B4"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c>
          <w:tcPr>
            <w:tcW w:w="1259" w:type="pct"/>
            <w:tcBorders>
              <w:top w:val="nil"/>
              <w:left w:val="nil"/>
              <w:bottom w:val="single" w:sz="4" w:space="0" w:color="auto"/>
              <w:right w:val="single" w:sz="4" w:space="0" w:color="auto"/>
            </w:tcBorders>
            <w:hideMark/>
          </w:tcPr>
          <w:p w14:paraId="4151F234"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7DDC6D5C" w14:textId="77777777" w:rsidTr="4FBD6713">
        <w:trPr>
          <w:trHeight w:val="188"/>
        </w:trPr>
        <w:tc>
          <w:tcPr>
            <w:tcW w:w="1034" w:type="pct"/>
            <w:tcBorders>
              <w:top w:val="nil"/>
              <w:left w:val="single" w:sz="4" w:space="0" w:color="auto"/>
              <w:bottom w:val="single" w:sz="4" w:space="0" w:color="auto"/>
              <w:right w:val="single" w:sz="4" w:space="0" w:color="auto"/>
            </w:tcBorders>
            <w:hideMark/>
          </w:tcPr>
          <w:p w14:paraId="59B0C5B7" w14:textId="6D163D23" w:rsidR="008B6F84" w:rsidRPr="00A51E75" w:rsidRDefault="0036454B" w:rsidP="4FBD6713">
            <w:pPr>
              <w:jc w:val="both"/>
              <w:rPr>
                <w:rFonts w:asciiTheme="minorHAnsi" w:hAnsiTheme="minorHAnsi" w:cstheme="minorBidi"/>
                <w:b/>
                <w:bCs/>
                <w:color w:val="000000"/>
                <w:sz w:val="16"/>
                <w:szCs w:val="16"/>
                <w:lang w:val="en-GB"/>
              </w:rPr>
            </w:pPr>
            <w:r w:rsidRPr="00A51E75">
              <w:rPr>
                <w:rFonts w:asciiTheme="minorHAnsi" w:hAnsiTheme="minorHAnsi" w:cstheme="minorBidi"/>
                <w:b/>
                <w:bCs/>
                <w:color w:val="000000" w:themeColor="text1"/>
                <w:sz w:val="16"/>
                <w:szCs w:val="16"/>
                <w:lang w:val="en-GB"/>
              </w:rPr>
              <w:t xml:space="preserve"> </w:t>
            </w:r>
            <w:r w:rsidRPr="00A51E75">
              <w:rPr>
                <w:rFonts w:asciiTheme="minorHAnsi" w:eastAsia="SimSun" w:hAnsiTheme="minorHAnsi" w:cstheme="minorBidi"/>
                <w:color w:val="000000" w:themeColor="text1"/>
                <w:sz w:val="16"/>
                <w:szCs w:val="16"/>
                <w:lang w:val="en-GB"/>
              </w:rPr>
              <w:fldChar w:fldCharType="begin"/>
            </w:r>
            <w:r w:rsidRPr="00A51E75">
              <w:rPr>
                <w:rFonts w:asciiTheme="minorHAnsi" w:eastAsia="SimSun" w:hAnsiTheme="minorHAnsi" w:cstheme="minorBidi"/>
                <w:color w:val="000000" w:themeColor="text1"/>
                <w:sz w:val="16"/>
                <w:szCs w:val="16"/>
                <w:lang w:val="en-GB"/>
              </w:rPr>
              <w:instrText xml:space="preserve"> FORMCHECKBOX </w:instrText>
            </w:r>
            <w:r w:rsidRPr="00A51E75">
              <w:rPr>
                <w:rFonts w:asciiTheme="minorHAnsi" w:eastAsia="SimSun" w:hAnsiTheme="minorHAnsi" w:cstheme="minorBidi"/>
                <w:color w:val="000000" w:themeColor="text1"/>
                <w:sz w:val="16"/>
                <w:szCs w:val="16"/>
                <w:lang w:val="en-GB"/>
              </w:rPr>
              <w:fldChar w:fldCharType="separate"/>
            </w:r>
            <w:r w:rsidRPr="00A51E75">
              <w:rPr>
                <w:rFonts w:asciiTheme="minorHAnsi" w:eastAsia="SimSun" w:hAnsiTheme="minorHAnsi" w:cstheme="minorBidi"/>
                <w:color w:val="000000" w:themeColor="text1"/>
                <w:sz w:val="16"/>
                <w:szCs w:val="16"/>
                <w:lang w:val="en-GB"/>
              </w:rPr>
              <w:fldChar w:fldCharType="end"/>
            </w:r>
            <w:r w:rsidR="176F1951" w:rsidRPr="00A51E75">
              <w:rPr>
                <w:rFonts w:asciiTheme="minorHAnsi" w:hAnsiTheme="minorHAnsi" w:cstheme="minorBidi"/>
                <w:b/>
                <w:bCs/>
                <w:color w:val="000000" w:themeColor="text1"/>
                <w:sz w:val="16"/>
                <w:szCs w:val="16"/>
                <w:lang w:val="en-GB"/>
              </w:rPr>
              <w:t xml:space="preserve"> </w:t>
            </w:r>
            <w:r w:rsidR="0045647A" w:rsidRPr="00A51E75">
              <w:rPr>
                <w:rFonts w:asciiTheme="minorHAnsi" w:eastAsia="SimSun" w:hAnsiTheme="minorHAnsi" w:cstheme="minorBidi"/>
                <w:color w:val="000000"/>
                <w:sz w:val="16"/>
                <w:szCs w:val="16"/>
                <w:shd w:val="clear" w:color="auto" w:fill="E6E6E6"/>
                <w:lang w:val="en-GB"/>
              </w:rPr>
              <w:fldChar w:fldCharType="begin">
                <w:ffData>
                  <w:name w:val=""/>
                  <w:enabled/>
                  <w:calcOnExit w:val="0"/>
                  <w:checkBox>
                    <w:sizeAuto/>
                    <w:default w:val="1"/>
                  </w:checkBox>
                </w:ffData>
              </w:fldChar>
            </w:r>
            <w:r w:rsidR="0045647A" w:rsidRPr="00A51E75">
              <w:rPr>
                <w:rFonts w:asciiTheme="minorHAnsi" w:eastAsia="SimSun" w:hAnsiTheme="minorHAnsi" w:cstheme="minorBidi"/>
                <w:color w:val="000000"/>
                <w:sz w:val="16"/>
                <w:szCs w:val="16"/>
                <w:shd w:val="clear" w:color="auto" w:fill="E6E6E6"/>
                <w:lang w:val="en-GB"/>
              </w:rPr>
              <w:instrText xml:space="preserve"> FORMCHECKBOX </w:instrText>
            </w:r>
            <w:r w:rsidR="0045647A" w:rsidRPr="00A51E75">
              <w:rPr>
                <w:rFonts w:asciiTheme="minorHAnsi" w:eastAsia="SimSun" w:hAnsiTheme="minorHAnsi" w:cstheme="minorBidi"/>
                <w:color w:val="000000"/>
                <w:sz w:val="16"/>
                <w:szCs w:val="16"/>
                <w:shd w:val="clear" w:color="auto" w:fill="E6E6E6"/>
                <w:lang w:val="en-GB"/>
              </w:rPr>
            </w:r>
            <w:r w:rsidR="0045647A" w:rsidRPr="00A51E75">
              <w:rPr>
                <w:rFonts w:asciiTheme="minorHAnsi" w:eastAsia="SimSun" w:hAnsiTheme="minorHAnsi" w:cstheme="minorBidi"/>
                <w:color w:val="000000"/>
                <w:sz w:val="16"/>
                <w:szCs w:val="16"/>
                <w:shd w:val="clear" w:color="auto" w:fill="E6E6E6"/>
                <w:lang w:val="en-GB"/>
              </w:rPr>
              <w:fldChar w:fldCharType="separate"/>
            </w:r>
            <w:r w:rsidR="0045647A" w:rsidRPr="00A51E75">
              <w:rPr>
                <w:rFonts w:asciiTheme="minorHAnsi" w:eastAsia="SimSun" w:hAnsiTheme="minorHAnsi" w:cstheme="minorBidi"/>
                <w:color w:val="000000"/>
                <w:sz w:val="16"/>
                <w:szCs w:val="16"/>
                <w:shd w:val="clear" w:color="auto" w:fill="E6E6E6"/>
                <w:lang w:val="en-GB"/>
              </w:rPr>
              <w:fldChar w:fldCharType="end"/>
            </w:r>
            <w:r w:rsidR="00211737" w:rsidRPr="00A51E75">
              <w:rPr>
                <w:rFonts w:asciiTheme="minorHAnsi" w:hAnsiTheme="minorHAnsi" w:cstheme="minorBidi"/>
                <w:b/>
                <w:bCs/>
                <w:color w:val="000000"/>
                <w:sz w:val="16"/>
                <w:szCs w:val="16"/>
                <w:lang w:val="en-GB"/>
              </w:rPr>
              <w:t>Stakeholders</w:t>
            </w:r>
          </w:p>
        </w:tc>
        <w:tc>
          <w:tcPr>
            <w:tcW w:w="1526" w:type="pct"/>
            <w:tcBorders>
              <w:top w:val="nil"/>
              <w:left w:val="nil"/>
              <w:bottom w:val="single" w:sz="4" w:space="0" w:color="auto"/>
              <w:right w:val="single" w:sz="4" w:space="0" w:color="auto"/>
            </w:tcBorders>
            <w:hideMark/>
          </w:tcPr>
          <w:p w14:paraId="6D9DE81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DDE197E"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c>
          <w:tcPr>
            <w:tcW w:w="1259" w:type="pct"/>
            <w:tcBorders>
              <w:top w:val="nil"/>
              <w:left w:val="nil"/>
              <w:bottom w:val="single" w:sz="4" w:space="0" w:color="auto"/>
              <w:right w:val="single" w:sz="4" w:space="0" w:color="auto"/>
            </w:tcBorders>
            <w:hideMark/>
          </w:tcPr>
          <w:p w14:paraId="2C84CDEB"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203D4239" w14:textId="77777777" w:rsidTr="4FBD6713">
        <w:trPr>
          <w:trHeight w:val="161"/>
        </w:trPr>
        <w:tc>
          <w:tcPr>
            <w:tcW w:w="1034" w:type="pct"/>
            <w:tcBorders>
              <w:top w:val="nil"/>
              <w:left w:val="single" w:sz="4" w:space="0" w:color="auto"/>
              <w:bottom w:val="single" w:sz="4" w:space="0" w:color="auto"/>
              <w:right w:val="single" w:sz="4" w:space="0" w:color="auto"/>
            </w:tcBorders>
            <w:hideMark/>
          </w:tcPr>
          <w:p w14:paraId="0C5C5D1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BAF71" w14:textId="059EAB4F" w:rsidR="008B6F84" w:rsidRPr="00A51E75" w:rsidRDefault="0045647A"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hideMark/>
          </w:tcPr>
          <w:p w14:paraId="14366077" w14:textId="680385F9"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roofErr w:type="spellStart"/>
            <w:r w:rsidR="00747433" w:rsidRPr="00A51E75">
              <w:rPr>
                <w:rFonts w:asciiTheme="minorHAnsi" w:hAnsiTheme="minorHAnsi" w:cstheme="minorHAnsi"/>
                <w:i/>
                <w:color w:val="000000"/>
                <w:sz w:val="16"/>
                <w:szCs w:val="16"/>
              </w:rPr>
              <w:t>Indigenous</w:t>
            </w:r>
            <w:proofErr w:type="spellEnd"/>
            <w:r w:rsidR="00747433" w:rsidRPr="00A51E75">
              <w:rPr>
                <w:rFonts w:asciiTheme="minorHAnsi" w:hAnsiTheme="minorHAnsi" w:cstheme="minorHAnsi"/>
                <w:i/>
                <w:color w:val="000000"/>
                <w:sz w:val="16"/>
                <w:szCs w:val="16"/>
              </w:rPr>
              <w:t xml:space="preserve"> </w:t>
            </w:r>
            <w:proofErr w:type="spellStart"/>
            <w:r w:rsidR="00747433" w:rsidRPr="00A51E75">
              <w:rPr>
                <w:rFonts w:asciiTheme="minorHAnsi" w:hAnsiTheme="minorHAnsi" w:cstheme="minorHAnsi"/>
                <w:i/>
                <w:color w:val="000000"/>
                <w:sz w:val="16"/>
                <w:szCs w:val="16"/>
              </w:rPr>
              <w:t>communities</w:t>
            </w:r>
            <w:proofErr w:type="spellEnd"/>
          </w:p>
        </w:tc>
        <w:tc>
          <w:tcPr>
            <w:tcW w:w="1259" w:type="pct"/>
            <w:tcBorders>
              <w:top w:val="nil"/>
              <w:left w:val="nil"/>
              <w:bottom w:val="single" w:sz="4" w:space="0" w:color="auto"/>
              <w:right w:val="single" w:sz="4" w:space="0" w:color="auto"/>
            </w:tcBorders>
            <w:hideMark/>
          </w:tcPr>
          <w:p w14:paraId="051F639D"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217D476C" w14:textId="77777777" w:rsidTr="4FBD6713">
        <w:trPr>
          <w:trHeight w:val="152"/>
        </w:trPr>
        <w:tc>
          <w:tcPr>
            <w:tcW w:w="1034" w:type="pct"/>
            <w:tcBorders>
              <w:top w:val="nil"/>
              <w:left w:val="single" w:sz="4" w:space="0" w:color="auto"/>
              <w:bottom w:val="single" w:sz="4" w:space="0" w:color="auto"/>
              <w:right w:val="single" w:sz="4" w:space="0" w:color="auto"/>
            </w:tcBorders>
            <w:hideMark/>
          </w:tcPr>
          <w:p w14:paraId="6922436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816158" w14:textId="59992425" w:rsidR="008B6F84" w:rsidRPr="00A51E75" w:rsidRDefault="0045647A"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Private Sector</w:t>
            </w:r>
          </w:p>
        </w:tc>
        <w:tc>
          <w:tcPr>
            <w:tcW w:w="1181" w:type="pct"/>
            <w:tcBorders>
              <w:top w:val="nil"/>
              <w:left w:val="nil"/>
              <w:bottom w:val="single" w:sz="4" w:space="0" w:color="auto"/>
              <w:right w:val="single" w:sz="4" w:space="0" w:color="auto"/>
            </w:tcBorders>
            <w:hideMark/>
          </w:tcPr>
          <w:p w14:paraId="18806861" w14:textId="6A378483"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r w:rsidR="00747433" w:rsidRPr="00A51E75">
              <w:rPr>
                <w:rFonts w:asciiTheme="minorHAnsi" w:hAnsiTheme="minorHAnsi" w:cstheme="minorHAnsi"/>
                <w:i/>
                <w:color w:val="000000"/>
                <w:sz w:val="16"/>
                <w:szCs w:val="16"/>
              </w:rPr>
              <w:t>Small-</w:t>
            </w:r>
            <w:proofErr w:type="spellStart"/>
            <w:r w:rsidR="00747433" w:rsidRPr="00A51E75">
              <w:rPr>
                <w:rFonts w:asciiTheme="minorHAnsi" w:hAnsiTheme="minorHAnsi" w:cstheme="minorHAnsi"/>
                <w:i/>
                <w:color w:val="000000"/>
                <w:sz w:val="16"/>
                <w:szCs w:val="16"/>
              </w:rPr>
              <w:t>scale</w:t>
            </w:r>
            <w:proofErr w:type="spellEnd"/>
            <w:r w:rsidR="00747433" w:rsidRPr="00A51E75">
              <w:rPr>
                <w:rFonts w:asciiTheme="minorHAnsi" w:hAnsiTheme="minorHAnsi" w:cstheme="minorHAnsi"/>
                <w:i/>
                <w:color w:val="000000"/>
                <w:sz w:val="16"/>
                <w:szCs w:val="16"/>
              </w:rPr>
              <w:t xml:space="preserve"> rural </w:t>
            </w:r>
            <w:proofErr w:type="spellStart"/>
            <w:r w:rsidR="00747433" w:rsidRPr="00A51E75">
              <w:rPr>
                <w:rFonts w:asciiTheme="minorHAnsi" w:hAnsiTheme="minorHAnsi" w:cstheme="minorHAnsi"/>
                <w:i/>
                <w:color w:val="000000"/>
                <w:sz w:val="16"/>
                <w:szCs w:val="16"/>
              </w:rPr>
              <w:t>producers</w:t>
            </w:r>
            <w:proofErr w:type="spellEnd"/>
          </w:p>
        </w:tc>
        <w:tc>
          <w:tcPr>
            <w:tcW w:w="1259" w:type="pct"/>
            <w:tcBorders>
              <w:top w:val="nil"/>
              <w:left w:val="nil"/>
              <w:bottom w:val="single" w:sz="4" w:space="0" w:color="auto"/>
              <w:right w:val="single" w:sz="4" w:space="0" w:color="auto"/>
            </w:tcBorders>
            <w:hideMark/>
          </w:tcPr>
          <w:p w14:paraId="11310AF0"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5C3E8952"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5E29B0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644C0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22C49CB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Pr="00A51E75">
              <w:rPr>
                <w:rFonts w:asciiTheme="minorHAnsi" w:hAnsiTheme="minorHAnsi" w:cstheme="minorHAns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hideMark/>
          </w:tcPr>
          <w:p w14:paraId="6BBD67A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2864FDA3" w14:textId="77777777" w:rsidTr="4FBD6713">
        <w:trPr>
          <w:trHeight w:val="179"/>
        </w:trPr>
        <w:tc>
          <w:tcPr>
            <w:tcW w:w="1034" w:type="pct"/>
            <w:tcBorders>
              <w:top w:val="nil"/>
              <w:left w:val="single" w:sz="4" w:space="0" w:color="auto"/>
              <w:bottom w:val="single" w:sz="4" w:space="0" w:color="auto"/>
              <w:right w:val="single" w:sz="4" w:space="0" w:color="auto"/>
            </w:tcBorders>
            <w:hideMark/>
          </w:tcPr>
          <w:p w14:paraId="6627013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660FB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4376BC6C" w14:textId="2A728506" w:rsidR="008B6F84" w:rsidRPr="00A51E75" w:rsidRDefault="007E2ECB" w:rsidP="008B6F84">
            <w:pPr>
              <w:ind w:left="150" w:hanging="150"/>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zCs w:val="16"/>
                <w:shd w:val="clear" w:color="auto" w:fill="E6E6E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00211737" w:rsidRPr="00A51E75">
              <w:rPr>
                <w:rFonts w:asciiTheme="minorHAnsi" w:hAnsiTheme="minorHAnsi" w:cstheme="minorHAns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hideMark/>
          </w:tcPr>
          <w:p w14:paraId="3D27514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30A47BE9" w14:textId="77777777" w:rsidTr="4FBD6713">
        <w:trPr>
          <w:trHeight w:val="197"/>
        </w:trPr>
        <w:tc>
          <w:tcPr>
            <w:tcW w:w="1034" w:type="pct"/>
            <w:tcBorders>
              <w:top w:val="nil"/>
              <w:left w:val="single" w:sz="4" w:space="0" w:color="auto"/>
              <w:bottom w:val="single" w:sz="4" w:space="0" w:color="auto"/>
              <w:right w:val="single" w:sz="4" w:space="0" w:color="auto"/>
            </w:tcBorders>
            <w:hideMark/>
          </w:tcPr>
          <w:p w14:paraId="4563139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4F30BE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7B1C6F6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Pr="00A51E75">
              <w:rPr>
                <w:rFonts w:asciiTheme="minorHAnsi" w:hAnsiTheme="minorHAnsi" w:cstheme="minorHAns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hideMark/>
          </w:tcPr>
          <w:p w14:paraId="0CEB0ED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2EB96DB" w14:textId="77777777" w:rsidTr="4FBD6713">
        <w:trPr>
          <w:trHeight w:val="179"/>
        </w:trPr>
        <w:tc>
          <w:tcPr>
            <w:tcW w:w="1034" w:type="pct"/>
            <w:tcBorders>
              <w:top w:val="nil"/>
              <w:left w:val="single" w:sz="4" w:space="0" w:color="auto"/>
              <w:bottom w:val="single" w:sz="4" w:space="0" w:color="auto"/>
              <w:right w:val="single" w:sz="4" w:space="0" w:color="auto"/>
            </w:tcBorders>
            <w:hideMark/>
          </w:tcPr>
          <w:p w14:paraId="3132698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606DEE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00A2C1C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Pr="00A51E75">
              <w:rPr>
                <w:rFonts w:asciiTheme="minorHAnsi" w:hAnsiTheme="minorHAnsi" w:cstheme="minorHAnsi"/>
                <w:color w:val="000000"/>
                <w:sz w:val="16"/>
                <w:szCs w:val="16"/>
                <w:lang w:val="en-GB"/>
              </w:rPr>
              <w:t>SMEs</w:t>
            </w:r>
          </w:p>
        </w:tc>
        <w:tc>
          <w:tcPr>
            <w:tcW w:w="1259" w:type="pct"/>
            <w:tcBorders>
              <w:top w:val="single" w:sz="4" w:space="0" w:color="auto"/>
              <w:left w:val="nil"/>
              <w:bottom w:val="single" w:sz="4" w:space="0" w:color="auto"/>
              <w:right w:val="single" w:sz="4" w:space="0" w:color="auto"/>
            </w:tcBorders>
            <w:hideMark/>
          </w:tcPr>
          <w:p w14:paraId="7EF0B20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3682FC06" w14:textId="77777777" w:rsidTr="4FBD6713">
        <w:trPr>
          <w:trHeight w:val="152"/>
        </w:trPr>
        <w:tc>
          <w:tcPr>
            <w:tcW w:w="1034" w:type="pct"/>
            <w:tcBorders>
              <w:top w:val="nil"/>
              <w:left w:val="single" w:sz="4" w:space="0" w:color="auto"/>
              <w:bottom w:val="single" w:sz="4" w:space="0" w:color="auto"/>
              <w:right w:val="single" w:sz="4" w:space="0" w:color="auto"/>
            </w:tcBorders>
            <w:hideMark/>
          </w:tcPr>
          <w:p w14:paraId="530737C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6F3E6F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hideMark/>
          </w:tcPr>
          <w:p w14:paraId="65F0A6D6" w14:textId="4D516EC2" w:rsidR="008B6F84" w:rsidRPr="00A51E75" w:rsidRDefault="00CC6D6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zCs w:val="16"/>
                <w:shd w:val="clear" w:color="auto" w:fill="E6E6E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00211737" w:rsidRPr="00A51E75">
              <w:rPr>
                <w:rFonts w:asciiTheme="minorHAnsi" w:hAnsiTheme="minorHAnsi" w:cstheme="minorHAns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hideMark/>
          </w:tcPr>
          <w:p w14:paraId="5C3D4B6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004D3C6F"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5A0B35D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1D53C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single" w:sz="4" w:space="0" w:color="7F7F7F" w:themeColor="text1" w:themeTint="80"/>
              <w:bottom w:val="single" w:sz="4" w:space="0" w:color="auto"/>
              <w:right w:val="single" w:sz="4" w:space="0" w:color="auto"/>
            </w:tcBorders>
            <w:hideMark/>
          </w:tcPr>
          <w:p w14:paraId="2F237E2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Pr="00A51E75">
              <w:rPr>
                <w:rFonts w:asciiTheme="minorHAnsi" w:hAnsiTheme="minorHAnsi" w:cstheme="minorHAns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hideMark/>
          </w:tcPr>
          <w:p w14:paraId="7FABE3C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97C298E" w14:textId="77777777" w:rsidTr="4FBD6713">
        <w:trPr>
          <w:trHeight w:val="161"/>
        </w:trPr>
        <w:tc>
          <w:tcPr>
            <w:tcW w:w="1034" w:type="pct"/>
            <w:tcBorders>
              <w:top w:val="nil"/>
              <w:left w:val="single" w:sz="4" w:space="0" w:color="auto"/>
              <w:bottom w:val="single" w:sz="4" w:space="0" w:color="auto"/>
              <w:right w:val="single" w:sz="4" w:space="0" w:color="auto"/>
            </w:tcBorders>
            <w:hideMark/>
          </w:tcPr>
          <w:p w14:paraId="2E140F3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298A73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auto"/>
              <w:left w:val="single" w:sz="4" w:space="0" w:color="7F7F7F" w:themeColor="text1" w:themeTint="80"/>
              <w:bottom w:val="single" w:sz="4" w:space="0" w:color="auto"/>
              <w:right w:val="single" w:sz="4" w:space="0" w:color="auto"/>
            </w:tcBorders>
            <w:hideMark/>
          </w:tcPr>
          <w:p w14:paraId="4553E95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zCs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zCs w:val="16"/>
                <w:shd w:val="clear" w:color="auto" w:fill="E6E6E6"/>
                <w:lang w:val="en-GB"/>
              </w:rPr>
            </w:r>
            <w:r w:rsidRPr="00A51E75">
              <w:rPr>
                <w:rFonts w:asciiTheme="minorHAnsi" w:eastAsia="SimSun" w:hAnsiTheme="minorHAnsi" w:cstheme="minorHAnsi"/>
                <w:color w:val="000000"/>
                <w:sz w:val="16"/>
                <w:szCs w:val="16"/>
                <w:shd w:val="clear" w:color="auto" w:fill="E6E6E6"/>
                <w:lang w:val="en-GB"/>
              </w:rPr>
              <w:fldChar w:fldCharType="separate"/>
            </w:r>
            <w:r w:rsidRPr="00A51E75">
              <w:rPr>
                <w:rFonts w:asciiTheme="minorHAnsi" w:eastAsia="SimSun" w:hAnsiTheme="minorHAnsi" w:cstheme="minorHAnsi"/>
                <w:color w:val="000000"/>
                <w:sz w:val="16"/>
                <w:szCs w:val="16"/>
                <w:shd w:val="clear" w:color="auto" w:fill="E6E6E6"/>
                <w:lang w:val="en-GB"/>
              </w:rPr>
              <w:fldChar w:fldCharType="end"/>
            </w:r>
            <w:r w:rsidRPr="00A51E75">
              <w:rPr>
                <w:rFonts w:asciiTheme="minorHAnsi" w:hAnsiTheme="minorHAnsi" w:cstheme="minorHAns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hideMark/>
          </w:tcPr>
          <w:p w14:paraId="3F2B417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9FFC984" w14:textId="77777777" w:rsidTr="4FBD6713">
        <w:trPr>
          <w:trHeight w:val="170"/>
        </w:trPr>
        <w:tc>
          <w:tcPr>
            <w:tcW w:w="1034" w:type="pct"/>
            <w:tcBorders>
              <w:top w:val="nil"/>
              <w:left w:val="single" w:sz="4" w:space="0" w:color="auto"/>
              <w:bottom w:val="single" w:sz="4" w:space="0" w:color="auto"/>
              <w:right w:val="single" w:sz="4" w:space="0" w:color="auto"/>
            </w:tcBorders>
            <w:hideMark/>
          </w:tcPr>
          <w:p w14:paraId="2B5321E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F4945F5" w14:textId="6EE3745F" w:rsidR="008B6F84" w:rsidRPr="00A51E75" w:rsidRDefault="00423FD4"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hideMark/>
          </w:tcPr>
          <w:p w14:paraId="290D9F1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0A9C51E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17BC1DF9" w14:textId="77777777" w:rsidTr="4FBD6713">
        <w:trPr>
          <w:trHeight w:val="161"/>
        </w:trPr>
        <w:tc>
          <w:tcPr>
            <w:tcW w:w="1034" w:type="pct"/>
            <w:tcBorders>
              <w:top w:val="nil"/>
              <w:left w:val="single" w:sz="4" w:space="0" w:color="auto"/>
              <w:bottom w:val="single" w:sz="4" w:space="0" w:color="auto"/>
              <w:right w:val="single" w:sz="4" w:space="0" w:color="auto"/>
            </w:tcBorders>
            <w:hideMark/>
          </w:tcPr>
          <w:p w14:paraId="54E28D5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2543764" w14:textId="2616DC27" w:rsidR="008B6F84" w:rsidRPr="00A51E75" w:rsidRDefault="0045647A"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Local Communities</w:t>
            </w:r>
          </w:p>
        </w:tc>
        <w:tc>
          <w:tcPr>
            <w:tcW w:w="1181" w:type="pct"/>
            <w:tcBorders>
              <w:top w:val="nil"/>
              <w:left w:val="nil"/>
              <w:bottom w:val="single" w:sz="4" w:space="0" w:color="auto"/>
              <w:right w:val="single" w:sz="4" w:space="0" w:color="auto"/>
            </w:tcBorders>
            <w:hideMark/>
          </w:tcPr>
          <w:p w14:paraId="43DDBE6F" w14:textId="56C383C2" w:rsidR="008B6F84" w:rsidRPr="00A51E75" w:rsidRDefault="00211737" w:rsidP="008B6F84">
            <w:pPr>
              <w:jc w:val="both"/>
              <w:rPr>
                <w:rFonts w:asciiTheme="minorHAnsi" w:hAnsiTheme="minorHAnsi" w:cstheme="minorHAnsi"/>
                <w:color w:val="000000"/>
                <w:sz w:val="16"/>
                <w:szCs w:val="16"/>
              </w:rPr>
            </w:pPr>
            <w:r w:rsidRPr="00A51E75">
              <w:rPr>
                <w:rFonts w:asciiTheme="minorHAnsi" w:hAnsiTheme="minorHAnsi" w:cstheme="minorHAnsi"/>
                <w:color w:val="000000"/>
                <w:sz w:val="16"/>
                <w:szCs w:val="16"/>
              </w:rPr>
              <w:t> </w:t>
            </w:r>
            <w:r w:rsidR="0045647A" w:rsidRPr="00A51E75">
              <w:rPr>
                <w:rFonts w:asciiTheme="minorHAnsi" w:eastAsia="SimSun" w:hAnsiTheme="minorHAnsi" w:cstheme="minorHAnsi"/>
                <w:i/>
                <w:sz w:val="16"/>
                <w:szCs w:val="16"/>
              </w:rPr>
              <w:t>Comunidades de la cuenca del Napo</w:t>
            </w:r>
          </w:p>
        </w:tc>
        <w:tc>
          <w:tcPr>
            <w:tcW w:w="1259" w:type="pct"/>
            <w:tcBorders>
              <w:top w:val="nil"/>
              <w:left w:val="nil"/>
              <w:bottom w:val="single" w:sz="4" w:space="0" w:color="auto"/>
              <w:right w:val="single" w:sz="4" w:space="0" w:color="auto"/>
            </w:tcBorders>
            <w:hideMark/>
          </w:tcPr>
          <w:p w14:paraId="2CDF90A0" w14:textId="77777777" w:rsidR="008B6F84" w:rsidRPr="00A51E75" w:rsidRDefault="00211737" w:rsidP="008B6F84">
            <w:pPr>
              <w:jc w:val="both"/>
              <w:rPr>
                <w:rFonts w:asciiTheme="minorHAnsi" w:hAnsiTheme="minorHAnsi" w:cstheme="minorHAnsi"/>
                <w:color w:val="000000"/>
                <w:sz w:val="16"/>
                <w:szCs w:val="16"/>
              </w:rPr>
            </w:pPr>
            <w:r w:rsidRPr="00A51E75">
              <w:rPr>
                <w:rFonts w:asciiTheme="minorHAnsi" w:hAnsiTheme="minorHAnsi" w:cstheme="minorHAnsi"/>
                <w:color w:val="000000"/>
                <w:sz w:val="16"/>
                <w:szCs w:val="16"/>
              </w:rPr>
              <w:t> </w:t>
            </w:r>
          </w:p>
        </w:tc>
      </w:tr>
      <w:tr w:rsidR="008B6F84" w:rsidRPr="00A51E75" w14:paraId="09DFBC3C"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26D696C0" w14:textId="77777777" w:rsidR="008B6F84" w:rsidRPr="00A51E75" w:rsidRDefault="00211737" w:rsidP="008B6F84">
            <w:pPr>
              <w:jc w:val="both"/>
              <w:rPr>
                <w:rFonts w:asciiTheme="minorHAnsi" w:hAnsiTheme="minorHAnsi" w:cstheme="minorHAnsi"/>
                <w:b/>
                <w:bCs/>
                <w:color w:val="000000"/>
                <w:sz w:val="16"/>
                <w:szCs w:val="16"/>
              </w:rPr>
            </w:pPr>
            <w:r w:rsidRPr="00A51E75">
              <w:rPr>
                <w:rFonts w:asciiTheme="minorHAnsi" w:hAnsiTheme="minorHAnsi" w:cstheme="minorHAnsi"/>
                <w:b/>
                <w:bCs/>
                <w:color w:val="000000"/>
                <w:sz w:val="16"/>
                <w:szCs w:val="16"/>
              </w:rPr>
              <w:t> </w:t>
            </w:r>
          </w:p>
        </w:tc>
        <w:tc>
          <w:tcPr>
            <w:tcW w:w="1526" w:type="pct"/>
            <w:tcBorders>
              <w:top w:val="nil"/>
              <w:left w:val="nil"/>
              <w:bottom w:val="single" w:sz="4" w:space="0" w:color="auto"/>
              <w:right w:val="single" w:sz="4" w:space="0" w:color="auto"/>
            </w:tcBorders>
            <w:hideMark/>
          </w:tcPr>
          <w:p w14:paraId="11620D8F" w14:textId="020F2C22" w:rsidR="008B6F84" w:rsidRPr="00A51E75" w:rsidRDefault="0045647A"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Civil Society</w:t>
            </w:r>
          </w:p>
        </w:tc>
        <w:tc>
          <w:tcPr>
            <w:tcW w:w="1181" w:type="pct"/>
            <w:tcBorders>
              <w:top w:val="nil"/>
              <w:left w:val="nil"/>
              <w:bottom w:val="single" w:sz="4" w:space="0" w:color="auto"/>
              <w:right w:val="single" w:sz="4" w:space="0" w:color="auto"/>
            </w:tcBorders>
            <w:hideMark/>
          </w:tcPr>
          <w:p w14:paraId="79AED73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hideMark/>
          </w:tcPr>
          <w:p w14:paraId="4382BED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2F3F290"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67450EE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F58B9B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9D94B2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hideMark/>
          </w:tcPr>
          <w:p w14:paraId="50247D9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8764393"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03AD41D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8C3086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D254B1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Non-Governmental Organization</w:t>
            </w:r>
          </w:p>
        </w:tc>
        <w:tc>
          <w:tcPr>
            <w:tcW w:w="1259" w:type="pct"/>
            <w:tcBorders>
              <w:top w:val="nil"/>
              <w:left w:val="nil"/>
              <w:bottom w:val="single" w:sz="4" w:space="0" w:color="auto"/>
              <w:right w:val="single" w:sz="4" w:space="0" w:color="auto"/>
            </w:tcBorders>
            <w:hideMark/>
          </w:tcPr>
          <w:p w14:paraId="7ABE0FE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4CE3949"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1C0B531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7E85E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5E3906A" w14:textId="6395F697" w:rsidR="008B6F84" w:rsidRPr="00A51E75" w:rsidRDefault="0045647A"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Academia</w:t>
            </w:r>
          </w:p>
        </w:tc>
        <w:tc>
          <w:tcPr>
            <w:tcW w:w="1259" w:type="pct"/>
            <w:tcBorders>
              <w:top w:val="nil"/>
              <w:left w:val="nil"/>
              <w:bottom w:val="single" w:sz="4" w:space="0" w:color="auto"/>
              <w:right w:val="single" w:sz="4" w:space="0" w:color="auto"/>
            </w:tcBorders>
            <w:hideMark/>
          </w:tcPr>
          <w:p w14:paraId="0627ED7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109C4D4E" w14:textId="77777777" w:rsidTr="4FBD6713">
        <w:trPr>
          <w:trHeight w:val="71"/>
        </w:trPr>
        <w:tc>
          <w:tcPr>
            <w:tcW w:w="1034" w:type="pct"/>
            <w:tcBorders>
              <w:top w:val="nil"/>
              <w:left w:val="single" w:sz="4" w:space="0" w:color="auto"/>
              <w:bottom w:val="single" w:sz="4" w:space="0" w:color="auto"/>
              <w:right w:val="single" w:sz="4" w:space="0" w:color="auto"/>
            </w:tcBorders>
            <w:hideMark/>
          </w:tcPr>
          <w:p w14:paraId="367888C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924EDC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C39655" w14:textId="77777777" w:rsidR="008B6F84" w:rsidRPr="00A51E75" w:rsidRDefault="00211737" w:rsidP="008B6F84">
            <w:pPr>
              <w:ind w:left="150" w:hanging="150"/>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Trade Unions and Workers Unions</w:t>
            </w:r>
          </w:p>
        </w:tc>
        <w:tc>
          <w:tcPr>
            <w:tcW w:w="1259" w:type="pct"/>
            <w:tcBorders>
              <w:top w:val="nil"/>
              <w:left w:val="nil"/>
              <w:bottom w:val="single" w:sz="4" w:space="0" w:color="auto"/>
              <w:right w:val="single" w:sz="4" w:space="0" w:color="auto"/>
            </w:tcBorders>
            <w:hideMark/>
          </w:tcPr>
          <w:p w14:paraId="726B11F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9597FBC" w14:textId="77777777" w:rsidTr="4FBD6713">
        <w:trPr>
          <w:trHeight w:val="197"/>
        </w:trPr>
        <w:tc>
          <w:tcPr>
            <w:tcW w:w="1034" w:type="pct"/>
            <w:tcBorders>
              <w:top w:val="nil"/>
              <w:left w:val="single" w:sz="4" w:space="0" w:color="auto"/>
              <w:bottom w:val="single" w:sz="4" w:space="0" w:color="auto"/>
              <w:right w:val="single" w:sz="4" w:space="0" w:color="auto"/>
            </w:tcBorders>
            <w:hideMark/>
          </w:tcPr>
          <w:p w14:paraId="574E5B7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417AB8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Type of Engagement</w:t>
            </w:r>
          </w:p>
        </w:tc>
        <w:tc>
          <w:tcPr>
            <w:tcW w:w="1181" w:type="pct"/>
            <w:tcBorders>
              <w:top w:val="nil"/>
              <w:left w:val="nil"/>
              <w:bottom w:val="single" w:sz="4" w:space="0" w:color="auto"/>
              <w:right w:val="single" w:sz="4" w:space="0" w:color="auto"/>
            </w:tcBorders>
            <w:hideMark/>
          </w:tcPr>
          <w:p w14:paraId="4B1D8A2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hideMark/>
          </w:tcPr>
          <w:p w14:paraId="4749E81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6A03FEE" w14:textId="77777777" w:rsidTr="4FBD6713">
        <w:trPr>
          <w:trHeight w:val="161"/>
        </w:trPr>
        <w:tc>
          <w:tcPr>
            <w:tcW w:w="1034" w:type="pct"/>
            <w:tcBorders>
              <w:top w:val="nil"/>
              <w:left w:val="single" w:sz="4" w:space="0" w:color="auto"/>
              <w:bottom w:val="single" w:sz="4" w:space="0" w:color="auto"/>
              <w:right w:val="single" w:sz="4" w:space="0" w:color="auto"/>
            </w:tcBorders>
            <w:hideMark/>
          </w:tcPr>
          <w:p w14:paraId="7986572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C9E60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98B892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Information Dissemination</w:t>
            </w:r>
          </w:p>
        </w:tc>
        <w:tc>
          <w:tcPr>
            <w:tcW w:w="1259" w:type="pct"/>
            <w:tcBorders>
              <w:top w:val="nil"/>
              <w:left w:val="nil"/>
              <w:bottom w:val="single" w:sz="4" w:space="0" w:color="auto"/>
              <w:right w:val="single" w:sz="4" w:space="0" w:color="auto"/>
            </w:tcBorders>
            <w:hideMark/>
          </w:tcPr>
          <w:p w14:paraId="691A078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9AD9B47" w14:textId="77777777" w:rsidTr="4FBD6713">
        <w:trPr>
          <w:trHeight w:val="143"/>
        </w:trPr>
        <w:tc>
          <w:tcPr>
            <w:tcW w:w="1034" w:type="pct"/>
            <w:tcBorders>
              <w:top w:val="nil"/>
              <w:left w:val="single" w:sz="4" w:space="0" w:color="auto"/>
              <w:bottom w:val="single" w:sz="4" w:space="0" w:color="auto"/>
              <w:right w:val="single" w:sz="4" w:space="0" w:color="auto"/>
            </w:tcBorders>
            <w:hideMark/>
          </w:tcPr>
          <w:p w14:paraId="6CC15E8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5475C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0371C3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Partnership</w:t>
            </w:r>
          </w:p>
        </w:tc>
        <w:tc>
          <w:tcPr>
            <w:tcW w:w="1259" w:type="pct"/>
            <w:tcBorders>
              <w:top w:val="nil"/>
              <w:left w:val="nil"/>
              <w:bottom w:val="single" w:sz="4" w:space="0" w:color="auto"/>
              <w:right w:val="single" w:sz="4" w:space="0" w:color="auto"/>
            </w:tcBorders>
            <w:hideMark/>
          </w:tcPr>
          <w:p w14:paraId="4D41A04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148DB694"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442ADF7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BCAB41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A6AA4A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Consultation</w:t>
            </w:r>
          </w:p>
        </w:tc>
        <w:tc>
          <w:tcPr>
            <w:tcW w:w="1259" w:type="pct"/>
            <w:tcBorders>
              <w:top w:val="nil"/>
              <w:left w:val="nil"/>
              <w:bottom w:val="single" w:sz="4" w:space="0" w:color="auto"/>
              <w:right w:val="single" w:sz="4" w:space="0" w:color="auto"/>
            </w:tcBorders>
            <w:hideMark/>
          </w:tcPr>
          <w:p w14:paraId="183A6DA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F7BEB1B" w14:textId="77777777" w:rsidTr="4FBD6713">
        <w:trPr>
          <w:trHeight w:val="170"/>
        </w:trPr>
        <w:tc>
          <w:tcPr>
            <w:tcW w:w="1034" w:type="pct"/>
            <w:tcBorders>
              <w:top w:val="nil"/>
              <w:left w:val="single" w:sz="4" w:space="0" w:color="auto"/>
              <w:bottom w:val="single" w:sz="4" w:space="0" w:color="auto"/>
              <w:right w:val="single" w:sz="4" w:space="0" w:color="auto"/>
            </w:tcBorders>
            <w:hideMark/>
          </w:tcPr>
          <w:p w14:paraId="1BA1F88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FC70AD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1F7806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Participation</w:t>
            </w:r>
          </w:p>
        </w:tc>
        <w:tc>
          <w:tcPr>
            <w:tcW w:w="1259" w:type="pct"/>
            <w:tcBorders>
              <w:top w:val="nil"/>
              <w:left w:val="nil"/>
              <w:bottom w:val="single" w:sz="4" w:space="0" w:color="auto"/>
              <w:right w:val="single" w:sz="4" w:space="0" w:color="auto"/>
            </w:tcBorders>
            <w:hideMark/>
          </w:tcPr>
          <w:p w14:paraId="0F05759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78B2971" w14:textId="77777777" w:rsidTr="4FBD6713">
        <w:trPr>
          <w:trHeight w:val="170"/>
        </w:trPr>
        <w:tc>
          <w:tcPr>
            <w:tcW w:w="1034" w:type="pct"/>
            <w:tcBorders>
              <w:top w:val="nil"/>
              <w:left w:val="single" w:sz="4" w:space="0" w:color="auto"/>
              <w:bottom w:val="single" w:sz="4" w:space="0" w:color="auto"/>
              <w:right w:val="single" w:sz="4" w:space="0" w:color="auto"/>
            </w:tcBorders>
          </w:tcPr>
          <w:p w14:paraId="2FF75AD4"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3F643FB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Communications</w:t>
            </w:r>
          </w:p>
        </w:tc>
        <w:tc>
          <w:tcPr>
            <w:tcW w:w="1181" w:type="pct"/>
            <w:tcBorders>
              <w:top w:val="nil"/>
              <w:left w:val="nil"/>
              <w:bottom w:val="single" w:sz="4" w:space="0" w:color="auto"/>
              <w:right w:val="single" w:sz="4" w:space="0" w:color="auto"/>
            </w:tcBorders>
          </w:tcPr>
          <w:p w14:paraId="03EC70DA"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20B1FEDD"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4663D674" w14:textId="77777777" w:rsidTr="4FBD6713">
        <w:trPr>
          <w:trHeight w:val="170"/>
        </w:trPr>
        <w:tc>
          <w:tcPr>
            <w:tcW w:w="1034" w:type="pct"/>
            <w:tcBorders>
              <w:top w:val="nil"/>
              <w:left w:val="single" w:sz="4" w:space="0" w:color="auto"/>
              <w:bottom w:val="single" w:sz="4" w:space="0" w:color="auto"/>
              <w:right w:val="single" w:sz="4" w:space="0" w:color="auto"/>
            </w:tcBorders>
          </w:tcPr>
          <w:p w14:paraId="60C1C6FD"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04FBCA2E"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4A87FA43"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Awareness Raising</w:t>
            </w:r>
          </w:p>
        </w:tc>
        <w:tc>
          <w:tcPr>
            <w:tcW w:w="1259" w:type="pct"/>
            <w:tcBorders>
              <w:top w:val="nil"/>
              <w:left w:val="nil"/>
              <w:bottom w:val="single" w:sz="4" w:space="0" w:color="auto"/>
              <w:right w:val="single" w:sz="4" w:space="0" w:color="auto"/>
            </w:tcBorders>
          </w:tcPr>
          <w:p w14:paraId="5D98B4FB"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005C3045" w14:textId="77777777" w:rsidTr="4FBD6713">
        <w:trPr>
          <w:trHeight w:val="170"/>
        </w:trPr>
        <w:tc>
          <w:tcPr>
            <w:tcW w:w="1034" w:type="pct"/>
            <w:tcBorders>
              <w:top w:val="nil"/>
              <w:left w:val="single" w:sz="4" w:space="0" w:color="auto"/>
              <w:bottom w:val="single" w:sz="4" w:space="0" w:color="auto"/>
              <w:right w:val="single" w:sz="4" w:space="0" w:color="auto"/>
            </w:tcBorders>
          </w:tcPr>
          <w:p w14:paraId="7F26EEBD"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13A1B742"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3E001659"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Education</w:t>
            </w:r>
          </w:p>
        </w:tc>
        <w:tc>
          <w:tcPr>
            <w:tcW w:w="1259" w:type="pct"/>
            <w:tcBorders>
              <w:top w:val="nil"/>
              <w:left w:val="nil"/>
              <w:bottom w:val="single" w:sz="4" w:space="0" w:color="auto"/>
              <w:right w:val="single" w:sz="4" w:space="0" w:color="auto"/>
            </w:tcBorders>
          </w:tcPr>
          <w:p w14:paraId="24663717"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25E871D3" w14:textId="77777777" w:rsidTr="4FBD6713">
        <w:trPr>
          <w:trHeight w:val="170"/>
        </w:trPr>
        <w:tc>
          <w:tcPr>
            <w:tcW w:w="1034" w:type="pct"/>
            <w:tcBorders>
              <w:top w:val="nil"/>
              <w:left w:val="single" w:sz="4" w:space="0" w:color="auto"/>
              <w:bottom w:val="single" w:sz="4" w:space="0" w:color="auto"/>
              <w:right w:val="single" w:sz="4" w:space="0" w:color="auto"/>
            </w:tcBorders>
          </w:tcPr>
          <w:p w14:paraId="6BB48268"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06FBCA98"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0497DFFF"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Public Campaigns</w:t>
            </w:r>
          </w:p>
        </w:tc>
        <w:tc>
          <w:tcPr>
            <w:tcW w:w="1259" w:type="pct"/>
            <w:tcBorders>
              <w:top w:val="nil"/>
              <w:left w:val="nil"/>
              <w:bottom w:val="single" w:sz="4" w:space="0" w:color="auto"/>
              <w:right w:val="single" w:sz="4" w:space="0" w:color="auto"/>
            </w:tcBorders>
          </w:tcPr>
          <w:p w14:paraId="5178E4A5"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5931EE9F" w14:textId="77777777" w:rsidTr="4FBD6713">
        <w:trPr>
          <w:trHeight w:val="170"/>
        </w:trPr>
        <w:tc>
          <w:tcPr>
            <w:tcW w:w="1034" w:type="pct"/>
            <w:tcBorders>
              <w:top w:val="nil"/>
              <w:left w:val="single" w:sz="4" w:space="0" w:color="auto"/>
              <w:bottom w:val="single" w:sz="4" w:space="0" w:color="auto"/>
              <w:right w:val="single" w:sz="4" w:space="0" w:color="auto"/>
            </w:tcBorders>
          </w:tcPr>
          <w:p w14:paraId="616363FF"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3D001E41"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48957DAD"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proofErr w:type="spellStart"/>
            <w:r w:rsidRPr="00A51E75">
              <w:rPr>
                <w:rFonts w:asciiTheme="minorHAnsi" w:eastAsia="SimSun" w:hAnsiTheme="minorHAnsi" w:cstheme="minorHAnsi"/>
                <w:color w:val="000000"/>
                <w:sz w:val="16"/>
                <w:szCs w:val="16"/>
                <w:lang w:val="en-GB"/>
              </w:rPr>
              <w:t>Behavior</w:t>
            </w:r>
            <w:proofErr w:type="spellEnd"/>
            <w:r w:rsidRPr="00A51E75">
              <w:rPr>
                <w:rFonts w:asciiTheme="minorHAnsi" w:eastAsia="SimSun" w:hAnsiTheme="minorHAnsi" w:cstheme="minorHAnsi"/>
                <w:color w:val="000000"/>
                <w:sz w:val="16"/>
                <w:szCs w:val="16"/>
                <w:lang w:val="en-GB"/>
              </w:rPr>
              <w:t xml:space="preserve"> Change</w:t>
            </w:r>
          </w:p>
        </w:tc>
        <w:tc>
          <w:tcPr>
            <w:tcW w:w="1259" w:type="pct"/>
            <w:tcBorders>
              <w:top w:val="nil"/>
              <w:left w:val="nil"/>
              <w:bottom w:val="single" w:sz="4" w:space="0" w:color="auto"/>
              <w:right w:val="single" w:sz="4" w:space="0" w:color="auto"/>
            </w:tcBorders>
          </w:tcPr>
          <w:p w14:paraId="2A033C6D"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7BA61E78" w14:textId="77777777" w:rsidTr="4FBD6713">
        <w:trPr>
          <w:trHeight w:val="170"/>
        </w:trPr>
        <w:tc>
          <w:tcPr>
            <w:tcW w:w="1034" w:type="pct"/>
            <w:tcBorders>
              <w:top w:val="nil"/>
              <w:left w:val="single" w:sz="4" w:space="0" w:color="auto"/>
              <w:bottom w:val="single" w:sz="4" w:space="0" w:color="auto"/>
              <w:right w:val="single" w:sz="4" w:space="0" w:color="auto"/>
            </w:tcBorders>
          </w:tcPr>
          <w:p w14:paraId="6B9C3F79" w14:textId="334340F7" w:rsidR="008B6F84" w:rsidRPr="00A51E75" w:rsidRDefault="007E2ECB" w:rsidP="008B6F84">
            <w:pPr>
              <w:ind w:left="162" w:hanging="162"/>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Capacity, Knowledge and Research</w:t>
            </w:r>
          </w:p>
        </w:tc>
        <w:tc>
          <w:tcPr>
            <w:tcW w:w="1526" w:type="pct"/>
            <w:tcBorders>
              <w:top w:val="nil"/>
              <w:left w:val="nil"/>
              <w:bottom w:val="single" w:sz="4" w:space="0" w:color="auto"/>
              <w:right w:val="single" w:sz="4" w:space="0" w:color="auto"/>
            </w:tcBorders>
          </w:tcPr>
          <w:p w14:paraId="643BEC82"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69ED1243"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46E288C7"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2521A1A6" w14:textId="77777777" w:rsidTr="4FBD6713">
        <w:trPr>
          <w:trHeight w:val="170"/>
        </w:trPr>
        <w:tc>
          <w:tcPr>
            <w:tcW w:w="1034" w:type="pct"/>
            <w:tcBorders>
              <w:top w:val="nil"/>
              <w:left w:val="single" w:sz="4" w:space="0" w:color="auto"/>
              <w:bottom w:val="single" w:sz="4" w:space="0" w:color="auto"/>
              <w:right w:val="single" w:sz="4" w:space="0" w:color="auto"/>
            </w:tcBorders>
          </w:tcPr>
          <w:p w14:paraId="2EEBDC2E"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526" w:type="pct"/>
            <w:tcBorders>
              <w:top w:val="nil"/>
              <w:left w:val="nil"/>
              <w:bottom w:val="single" w:sz="4" w:space="0" w:color="auto"/>
              <w:right w:val="single" w:sz="4" w:space="0" w:color="auto"/>
            </w:tcBorders>
          </w:tcPr>
          <w:p w14:paraId="296A8A7B"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Enabling Activities</w:t>
            </w:r>
          </w:p>
        </w:tc>
        <w:tc>
          <w:tcPr>
            <w:tcW w:w="1181" w:type="pct"/>
            <w:tcBorders>
              <w:top w:val="nil"/>
              <w:left w:val="nil"/>
              <w:bottom w:val="single" w:sz="4" w:space="0" w:color="auto"/>
              <w:right w:val="single" w:sz="4" w:space="0" w:color="auto"/>
            </w:tcBorders>
          </w:tcPr>
          <w:p w14:paraId="774F6C3E"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3CF88561" w14:textId="77777777" w:rsidR="008B6F84" w:rsidRPr="00A51E75" w:rsidRDefault="008B6F84" w:rsidP="008B6F84">
            <w:pPr>
              <w:jc w:val="both"/>
              <w:rPr>
                <w:rFonts w:asciiTheme="minorHAnsi" w:hAnsiTheme="minorHAnsi" w:cstheme="minorHAnsi"/>
                <w:color w:val="000000"/>
                <w:sz w:val="16"/>
                <w:szCs w:val="16"/>
                <w:lang w:val="en-GB"/>
              </w:rPr>
            </w:pPr>
          </w:p>
        </w:tc>
      </w:tr>
      <w:tr w:rsidR="007E2ECB" w:rsidRPr="00A51E75" w14:paraId="65221089" w14:textId="77777777" w:rsidTr="4FBD6713">
        <w:trPr>
          <w:trHeight w:val="215"/>
        </w:trPr>
        <w:tc>
          <w:tcPr>
            <w:tcW w:w="1034" w:type="pct"/>
            <w:tcBorders>
              <w:top w:val="nil"/>
              <w:left w:val="single" w:sz="4" w:space="0" w:color="auto"/>
              <w:bottom w:val="single" w:sz="4" w:space="0" w:color="auto"/>
              <w:right w:val="single" w:sz="4" w:space="0" w:color="auto"/>
            </w:tcBorders>
          </w:tcPr>
          <w:p w14:paraId="164314C1" w14:textId="77777777" w:rsidR="007E2ECB" w:rsidRPr="00A51E75" w:rsidRDefault="007E2ECB" w:rsidP="007E2ECB">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267FF37A" w14:textId="71319AE0" w:rsidR="007E2ECB" w:rsidRPr="00A51E75" w:rsidRDefault="007E2ECB" w:rsidP="007E2ECB">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Capacity Development</w:t>
            </w:r>
          </w:p>
        </w:tc>
        <w:tc>
          <w:tcPr>
            <w:tcW w:w="1181" w:type="pct"/>
            <w:tcBorders>
              <w:top w:val="nil"/>
              <w:left w:val="nil"/>
              <w:bottom w:val="single" w:sz="4" w:space="0" w:color="auto"/>
              <w:right w:val="single" w:sz="4" w:space="0" w:color="auto"/>
            </w:tcBorders>
          </w:tcPr>
          <w:p w14:paraId="15AC4E1D" w14:textId="26F45819" w:rsidR="007E2ECB" w:rsidRPr="00A51E75" w:rsidRDefault="007E2ECB" w:rsidP="007E2ECB">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i/>
                <w:sz w:val="16"/>
                <w:szCs w:val="16"/>
                <w:lang w:val="en-US"/>
              </w:rPr>
              <w:t xml:space="preserve"> </w:t>
            </w:r>
            <w:proofErr w:type="spellStart"/>
            <w:r w:rsidR="00747433" w:rsidRPr="00A51E75">
              <w:rPr>
                <w:rFonts w:asciiTheme="minorHAnsi" w:eastAsia="SimSun" w:hAnsiTheme="minorHAnsi" w:cstheme="minorHAnsi"/>
                <w:i/>
                <w:sz w:val="16"/>
                <w:szCs w:val="16"/>
              </w:rPr>
              <w:t>Strengthening</w:t>
            </w:r>
            <w:proofErr w:type="spellEnd"/>
            <w:r w:rsidR="00747433" w:rsidRPr="00A51E75">
              <w:rPr>
                <w:rFonts w:asciiTheme="minorHAnsi" w:eastAsia="SimSun" w:hAnsiTheme="minorHAnsi" w:cstheme="minorHAnsi"/>
                <w:i/>
                <w:sz w:val="16"/>
                <w:szCs w:val="16"/>
              </w:rPr>
              <w:t xml:space="preserve"> of local </w:t>
            </w:r>
            <w:proofErr w:type="spellStart"/>
            <w:r w:rsidR="00747433" w:rsidRPr="00A51E75">
              <w:rPr>
                <w:rFonts w:asciiTheme="minorHAnsi" w:eastAsia="SimSun" w:hAnsiTheme="minorHAnsi" w:cstheme="minorHAnsi"/>
                <w:i/>
                <w:sz w:val="16"/>
                <w:szCs w:val="16"/>
              </w:rPr>
              <w:t>capacities</w:t>
            </w:r>
            <w:proofErr w:type="spellEnd"/>
            <w:r w:rsidRPr="00A51E75">
              <w:rPr>
                <w:rFonts w:asciiTheme="minorHAnsi" w:eastAsia="SimSun" w:hAnsiTheme="minorHAnsi" w:cstheme="minorHAnsi"/>
                <w:i/>
                <w:sz w:val="16"/>
                <w:szCs w:val="16"/>
                <w:lang w:val="en-US"/>
              </w:rPr>
              <w:t xml:space="preserve"> </w:t>
            </w:r>
          </w:p>
        </w:tc>
        <w:tc>
          <w:tcPr>
            <w:tcW w:w="1259" w:type="pct"/>
            <w:tcBorders>
              <w:top w:val="nil"/>
              <w:left w:val="nil"/>
              <w:bottom w:val="single" w:sz="4" w:space="0" w:color="auto"/>
              <w:right w:val="single" w:sz="4" w:space="0" w:color="auto"/>
            </w:tcBorders>
          </w:tcPr>
          <w:p w14:paraId="0E3D6A42" w14:textId="77777777" w:rsidR="007E2ECB" w:rsidRPr="00A51E75" w:rsidRDefault="007E2ECB" w:rsidP="007E2ECB">
            <w:pPr>
              <w:jc w:val="both"/>
              <w:rPr>
                <w:rFonts w:asciiTheme="minorHAnsi" w:hAnsiTheme="minorHAnsi" w:cstheme="minorHAnsi"/>
                <w:color w:val="000000"/>
                <w:sz w:val="16"/>
                <w:szCs w:val="16"/>
                <w:lang w:val="en-GB"/>
              </w:rPr>
            </w:pPr>
          </w:p>
        </w:tc>
      </w:tr>
      <w:tr w:rsidR="007E2ECB" w:rsidRPr="00A51E75" w14:paraId="21ED9B88" w14:textId="77777777" w:rsidTr="4FBD6713">
        <w:trPr>
          <w:trHeight w:val="170"/>
        </w:trPr>
        <w:tc>
          <w:tcPr>
            <w:tcW w:w="1034" w:type="pct"/>
            <w:tcBorders>
              <w:top w:val="nil"/>
              <w:left w:val="single" w:sz="4" w:space="0" w:color="auto"/>
              <w:bottom w:val="single" w:sz="4" w:space="0" w:color="auto"/>
              <w:right w:val="single" w:sz="4" w:space="0" w:color="auto"/>
            </w:tcBorders>
          </w:tcPr>
          <w:p w14:paraId="66E13833" w14:textId="77777777" w:rsidR="007E2ECB" w:rsidRPr="00A51E75" w:rsidRDefault="007E2ECB" w:rsidP="007E2ECB">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6935F3F6" w14:textId="69F82811" w:rsidR="007E2ECB" w:rsidRPr="00A51E75" w:rsidRDefault="007E2ECB" w:rsidP="007E2ECB">
            <w:pPr>
              <w:ind w:left="204" w:hanging="20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tcPr>
          <w:p w14:paraId="55DD12BC" w14:textId="06E48D07" w:rsidR="007E2ECB" w:rsidRPr="00A51E75" w:rsidRDefault="007E2ECB" w:rsidP="007E2ECB">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i/>
                <w:sz w:val="16"/>
                <w:szCs w:val="16"/>
                <w:lang w:val="en-US"/>
              </w:rPr>
              <w:t xml:space="preserve"> </w:t>
            </w:r>
            <w:r w:rsidR="00747433" w:rsidRPr="00A51E75">
              <w:rPr>
                <w:rFonts w:asciiTheme="minorHAnsi" w:eastAsia="SimSun" w:hAnsiTheme="minorHAnsi" w:cstheme="minorHAnsi"/>
                <w:i/>
                <w:sz w:val="16"/>
                <w:szCs w:val="16"/>
              </w:rPr>
              <w:t>Inclusive knowledge management</w:t>
            </w:r>
          </w:p>
        </w:tc>
        <w:tc>
          <w:tcPr>
            <w:tcW w:w="1259" w:type="pct"/>
            <w:tcBorders>
              <w:top w:val="nil"/>
              <w:left w:val="nil"/>
              <w:bottom w:val="single" w:sz="4" w:space="0" w:color="auto"/>
              <w:right w:val="single" w:sz="4" w:space="0" w:color="auto"/>
            </w:tcBorders>
          </w:tcPr>
          <w:p w14:paraId="1D24A57E" w14:textId="77777777" w:rsidR="007E2ECB" w:rsidRPr="00A51E75" w:rsidRDefault="007E2ECB" w:rsidP="007E2ECB">
            <w:pPr>
              <w:jc w:val="both"/>
              <w:rPr>
                <w:rFonts w:asciiTheme="minorHAnsi" w:hAnsiTheme="minorHAnsi" w:cstheme="minorHAnsi"/>
                <w:color w:val="000000"/>
                <w:sz w:val="16"/>
                <w:szCs w:val="16"/>
                <w:lang w:val="en-GB"/>
              </w:rPr>
            </w:pPr>
          </w:p>
        </w:tc>
      </w:tr>
      <w:tr w:rsidR="008B6F84" w:rsidRPr="00A51E75" w14:paraId="05CA77B0" w14:textId="77777777" w:rsidTr="4FBD6713">
        <w:trPr>
          <w:trHeight w:val="170"/>
        </w:trPr>
        <w:tc>
          <w:tcPr>
            <w:tcW w:w="1034" w:type="pct"/>
            <w:tcBorders>
              <w:top w:val="nil"/>
              <w:left w:val="single" w:sz="4" w:space="0" w:color="auto"/>
              <w:bottom w:val="single" w:sz="4" w:space="0" w:color="auto"/>
              <w:right w:val="single" w:sz="4" w:space="0" w:color="auto"/>
            </w:tcBorders>
          </w:tcPr>
          <w:p w14:paraId="33747232"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154DAE1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Targeted Research</w:t>
            </w:r>
          </w:p>
        </w:tc>
        <w:tc>
          <w:tcPr>
            <w:tcW w:w="1181" w:type="pct"/>
            <w:tcBorders>
              <w:top w:val="nil"/>
              <w:left w:val="nil"/>
              <w:bottom w:val="single" w:sz="4" w:space="0" w:color="auto"/>
              <w:right w:val="single" w:sz="4" w:space="0" w:color="auto"/>
            </w:tcBorders>
          </w:tcPr>
          <w:p w14:paraId="601BD46F"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26B195BF"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3074D8D5" w14:textId="77777777" w:rsidTr="4FBD6713">
        <w:trPr>
          <w:trHeight w:val="170"/>
        </w:trPr>
        <w:tc>
          <w:tcPr>
            <w:tcW w:w="1034" w:type="pct"/>
            <w:tcBorders>
              <w:top w:val="nil"/>
              <w:left w:val="single" w:sz="4" w:space="0" w:color="auto"/>
              <w:bottom w:val="single" w:sz="4" w:space="0" w:color="auto"/>
              <w:right w:val="single" w:sz="4" w:space="0" w:color="auto"/>
            </w:tcBorders>
          </w:tcPr>
          <w:p w14:paraId="435E505D"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143DC6D2" w14:textId="617413AA" w:rsidR="008B6F84" w:rsidRPr="00A51E75" w:rsidRDefault="007E2ECB"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Learning</w:t>
            </w:r>
          </w:p>
        </w:tc>
        <w:tc>
          <w:tcPr>
            <w:tcW w:w="1181" w:type="pct"/>
            <w:tcBorders>
              <w:top w:val="nil"/>
              <w:left w:val="nil"/>
              <w:bottom w:val="single" w:sz="4" w:space="0" w:color="auto"/>
              <w:right w:val="single" w:sz="4" w:space="0" w:color="auto"/>
            </w:tcBorders>
          </w:tcPr>
          <w:p w14:paraId="21012143"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4365B8F1"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7E1A52CA" w14:textId="77777777" w:rsidTr="4FBD6713">
        <w:trPr>
          <w:trHeight w:val="170"/>
        </w:trPr>
        <w:tc>
          <w:tcPr>
            <w:tcW w:w="1034" w:type="pct"/>
            <w:tcBorders>
              <w:top w:val="nil"/>
              <w:left w:val="single" w:sz="4" w:space="0" w:color="auto"/>
              <w:bottom w:val="single" w:sz="4" w:space="0" w:color="auto"/>
              <w:right w:val="single" w:sz="4" w:space="0" w:color="auto"/>
            </w:tcBorders>
          </w:tcPr>
          <w:p w14:paraId="0DAF30B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14EC549E"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4976E21A" w14:textId="743B7BBA" w:rsidR="008B6F84" w:rsidRPr="00A51E75" w:rsidRDefault="007E2ECB"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SimSun" w:hAnsiTheme="minorHAnsi" w:cstheme="minorHAnsi"/>
                <w:color w:val="000000"/>
                <w:sz w:val="16"/>
                <w:szCs w:val="16"/>
                <w:lang w:val="en-GB"/>
              </w:rPr>
              <w:t>Theory of Change</w:t>
            </w:r>
          </w:p>
        </w:tc>
        <w:tc>
          <w:tcPr>
            <w:tcW w:w="1259" w:type="pct"/>
            <w:tcBorders>
              <w:top w:val="nil"/>
              <w:left w:val="nil"/>
              <w:bottom w:val="single" w:sz="4" w:space="0" w:color="auto"/>
              <w:right w:val="single" w:sz="4" w:space="0" w:color="auto"/>
            </w:tcBorders>
          </w:tcPr>
          <w:p w14:paraId="70CCDBD4" w14:textId="09030623" w:rsidR="008B6F84" w:rsidRPr="00A51E75" w:rsidRDefault="00747433" w:rsidP="008B6F84">
            <w:pPr>
              <w:jc w:val="both"/>
              <w:rPr>
                <w:rFonts w:asciiTheme="minorHAnsi" w:hAnsiTheme="minorHAnsi" w:cstheme="minorHAnsi"/>
                <w:i/>
                <w:color w:val="000000"/>
                <w:sz w:val="16"/>
                <w:szCs w:val="16"/>
              </w:rPr>
            </w:pPr>
            <w:r w:rsidRPr="00A51E75">
              <w:rPr>
                <w:rFonts w:asciiTheme="minorHAnsi" w:eastAsia="SimSun" w:hAnsiTheme="minorHAnsi" w:cstheme="minorHAnsi"/>
                <w:i/>
                <w:sz w:val="16"/>
                <w:szCs w:val="16"/>
              </w:rPr>
              <w:t xml:space="preserve">Based </w:t>
            </w:r>
            <w:proofErr w:type="spellStart"/>
            <w:r w:rsidRPr="00A51E75">
              <w:rPr>
                <w:rFonts w:asciiTheme="minorHAnsi" w:eastAsia="SimSun" w:hAnsiTheme="minorHAnsi" w:cstheme="minorHAnsi"/>
                <w:i/>
                <w:sz w:val="16"/>
                <w:szCs w:val="16"/>
              </w:rPr>
              <w:t>on</w:t>
            </w:r>
            <w:proofErr w:type="spellEnd"/>
            <w:r w:rsidRPr="00A51E75">
              <w:rPr>
                <w:rFonts w:asciiTheme="minorHAnsi" w:eastAsia="SimSun" w:hAnsiTheme="minorHAnsi" w:cstheme="minorHAnsi"/>
                <w:i/>
                <w:sz w:val="16"/>
                <w:szCs w:val="16"/>
              </w:rPr>
              <w:t xml:space="preserve"> GEF STAP</w:t>
            </w:r>
          </w:p>
        </w:tc>
      </w:tr>
      <w:tr w:rsidR="008B6F84" w:rsidRPr="00A51E75" w14:paraId="0B5A65D5" w14:textId="77777777" w:rsidTr="4FBD6713">
        <w:trPr>
          <w:trHeight w:val="170"/>
        </w:trPr>
        <w:tc>
          <w:tcPr>
            <w:tcW w:w="1034" w:type="pct"/>
            <w:tcBorders>
              <w:top w:val="nil"/>
              <w:left w:val="single" w:sz="4" w:space="0" w:color="auto"/>
              <w:bottom w:val="single" w:sz="4" w:space="0" w:color="auto"/>
              <w:right w:val="single" w:sz="4" w:space="0" w:color="auto"/>
            </w:tcBorders>
          </w:tcPr>
          <w:p w14:paraId="52E71C79" w14:textId="77777777" w:rsidR="008B6F84" w:rsidRPr="00A51E75" w:rsidRDefault="008B6F84" w:rsidP="008B6F84">
            <w:pPr>
              <w:jc w:val="both"/>
              <w:rPr>
                <w:rFonts w:asciiTheme="minorHAnsi" w:hAnsiTheme="minorHAnsi" w:cstheme="minorHAnsi"/>
                <w:b/>
                <w:bCs/>
                <w:color w:val="000000"/>
                <w:sz w:val="16"/>
                <w:szCs w:val="16"/>
              </w:rPr>
            </w:pPr>
          </w:p>
        </w:tc>
        <w:tc>
          <w:tcPr>
            <w:tcW w:w="1526" w:type="pct"/>
            <w:tcBorders>
              <w:top w:val="nil"/>
              <w:left w:val="nil"/>
              <w:bottom w:val="single" w:sz="4" w:space="0" w:color="auto"/>
              <w:right w:val="single" w:sz="4" w:space="0" w:color="auto"/>
            </w:tcBorders>
          </w:tcPr>
          <w:p w14:paraId="073C2900" w14:textId="77777777" w:rsidR="008B6F84" w:rsidRPr="00A51E75" w:rsidRDefault="008B6F84" w:rsidP="008B6F84">
            <w:pPr>
              <w:jc w:val="both"/>
              <w:rPr>
                <w:rFonts w:asciiTheme="minorHAnsi" w:hAnsiTheme="minorHAnsi" w:cstheme="minorHAnsi"/>
                <w:b/>
                <w:bCs/>
                <w:color w:val="000000"/>
                <w:sz w:val="16"/>
                <w:szCs w:val="16"/>
              </w:rPr>
            </w:pPr>
          </w:p>
        </w:tc>
        <w:tc>
          <w:tcPr>
            <w:tcW w:w="1181" w:type="pct"/>
            <w:tcBorders>
              <w:top w:val="nil"/>
              <w:left w:val="nil"/>
              <w:bottom w:val="single" w:sz="4" w:space="0" w:color="auto"/>
              <w:right w:val="single" w:sz="4" w:space="0" w:color="auto"/>
            </w:tcBorders>
          </w:tcPr>
          <w:p w14:paraId="29FD8CB7"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Adaptive Management</w:t>
            </w:r>
          </w:p>
        </w:tc>
        <w:tc>
          <w:tcPr>
            <w:tcW w:w="1259" w:type="pct"/>
            <w:tcBorders>
              <w:top w:val="nil"/>
              <w:left w:val="nil"/>
              <w:bottom w:val="single" w:sz="4" w:space="0" w:color="auto"/>
              <w:right w:val="single" w:sz="4" w:space="0" w:color="auto"/>
            </w:tcBorders>
          </w:tcPr>
          <w:p w14:paraId="7F0C064B" w14:textId="77777777" w:rsidR="008B6F84" w:rsidRPr="00A51E75" w:rsidRDefault="008B6F84" w:rsidP="008B6F84">
            <w:pPr>
              <w:jc w:val="both"/>
              <w:rPr>
                <w:rFonts w:asciiTheme="minorHAnsi" w:hAnsiTheme="minorHAnsi" w:cstheme="minorHAnsi"/>
                <w:i/>
                <w:color w:val="000000"/>
                <w:sz w:val="16"/>
                <w:szCs w:val="16"/>
                <w:lang w:val="en-GB"/>
              </w:rPr>
            </w:pPr>
          </w:p>
        </w:tc>
      </w:tr>
      <w:tr w:rsidR="008B6F84" w:rsidRPr="00A51E75" w14:paraId="4C2E487C" w14:textId="77777777" w:rsidTr="4FBD6713">
        <w:trPr>
          <w:trHeight w:val="170"/>
        </w:trPr>
        <w:tc>
          <w:tcPr>
            <w:tcW w:w="1034" w:type="pct"/>
            <w:tcBorders>
              <w:top w:val="nil"/>
              <w:left w:val="single" w:sz="4" w:space="0" w:color="auto"/>
              <w:bottom w:val="single" w:sz="4" w:space="0" w:color="auto"/>
              <w:right w:val="single" w:sz="4" w:space="0" w:color="auto"/>
            </w:tcBorders>
          </w:tcPr>
          <w:p w14:paraId="26015627"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1C52CB5F"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2F50ADA4" w14:textId="119F4881" w:rsidR="008B6F84" w:rsidRPr="00A51E75" w:rsidRDefault="007E2ECB"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SimSun" w:hAnsiTheme="minorHAnsi" w:cstheme="minorHAnsi"/>
                <w:color w:val="000000"/>
                <w:sz w:val="16"/>
                <w:szCs w:val="16"/>
                <w:lang w:val="en-GB"/>
              </w:rPr>
              <w:t>Indicators to Measure Change</w:t>
            </w:r>
          </w:p>
        </w:tc>
        <w:tc>
          <w:tcPr>
            <w:tcW w:w="1259" w:type="pct"/>
            <w:tcBorders>
              <w:top w:val="nil"/>
              <w:left w:val="nil"/>
              <w:bottom w:val="single" w:sz="4" w:space="0" w:color="auto"/>
              <w:right w:val="single" w:sz="4" w:space="0" w:color="auto"/>
            </w:tcBorders>
          </w:tcPr>
          <w:p w14:paraId="452233E9" w14:textId="540F0FDB" w:rsidR="008B6F84" w:rsidRPr="00A51E75" w:rsidRDefault="00747433" w:rsidP="008B6F84">
            <w:pPr>
              <w:jc w:val="both"/>
              <w:rPr>
                <w:rFonts w:asciiTheme="minorHAnsi" w:hAnsiTheme="minorHAnsi" w:cstheme="minorHAnsi"/>
                <w:i/>
                <w:color w:val="000000"/>
                <w:sz w:val="16"/>
                <w:szCs w:val="16"/>
              </w:rPr>
            </w:pPr>
            <w:r w:rsidRPr="00A51E75">
              <w:rPr>
                <w:rFonts w:asciiTheme="minorHAnsi" w:eastAsia="SimSun" w:hAnsiTheme="minorHAnsi" w:cstheme="minorHAnsi"/>
                <w:i/>
                <w:sz w:val="16"/>
                <w:szCs w:val="16"/>
              </w:rPr>
              <w:t xml:space="preserve">Based </w:t>
            </w:r>
            <w:proofErr w:type="spellStart"/>
            <w:r w:rsidRPr="00A51E75">
              <w:rPr>
                <w:rFonts w:asciiTheme="minorHAnsi" w:eastAsia="SimSun" w:hAnsiTheme="minorHAnsi" w:cstheme="minorHAnsi"/>
                <w:i/>
                <w:sz w:val="16"/>
                <w:szCs w:val="16"/>
              </w:rPr>
              <w:t>on</w:t>
            </w:r>
            <w:proofErr w:type="spellEnd"/>
            <w:r w:rsidRPr="00A51E75">
              <w:rPr>
                <w:rFonts w:asciiTheme="minorHAnsi" w:eastAsia="SimSun" w:hAnsiTheme="minorHAnsi" w:cstheme="minorHAnsi"/>
                <w:i/>
                <w:sz w:val="16"/>
                <w:szCs w:val="16"/>
              </w:rPr>
              <w:t xml:space="preserve"> GEF STAP</w:t>
            </w:r>
          </w:p>
        </w:tc>
      </w:tr>
      <w:tr w:rsidR="008B6F84" w:rsidRPr="00A51E75" w14:paraId="5DF4728B" w14:textId="77777777" w:rsidTr="4FBD6713">
        <w:trPr>
          <w:trHeight w:val="170"/>
        </w:trPr>
        <w:tc>
          <w:tcPr>
            <w:tcW w:w="1034" w:type="pct"/>
            <w:tcBorders>
              <w:top w:val="nil"/>
              <w:left w:val="single" w:sz="4" w:space="0" w:color="auto"/>
              <w:bottom w:val="single" w:sz="4" w:space="0" w:color="auto"/>
              <w:right w:val="single" w:sz="4" w:space="0" w:color="auto"/>
            </w:tcBorders>
          </w:tcPr>
          <w:p w14:paraId="269FAAE5" w14:textId="77777777" w:rsidR="008B6F84" w:rsidRPr="00A51E75" w:rsidRDefault="008B6F84" w:rsidP="008B6F84">
            <w:pPr>
              <w:jc w:val="both"/>
              <w:rPr>
                <w:rFonts w:asciiTheme="minorHAnsi" w:hAnsiTheme="minorHAnsi" w:cstheme="minorHAnsi"/>
                <w:b/>
                <w:bCs/>
                <w:color w:val="000000"/>
                <w:sz w:val="16"/>
                <w:szCs w:val="16"/>
              </w:rPr>
            </w:pPr>
          </w:p>
        </w:tc>
        <w:tc>
          <w:tcPr>
            <w:tcW w:w="1526" w:type="pct"/>
            <w:tcBorders>
              <w:top w:val="nil"/>
              <w:left w:val="nil"/>
              <w:bottom w:val="single" w:sz="4" w:space="0" w:color="auto"/>
              <w:right w:val="single" w:sz="4" w:space="0" w:color="auto"/>
            </w:tcBorders>
          </w:tcPr>
          <w:p w14:paraId="566BD19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Innovation</w:t>
            </w:r>
          </w:p>
        </w:tc>
        <w:tc>
          <w:tcPr>
            <w:tcW w:w="1181" w:type="pct"/>
            <w:tcBorders>
              <w:top w:val="nil"/>
              <w:left w:val="nil"/>
              <w:bottom w:val="single" w:sz="4" w:space="0" w:color="auto"/>
              <w:right w:val="single" w:sz="4" w:space="0" w:color="auto"/>
            </w:tcBorders>
          </w:tcPr>
          <w:p w14:paraId="01550CEA"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36DD2C2C" w14:textId="77777777" w:rsidR="008B6F84" w:rsidRPr="00A51E75" w:rsidRDefault="008B6F84" w:rsidP="008B6F84">
            <w:pPr>
              <w:jc w:val="both"/>
              <w:rPr>
                <w:rFonts w:asciiTheme="minorHAnsi" w:hAnsiTheme="minorHAnsi" w:cstheme="minorHAnsi"/>
                <w:i/>
                <w:color w:val="000000"/>
                <w:sz w:val="16"/>
                <w:szCs w:val="16"/>
                <w:lang w:val="en-GB"/>
              </w:rPr>
            </w:pPr>
          </w:p>
        </w:tc>
      </w:tr>
      <w:tr w:rsidR="008B6F84" w:rsidRPr="00A51E75" w14:paraId="5901C3E8" w14:textId="77777777" w:rsidTr="4FBD6713">
        <w:trPr>
          <w:trHeight w:val="170"/>
        </w:trPr>
        <w:tc>
          <w:tcPr>
            <w:tcW w:w="1034" w:type="pct"/>
            <w:tcBorders>
              <w:top w:val="nil"/>
              <w:left w:val="single" w:sz="4" w:space="0" w:color="auto"/>
              <w:bottom w:val="single" w:sz="4" w:space="0" w:color="auto"/>
              <w:right w:val="single" w:sz="4" w:space="0" w:color="auto"/>
            </w:tcBorders>
            <w:hideMark/>
          </w:tcPr>
          <w:p w14:paraId="05DB2CA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4C69DE" w14:textId="083ED78D" w:rsidR="008B6F84" w:rsidRPr="00A51E75" w:rsidRDefault="007E2ECB" w:rsidP="008B6F84">
            <w:pPr>
              <w:ind w:left="204" w:hanging="20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Knowledge and Learning</w:t>
            </w:r>
          </w:p>
        </w:tc>
        <w:tc>
          <w:tcPr>
            <w:tcW w:w="1181" w:type="pct"/>
            <w:tcBorders>
              <w:top w:val="nil"/>
              <w:left w:val="nil"/>
              <w:bottom w:val="single" w:sz="4" w:space="0" w:color="auto"/>
              <w:right w:val="single" w:sz="4" w:space="0" w:color="auto"/>
            </w:tcBorders>
          </w:tcPr>
          <w:p w14:paraId="42863EC4" w14:textId="77777777" w:rsidR="008B6F84" w:rsidRPr="00A51E75" w:rsidRDefault="008B6F84" w:rsidP="008B6F84">
            <w:pPr>
              <w:jc w:val="both"/>
              <w:rPr>
                <w:rFonts w:asciiTheme="minorHAnsi"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hideMark/>
          </w:tcPr>
          <w:p w14:paraId="3322CC3B"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086BBB82" w14:textId="77777777" w:rsidTr="4FBD6713">
        <w:trPr>
          <w:trHeight w:val="170"/>
        </w:trPr>
        <w:tc>
          <w:tcPr>
            <w:tcW w:w="1034" w:type="pct"/>
            <w:tcBorders>
              <w:top w:val="nil"/>
              <w:left w:val="single" w:sz="4" w:space="0" w:color="auto"/>
              <w:bottom w:val="single" w:sz="4" w:space="0" w:color="auto"/>
              <w:right w:val="single" w:sz="4" w:space="0" w:color="auto"/>
            </w:tcBorders>
          </w:tcPr>
          <w:p w14:paraId="33C5784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39A3B281"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5803C49F"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Knowledge Management</w:t>
            </w:r>
          </w:p>
        </w:tc>
        <w:tc>
          <w:tcPr>
            <w:tcW w:w="1259" w:type="pct"/>
            <w:tcBorders>
              <w:top w:val="nil"/>
              <w:left w:val="nil"/>
              <w:bottom w:val="single" w:sz="4" w:space="0" w:color="auto"/>
              <w:right w:val="single" w:sz="4" w:space="0" w:color="auto"/>
            </w:tcBorders>
          </w:tcPr>
          <w:p w14:paraId="239AE5B9" w14:textId="77777777" w:rsidR="008B6F84" w:rsidRPr="00A51E75" w:rsidRDefault="008B6F84" w:rsidP="008B6F84">
            <w:pPr>
              <w:jc w:val="both"/>
              <w:rPr>
                <w:rFonts w:asciiTheme="minorHAnsi" w:hAnsiTheme="minorHAnsi" w:cstheme="minorHAnsi"/>
                <w:i/>
                <w:color w:val="000000"/>
                <w:sz w:val="16"/>
                <w:szCs w:val="16"/>
                <w:lang w:val="en-GB"/>
              </w:rPr>
            </w:pPr>
          </w:p>
        </w:tc>
      </w:tr>
      <w:tr w:rsidR="008B6F84" w:rsidRPr="00A51E75" w14:paraId="5BB778C7" w14:textId="77777777" w:rsidTr="4FBD6713">
        <w:trPr>
          <w:trHeight w:val="170"/>
        </w:trPr>
        <w:tc>
          <w:tcPr>
            <w:tcW w:w="1034" w:type="pct"/>
            <w:tcBorders>
              <w:top w:val="nil"/>
              <w:left w:val="single" w:sz="4" w:space="0" w:color="auto"/>
              <w:bottom w:val="single" w:sz="4" w:space="0" w:color="auto"/>
              <w:right w:val="single" w:sz="4" w:space="0" w:color="auto"/>
            </w:tcBorders>
            <w:hideMark/>
          </w:tcPr>
          <w:p w14:paraId="280520C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C72EC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F59B8B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Innovation</w:t>
            </w:r>
          </w:p>
        </w:tc>
        <w:tc>
          <w:tcPr>
            <w:tcW w:w="1259" w:type="pct"/>
            <w:tcBorders>
              <w:top w:val="nil"/>
              <w:left w:val="nil"/>
              <w:bottom w:val="single" w:sz="4" w:space="0" w:color="auto"/>
              <w:right w:val="single" w:sz="4" w:space="0" w:color="auto"/>
            </w:tcBorders>
            <w:hideMark/>
          </w:tcPr>
          <w:p w14:paraId="1010486F"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2230750F" w14:textId="77777777" w:rsidTr="4FBD6713">
        <w:trPr>
          <w:trHeight w:val="161"/>
        </w:trPr>
        <w:tc>
          <w:tcPr>
            <w:tcW w:w="1034" w:type="pct"/>
            <w:tcBorders>
              <w:top w:val="nil"/>
              <w:left w:val="single" w:sz="4" w:space="0" w:color="auto"/>
              <w:bottom w:val="single" w:sz="4" w:space="0" w:color="auto"/>
              <w:right w:val="single" w:sz="4" w:space="0" w:color="auto"/>
            </w:tcBorders>
            <w:hideMark/>
          </w:tcPr>
          <w:p w14:paraId="28A15BD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4BF52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A08DB0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Capacity Development</w:t>
            </w:r>
          </w:p>
        </w:tc>
        <w:tc>
          <w:tcPr>
            <w:tcW w:w="1259" w:type="pct"/>
            <w:tcBorders>
              <w:top w:val="nil"/>
              <w:left w:val="nil"/>
              <w:bottom w:val="single" w:sz="4" w:space="0" w:color="auto"/>
              <w:right w:val="single" w:sz="4" w:space="0" w:color="auto"/>
            </w:tcBorders>
            <w:hideMark/>
          </w:tcPr>
          <w:p w14:paraId="70C72056"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283806E1"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380796F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638603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BD11FC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Learning</w:t>
            </w:r>
          </w:p>
        </w:tc>
        <w:tc>
          <w:tcPr>
            <w:tcW w:w="1259" w:type="pct"/>
            <w:tcBorders>
              <w:top w:val="nil"/>
              <w:left w:val="nil"/>
              <w:bottom w:val="single" w:sz="4" w:space="0" w:color="auto"/>
              <w:right w:val="single" w:sz="4" w:space="0" w:color="auto"/>
            </w:tcBorders>
            <w:hideMark/>
          </w:tcPr>
          <w:p w14:paraId="70BD461F"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3CF84D43" w14:textId="77777777" w:rsidTr="4FBD6713">
        <w:trPr>
          <w:trHeight w:val="359"/>
        </w:trPr>
        <w:tc>
          <w:tcPr>
            <w:tcW w:w="1034" w:type="pct"/>
            <w:tcBorders>
              <w:top w:val="nil"/>
              <w:left w:val="single" w:sz="4" w:space="0" w:color="auto"/>
              <w:bottom w:val="single" w:sz="4" w:space="0" w:color="auto"/>
              <w:right w:val="single" w:sz="4" w:space="0" w:color="auto"/>
            </w:tcBorders>
            <w:hideMark/>
          </w:tcPr>
          <w:p w14:paraId="086CA3B5" w14:textId="77777777" w:rsidR="008B6F84" w:rsidRPr="00A51E75" w:rsidRDefault="00211737" w:rsidP="008B6F84">
            <w:pPr>
              <w:jc w:val="both"/>
              <w:rPr>
                <w:rFonts w:asciiTheme="minorHAnsi" w:hAnsiTheme="minorHAnsi" w:cstheme="minorHAnsi"/>
                <w:b/>
                <w:bCs/>
                <w:iCs/>
                <w:color w:val="000000"/>
                <w:sz w:val="16"/>
                <w:szCs w:val="16"/>
                <w:lang w:val="en-GB"/>
              </w:rPr>
            </w:pPr>
            <w:r w:rsidRPr="00A51E75">
              <w:rPr>
                <w:rFonts w:asciiTheme="minorHAnsi" w:hAnsiTheme="minorHAnsi" w:cstheme="minorHAnsi"/>
                <w:b/>
                <w:bCs/>
                <w:iCs/>
                <w:color w:val="000000"/>
                <w:sz w:val="16"/>
                <w:szCs w:val="16"/>
                <w:lang w:val="en-GB"/>
              </w:rPr>
              <w:t> </w:t>
            </w:r>
          </w:p>
        </w:tc>
        <w:tc>
          <w:tcPr>
            <w:tcW w:w="1526" w:type="pct"/>
            <w:tcBorders>
              <w:top w:val="nil"/>
              <w:left w:val="nil"/>
              <w:bottom w:val="single" w:sz="4" w:space="0" w:color="auto"/>
              <w:right w:val="single" w:sz="4" w:space="0" w:color="auto"/>
            </w:tcBorders>
            <w:hideMark/>
          </w:tcPr>
          <w:p w14:paraId="4AD1128C" w14:textId="61055827" w:rsidR="008B6F84" w:rsidRPr="00A51E75" w:rsidRDefault="007E2ECB" w:rsidP="008B6F84">
            <w:pPr>
              <w:ind w:left="114" w:hanging="114"/>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hideMark/>
          </w:tcPr>
          <w:p w14:paraId="51C15CC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hideMark/>
          </w:tcPr>
          <w:p w14:paraId="02100E11"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1475AD36"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1CB8C7D4" w14:textId="61E83591" w:rsidR="008B6F84" w:rsidRPr="00A51E75" w:rsidRDefault="007E2ECB"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hideMark/>
          </w:tcPr>
          <w:p w14:paraId="77D6DB3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8A5C17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hideMark/>
          </w:tcPr>
          <w:p w14:paraId="59FB3038"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61B290D8"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0182B46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E50A233" w14:textId="248870AD" w:rsidR="008B6F84" w:rsidRPr="00A51E75" w:rsidRDefault="007E2ECB"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Gender Mainstreaming</w:t>
            </w:r>
          </w:p>
        </w:tc>
        <w:tc>
          <w:tcPr>
            <w:tcW w:w="1181" w:type="pct"/>
            <w:tcBorders>
              <w:top w:val="nil"/>
              <w:left w:val="nil"/>
              <w:bottom w:val="single" w:sz="4" w:space="0" w:color="auto"/>
              <w:right w:val="single" w:sz="4" w:space="0" w:color="auto"/>
            </w:tcBorders>
          </w:tcPr>
          <w:p w14:paraId="466B47E2" w14:textId="77777777" w:rsidR="008B6F84" w:rsidRPr="00A51E75" w:rsidRDefault="008B6F84" w:rsidP="008B6F84">
            <w:pPr>
              <w:jc w:val="both"/>
              <w:rPr>
                <w:rFonts w:asciiTheme="minorHAnsi"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hideMark/>
          </w:tcPr>
          <w:p w14:paraId="1CB187C7"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2548EA4B" w14:textId="77777777" w:rsidTr="4FBD6713">
        <w:trPr>
          <w:trHeight w:val="58"/>
        </w:trPr>
        <w:tc>
          <w:tcPr>
            <w:tcW w:w="1034" w:type="pct"/>
            <w:tcBorders>
              <w:top w:val="nil"/>
              <w:left w:val="single" w:sz="4" w:space="0" w:color="auto"/>
              <w:bottom w:val="single" w:sz="4" w:space="0" w:color="auto"/>
              <w:right w:val="single" w:sz="4" w:space="0" w:color="auto"/>
            </w:tcBorders>
          </w:tcPr>
          <w:p w14:paraId="1A6B871D"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2A2B1271"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516F47A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xml:space="preserve"> </w:t>
            </w: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Beneficiaries</w:t>
            </w:r>
          </w:p>
        </w:tc>
        <w:tc>
          <w:tcPr>
            <w:tcW w:w="1259" w:type="pct"/>
            <w:tcBorders>
              <w:top w:val="nil"/>
              <w:left w:val="nil"/>
              <w:bottom w:val="single" w:sz="4" w:space="0" w:color="auto"/>
              <w:right w:val="single" w:sz="4" w:space="0" w:color="auto"/>
            </w:tcBorders>
          </w:tcPr>
          <w:p w14:paraId="351C99E6" w14:textId="77777777" w:rsidR="008B6F84" w:rsidRPr="00A51E75" w:rsidRDefault="008B6F84" w:rsidP="008B6F84">
            <w:pPr>
              <w:jc w:val="both"/>
              <w:rPr>
                <w:rFonts w:asciiTheme="minorHAnsi" w:hAnsiTheme="minorHAnsi" w:cstheme="minorHAnsi"/>
                <w:i/>
                <w:color w:val="000000"/>
                <w:sz w:val="16"/>
                <w:szCs w:val="16"/>
                <w:lang w:val="en-GB"/>
              </w:rPr>
            </w:pPr>
          </w:p>
        </w:tc>
      </w:tr>
      <w:tr w:rsidR="008B6F84" w:rsidRPr="00A51E75" w14:paraId="4BBD6D89" w14:textId="77777777" w:rsidTr="4FBD6713">
        <w:trPr>
          <w:trHeight w:val="143"/>
        </w:trPr>
        <w:tc>
          <w:tcPr>
            <w:tcW w:w="1034" w:type="pct"/>
            <w:tcBorders>
              <w:top w:val="nil"/>
              <w:left w:val="single" w:sz="4" w:space="0" w:color="auto"/>
              <w:bottom w:val="single" w:sz="4" w:space="0" w:color="auto"/>
              <w:right w:val="single" w:sz="4" w:space="0" w:color="auto"/>
            </w:tcBorders>
            <w:hideMark/>
          </w:tcPr>
          <w:p w14:paraId="7950FBA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D2857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tcPr>
          <w:p w14:paraId="5157EE31" w14:textId="5C86764F"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xml:space="preserve"> </w:t>
            </w:r>
            <w:r w:rsidR="007E2ECB"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007E2ECB" w:rsidRPr="00A51E75">
              <w:rPr>
                <w:rFonts w:asciiTheme="minorHAnsi" w:eastAsia="SimSun" w:hAnsiTheme="minorHAnsi" w:cstheme="minorHAnsi"/>
                <w:color w:val="000000"/>
                <w:sz w:val="16"/>
                <w:shd w:val="clear" w:color="auto" w:fill="E6E6E6"/>
                <w:lang w:val="en-GB"/>
              </w:rPr>
              <w:instrText xml:space="preserve"> FORMCHECKBOX </w:instrText>
            </w:r>
            <w:r w:rsidR="007E2ECB" w:rsidRPr="00A51E75">
              <w:rPr>
                <w:rFonts w:asciiTheme="minorHAnsi" w:eastAsia="SimSun" w:hAnsiTheme="minorHAnsi" w:cstheme="minorHAnsi"/>
                <w:color w:val="000000"/>
                <w:sz w:val="16"/>
                <w:shd w:val="clear" w:color="auto" w:fill="E6E6E6"/>
                <w:lang w:val="en-GB"/>
              </w:rPr>
            </w:r>
            <w:r w:rsidR="007E2ECB" w:rsidRPr="00A51E75">
              <w:rPr>
                <w:rFonts w:asciiTheme="minorHAnsi" w:eastAsia="SimSun" w:hAnsiTheme="minorHAnsi" w:cstheme="minorHAnsi"/>
                <w:color w:val="000000"/>
                <w:sz w:val="16"/>
                <w:shd w:val="clear" w:color="auto" w:fill="E6E6E6"/>
                <w:lang w:val="en-GB"/>
              </w:rPr>
              <w:fldChar w:fldCharType="separate"/>
            </w:r>
            <w:r w:rsidR="007E2ECB"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Women groups</w:t>
            </w:r>
          </w:p>
        </w:tc>
        <w:tc>
          <w:tcPr>
            <w:tcW w:w="1259" w:type="pct"/>
            <w:tcBorders>
              <w:top w:val="nil"/>
              <w:left w:val="nil"/>
              <w:bottom w:val="single" w:sz="4" w:space="0" w:color="auto"/>
              <w:right w:val="single" w:sz="4" w:space="0" w:color="auto"/>
            </w:tcBorders>
            <w:hideMark/>
          </w:tcPr>
          <w:p w14:paraId="3559A937"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1AB16A95" w14:textId="77777777" w:rsidTr="4FBD6713">
        <w:trPr>
          <w:trHeight w:val="125"/>
        </w:trPr>
        <w:tc>
          <w:tcPr>
            <w:tcW w:w="1034" w:type="pct"/>
            <w:tcBorders>
              <w:top w:val="nil"/>
              <w:left w:val="single" w:sz="4" w:space="0" w:color="auto"/>
              <w:bottom w:val="single" w:sz="4" w:space="0" w:color="auto"/>
              <w:right w:val="single" w:sz="4" w:space="0" w:color="auto"/>
            </w:tcBorders>
            <w:hideMark/>
          </w:tcPr>
          <w:p w14:paraId="3D1FF05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D54361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tcPr>
          <w:p w14:paraId="72AAD256" w14:textId="7BBBC680"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xml:space="preserve"> </w:t>
            </w:r>
            <w:r w:rsidR="007E2ECB"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0"/>
                  </w:checkBox>
                </w:ffData>
              </w:fldChar>
            </w:r>
            <w:r w:rsidR="007E2ECB" w:rsidRPr="00A51E75">
              <w:rPr>
                <w:rFonts w:asciiTheme="minorHAnsi" w:eastAsia="SimSun" w:hAnsiTheme="minorHAnsi" w:cstheme="minorHAnsi"/>
                <w:color w:val="000000"/>
                <w:sz w:val="16"/>
                <w:shd w:val="clear" w:color="auto" w:fill="E6E6E6"/>
                <w:lang w:val="en-GB"/>
              </w:rPr>
              <w:instrText xml:space="preserve"> FORMCHECKBOX </w:instrText>
            </w:r>
            <w:r w:rsidR="007E2ECB" w:rsidRPr="00A51E75">
              <w:rPr>
                <w:rFonts w:asciiTheme="minorHAnsi" w:eastAsia="SimSun" w:hAnsiTheme="minorHAnsi" w:cstheme="minorHAnsi"/>
                <w:color w:val="000000"/>
                <w:sz w:val="16"/>
                <w:shd w:val="clear" w:color="auto" w:fill="E6E6E6"/>
                <w:lang w:val="en-GB"/>
              </w:rPr>
            </w:r>
            <w:r w:rsidR="007E2ECB" w:rsidRPr="00A51E75">
              <w:rPr>
                <w:rFonts w:asciiTheme="minorHAnsi" w:eastAsia="SimSun" w:hAnsiTheme="minorHAnsi" w:cstheme="minorHAnsi"/>
                <w:color w:val="000000"/>
                <w:sz w:val="16"/>
                <w:shd w:val="clear" w:color="auto" w:fill="E6E6E6"/>
                <w:lang w:val="en-GB"/>
              </w:rPr>
              <w:fldChar w:fldCharType="separate"/>
            </w:r>
            <w:r w:rsidR="007E2ECB"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Sex-disaggregated indicators</w:t>
            </w:r>
          </w:p>
        </w:tc>
        <w:tc>
          <w:tcPr>
            <w:tcW w:w="1259" w:type="pct"/>
            <w:tcBorders>
              <w:top w:val="nil"/>
              <w:left w:val="nil"/>
              <w:bottom w:val="single" w:sz="4" w:space="0" w:color="auto"/>
              <w:right w:val="single" w:sz="4" w:space="0" w:color="auto"/>
            </w:tcBorders>
            <w:hideMark/>
          </w:tcPr>
          <w:p w14:paraId="1E5414DF" w14:textId="4199F47A"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8B6F84" w:rsidRPr="00A51E75" w14:paraId="110228A0"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2352991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C8D63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tcPr>
          <w:p w14:paraId="5DCEA5F0" w14:textId="1E6DA698"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xml:space="preserve"> </w:t>
            </w:r>
            <w:r w:rsidR="007E2ECB"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007E2ECB" w:rsidRPr="00A51E75">
              <w:rPr>
                <w:rFonts w:asciiTheme="minorHAnsi" w:eastAsia="SimSun" w:hAnsiTheme="minorHAnsi" w:cstheme="minorHAnsi"/>
                <w:color w:val="000000"/>
                <w:sz w:val="16"/>
                <w:shd w:val="clear" w:color="auto" w:fill="E6E6E6"/>
                <w:lang w:val="en-GB"/>
              </w:rPr>
              <w:instrText xml:space="preserve"> FORMCHECKBOX </w:instrText>
            </w:r>
            <w:r w:rsidR="007E2ECB" w:rsidRPr="00A51E75">
              <w:rPr>
                <w:rFonts w:asciiTheme="minorHAnsi" w:eastAsia="SimSun" w:hAnsiTheme="minorHAnsi" w:cstheme="minorHAnsi"/>
                <w:color w:val="000000"/>
                <w:sz w:val="16"/>
                <w:shd w:val="clear" w:color="auto" w:fill="E6E6E6"/>
                <w:lang w:val="en-GB"/>
              </w:rPr>
            </w:r>
            <w:r w:rsidR="007E2ECB" w:rsidRPr="00A51E75">
              <w:rPr>
                <w:rFonts w:asciiTheme="minorHAnsi" w:eastAsia="SimSun" w:hAnsiTheme="minorHAnsi" w:cstheme="minorHAnsi"/>
                <w:color w:val="000000"/>
                <w:sz w:val="16"/>
                <w:shd w:val="clear" w:color="auto" w:fill="E6E6E6"/>
                <w:lang w:val="en-GB"/>
              </w:rPr>
              <w:fldChar w:fldCharType="separate"/>
            </w:r>
            <w:r w:rsidR="007E2ECB"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Gender-sensitive indicators</w:t>
            </w:r>
          </w:p>
        </w:tc>
        <w:tc>
          <w:tcPr>
            <w:tcW w:w="1259" w:type="pct"/>
            <w:tcBorders>
              <w:top w:val="nil"/>
              <w:left w:val="nil"/>
              <w:bottom w:val="single" w:sz="4" w:space="0" w:color="auto"/>
              <w:right w:val="single" w:sz="4" w:space="0" w:color="auto"/>
            </w:tcBorders>
            <w:hideMark/>
          </w:tcPr>
          <w:p w14:paraId="5BC0DD99" w14:textId="60E025AA"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roofErr w:type="spellStart"/>
            <w:r w:rsidR="00747433" w:rsidRPr="00A51E75">
              <w:rPr>
                <w:rFonts w:asciiTheme="minorHAnsi" w:hAnsiTheme="minorHAnsi" w:cstheme="minorHAnsi"/>
                <w:i/>
                <w:color w:val="000000"/>
                <w:sz w:val="16"/>
                <w:szCs w:val="16"/>
              </w:rPr>
              <w:t>Effective</w:t>
            </w:r>
            <w:proofErr w:type="spellEnd"/>
            <w:r w:rsidR="00747433" w:rsidRPr="00A51E75">
              <w:rPr>
                <w:rFonts w:asciiTheme="minorHAnsi" w:hAnsiTheme="minorHAnsi" w:cstheme="minorHAnsi"/>
                <w:i/>
                <w:color w:val="000000"/>
                <w:sz w:val="16"/>
                <w:szCs w:val="16"/>
              </w:rPr>
              <w:t xml:space="preserve"> </w:t>
            </w:r>
            <w:proofErr w:type="spellStart"/>
            <w:r w:rsidR="00747433" w:rsidRPr="00A51E75">
              <w:rPr>
                <w:rFonts w:asciiTheme="minorHAnsi" w:hAnsiTheme="minorHAnsi" w:cstheme="minorHAnsi"/>
                <w:i/>
                <w:color w:val="000000"/>
                <w:sz w:val="16"/>
                <w:szCs w:val="16"/>
              </w:rPr>
              <w:t>participation</w:t>
            </w:r>
            <w:proofErr w:type="spellEnd"/>
          </w:p>
        </w:tc>
      </w:tr>
      <w:tr w:rsidR="008B6F84" w:rsidRPr="00A51E75" w14:paraId="0EC2E3C6" w14:textId="77777777" w:rsidTr="4FBD6713">
        <w:trPr>
          <w:trHeight w:val="143"/>
        </w:trPr>
        <w:tc>
          <w:tcPr>
            <w:tcW w:w="1034" w:type="pct"/>
            <w:tcBorders>
              <w:top w:val="nil"/>
              <w:left w:val="single" w:sz="4" w:space="0" w:color="auto"/>
              <w:bottom w:val="single" w:sz="4" w:space="0" w:color="auto"/>
              <w:right w:val="single" w:sz="4" w:space="0" w:color="auto"/>
            </w:tcBorders>
            <w:hideMark/>
          </w:tcPr>
          <w:p w14:paraId="1ADD472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35FEC85B" w14:textId="3BBBFD5C" w:rsidR="008B6F84" w:rsidRPr="00A51E75" w:rsidRDefault="007E2ECB"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Gender results areas</w:t>
            </w:r>
          </w:p>
        </w:tc>
        <w:tc>
          <w:tcPr>
            <w:tcW w:w="1181" w:type="pct"/>
            <w:tcBorders>
              <w:top w:val="nil"/>
              <w:left w:val="nil"/>
              <w:bottom w:val="single" w:sz="4" w:space="0" w:color="auto"/>
              <w:right w:val="single" w:sz="4" w:space="0" w:color="auto"/>
            </w:tcBorders>
          </w:tcPr>
          <w:p w14:paraId="0A591F35" w14:textId="77777777" w:rsidR="008B6F84" w:rsidRPr="00A51E75" w:rsidRDefault="008B6F84" w:rsidP="008B6F84">
            <w:pPr>
              <w:jc w:val="both"/>
              <w:rPr>
                <w:rFonts w:asciiTheme="minorHAnsi"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hideMark/>
          </w:tcPr>
          <w:p w14:paraId="180EE70F" w14:textId="77777777" w:rsidR="008B6F84" w:rsidRPr="00A51E75" w:rsidRDefault="00211737" w:rsidP="008B6F84">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w:t>
            </w:r>
          </w:p>
        </w:tc>
      </w:tr>
      <w:tr w:rsidR="007E2ECB" w:rsidRPr="00A51E75" w14:paraId="35FBD81E" w14:textId="77777777" w:rsidTr="4FBD6713">
        <w:trPr>
          <w:trHeight w:val="143"/>
        </w:trPr>
        <w:tc>
          <w:tcPr>
            <w:tcW w:w="1034" w:type="pct"/>
            <w:tcBorders>
              <w:top w:val="nil"/>
              <w:left w:val="single" w:sz="4" w:space="0" w:color="auto"/>
              <w:bottom w:val="single" w:sz="4" w:space="0" w:color="auto"/>
              <w:right w:val="single" w:sz="4" w:space="0" w:color="auto"/>
            </w:tcBorders>
          </w:tcPr>
          <w:p w14:paraId="65A8D4AE" w14:textId="77777777" w:rsidR="007E2ECB" w:rsidRPr="00A51E75" w:rsidRDefault="007E2ECB" w:rsidP="007E2ECB">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18F4086E" w14:textId="77777777" w:rsidR="007E2ECB" w:rsidRPr="00A51E75" w:rsidRDefault="007E2ECB" w:rsidP="007E2ECB">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64F4290B" w14:textId="0050F871" w:rsidR="007E2ECB" w:rsidRPr="00A51E75" w:rsidRDefault="007E2ECB" w:rsidP="007E2ECB">
            <w:pPr>
              <w:ind w:left="150" w:hanging="150"/>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tcPr>
          <w:p w14:paraId="05D776F9" w14:textId="1211D42F" w:rsidR="007E2ECB" w:rsidRPr="00A51E75" w:rsidRDefault="007E2ECB" w:rsidP="007E2ECB">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xml:space="preserve"> </w:t>
            </w:r>
            <w:r w:rsidR="00747433" w:rsidRPr="00A51E75">
              <w:rPr>
                <w:rFonts w:asciiTheme="minorHAnsi" w:hAnsiTheme="minorHAnsi" w:cstheme="minorHAnsi"/>
                <w:i/>
                <w:color w:val="000000"/>
                <w:sz w:val="16"/>
                <w:szCs w:val="16"/>
              </w:rPr>
              <w:t xml:space="preserve">Rural </w:t>
            </w:r>
            <w:proofErr w:type="spellStart"/>
            <w:r w:rsidR="00747433" w:rsidRPr="00A51E75">
              <w:rPr>
                <w:rFonts w:asciiTheme="minorHAnsi" w:hAnsiTheme="minorHAnsi" w:cstheme="minorHAnsi"/>
                <w:i/>
                <w:color w:val="000000"/>
                <w:sz w:val="16"/>
                <w:szCs w:val="16"/>
              </w:rPr>
              <w:t>women</w:t>
            </w:r>
            <w:proofErr w:type="spellEnd"/>
            <w:r w:rsidR="00747433" w:rsidRPr="00A51E75">
              <w:rPr>
                <w:rFonts w:asciiTheme="minorHAnsi" w:hAnsiTheme="minorHAnsi" w:cstheme="minorHAnsi"/>
                <w:i/>
                <w:color w:val="000000"/>
                <w:sz w:val="16"/>
                <w:szCs w:val="16"/>
              </w:rPr>
              <w:t xml:space="preserve"> beneficiaries</w:t>
            </w:r>
          </w:p>
        </w:tc>
      </w:tr>
      <w:tr w:rsidR="007E2ECB" w:rsidRPr="00A51E75" w14:paraId="04984666" w14:textId="77777777" w:rsidTr="4FBD6713">
        <w:trPr>
          <w:trHeight w:val="143"/>
        </w:trPr>
        <w:tc>
          <w:tcPr>
            <w:tcW w:w="1034" w:type="pct"/>
            <w:tcBorders>
              <w:top w:val="nil"/>
              <w:left w:val="single" w:sz="4" w:space="0" w:color="auto"/>
              <w:bottom w:val="single" w:sz="4" w:space="0" w:color="auto"/>
              <w:right w:val="single" w:sz="4" w:space="0" w:color="auto"/>
            </w:tcBorders>
            <w:hideMark/>
          </w:tcPr>
          <w:p w14:paraId="199ED071" w14:textId="77777777" w:rsidR="007E2ECB" w:rsidRPr="00A51E75" w:rsidRDefault="007E2ECB" w:rsidP="007E2ECB">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CAF34D9" w14:textId="77777777" w:rsidR="007E2ECB" w:rsidRPr="00A51E75" w:rsidRDefault="007E2ECB" w:rsidP="007E2ECB">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tcPr>
          <w:p w14:paraId="688B52B4" w14:textId="5B21AEA4" w:rsidR="007E2ECB" w:rsidRPr="00A51E75" w:rsidRDefault="007E2ECB" w:rsidP="007E2ECB">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Participation and leadership</w:t>
            </w:r>
          </w:p>
        </w:tc>
        <w:tc>
          <w:tcPr>
            <w:tcW w:w="1259" w:type="pct"/>
            <w:tcBorders>
              <w:top w:val="nil"/>
              <w:left w:val="nil"/>
              <w:bottom w:val="single" w:sz="4" w:space="0" w:color="auto"/>
              <w:right w:val="single" w:sz="4" w:space="0" w:color="auto"/>
            </w:tcBorders>
            <w:hideMark/>
          </w:tcPr>
          <w:p w14:paraId="43F0B68E" w14:textId="5105D85A" w:rsidR="007E2ECB" w:rsidRPr="00A51E75" w:rsidRDefault="007E2ECB" w:rsidP="007E2ECB">
            <w:pPr>
              <w:jc w:val="both"/>
              <w:rPr>
                <w:rFonts w:asciiTheme="minorHAnsi" w:hAnsiTheme="minorHAnsi" w:cstheme="minorHAnsi"/>
                <w:i/>
                <w:color w:val="000000"/>
                <w:sz w:val="16"/>
                <w:szCs w:val="16"/>
                <w:lang w:val="en-GB"/>
              </w:rPr>
            </w:pPr>
            <w:r w:rsidRPr="00A51E75">
              <w:rPr>
                <w:rFonts w:asciiTheme="minorHAnsi" w:hAnsiTheme="minorHAnsi" w:cstheme="minorHAnsi"/>
                <w:i/>
                <w:color w:val="000000"/>
                <w:sz w:val="16"/>
                <w:szCs w:val="16"/>
                <w:lang w:val="en-GB"/>
              </w:rPr>
              <w:t xml:space="preserve"> </w:t>
            </w:r>
            <w:r w:rsidR="00747433" w:rsidRPr="00A51E75">
              <w:rPr>
                <w:rFonts w:asciiTheme="minorHAnsi" w:hAnsiTheme="minorHAnsi" w:cstheme="minorHAnsi"/>
                <w:i/>
                <w:color w:val="000000"/>
                <w:sz w:val="16"/>
                <w:szCs w:val="16"/>
              </w:rPr>
              <w:t xml:space="preserve">Capacity </w:t>
            </w:r>
            <w:proofErr w:type="spellStart"/>
            <w:r w:rsidR="00747433" w:rsidRPr="00A51E75">
              <w:rPr>
                <w:rFonts w:asciiTheme="minorHAnsi" w:hAnsiTheme="minorHAnsi" w:cstheme="minorHAnsi"/>
                <w:i/>
                <w:color w:val="000000"/>
                <w:sz w:val="16"/>
                <w:szCs w:val="16"/>
              </w:rPr>
              <w:t>strengthening</w:t>
            </w:r>
            <w:proofErr w:type="spellEnd"/>
          </w:p>
        </w:tc>
      </w:tr>
      <w:tr w:rsidR="008B6F84" w:rsidRPr="0063505D" w14:paraId="031F0738"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60D15E3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B194A4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tcPr>
          <w:p w14:paraId="7443C39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Access to benefits and services</w:t>
            </w:r>
          </w:p>
        </w:tc>
        <w:tc>
          <w:tcPr>
            <w:tcW w:w="1259" w:type="pct"/>
            <w:tcBorders>
              <w:top w:val="nil"/>
              <w:left w:val="nil"/>
              <w:bottom w:val="single" w:sz="4" w:space="0" w:color="auto"/>
              <w:right w:val="single" w:sz="4" w:space="0" w:color="auto"/>
            </w:tcBorders>
            <w:hideMark/>
          </w:tcPr>
          <w:p w14:paraId="66B32F0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31A178C" w14:textId="77777777" w:rsidTr="4FBD6713">
        <w:trPr>
          <w:trHeight w:val="58"/>
        </w:trPr>
        <w:tc>
          <w:tcPr>
            <w:tcW w:w="1034" w:type="pct"/>
            <w:tcBorders>
              <w:top w:val="nil"/>
              <w:left w:val="single" w:sz="4" w:space="0" w:color="auto"/>
              <w:bottom w:val="single" w:sz="4" w:space="0" w:color="auto"/>
              <w:right w:val="single" w:sz="4" w:space="0" w:color="auto"/>
            </w:tcBorders>
            <w:hideMark/>
          </w:tcPr>
          <w:p w14:paraId="5864984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31D63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tcPr>
          <w:p w14:paraId="60F3322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Capacity development</w:t>
            </w:r>
          </w:p>
        </w:tc>
        <w:tc>
          <w:tcPr>
            <w:tcW w:w="1259" w:type="pct"/>
            <w:tcBorders>
              <w:top w:val="nil"/>
              <w:left w:val="nil"/>
              <w:bottom w:val="single" w:sz="4" w:space="0" w:color="auto"/>
              <w:right w:val="single" w:sz="4" w:space="0" w:color="auto"/>
            </w:tcBorders>
            <w:hideMark/>
          </w:tcPr>
          <w:p w14:paraId="6CD8C56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0D21CF2" w14:textId="77777777" w:rsidTr="4FBD6713">
        <w:trPr>
          <w:trHeight w:val="143"/>
        </w:trPr>
        <w:tc>
          <w:tcPr>
            <w:tcW w:w="1034" w:type="pct"/>
            <w:tcBorders>
              <w:top w:val="nil"/>
              <w:left w:val="single" w:sz="4" w:space="0" w:color="auto"/>
              <w:bottom w:val="single" w:sz="4" w:space="0" w:color="auto"/>
              <w:right w:val="single" w:sz="4" w:space="0" w:color="auto"/>
            </w:tcBorders>
            <w:hideMark/>
          </w:tcPr>
          <w:p w14:paraId="2B063DF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82DF2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CB6BEA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Awareness raising</w:t>
            </w:r>
          </w:p>
        </w:tc>
        <w:tc>
          <w:tcPr>
            <w:tcW w:w="1259" w:type="pct"/>
            <w:tcBorders>
              <w:top w:val="nil"/>
              <w:left w:val="nil"/>
              <w:bottom w:val="nil"/>
              <w:right w:val="nil"/>
            </w:tcBorders>
            <w:hideMark/>
          </w:tcPr>
          <w:p w14:paraId="29BC88A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788A968" w14:textId="77777777" w:rsidTr="4FBD6713">
        <w:trPr>
          <w:trHeight w:val="125"/>
        </w:trPr>
        <w:tc>
          <w:tcPr>
            <w:tcW w:w="1034" w:type="pct"/>
            <w:tcBorders>
              <w:top w:val="nil"/>
              <w:left w:val="single" w:sz="4" w:space="0" w:color="auto"/>
              <w:bottom w:val="single" w:sz="4" w:space="0" w:color="auto"/>
              <w:right w:val="single" w:sz="4" w:space="0" w:color="auto"/>
            </w:tcBorders>
            <w:hideMark/>
          </w:tcPr>
          <w:p w14:paraId="57AD39F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B94BE1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single" w:sz="4" w:space="0" w:color="7F7F7F" w:themeColor="text1" w:themeTint="80"/>
              <w:bottom w:val="single" w:sz="4" w:space="0" w:color="7F7F7F" w:themeColor="text1" w:themeTint="80"/>
              <w:right w:val="single" w:sz="4" w:space="0" w:color="7F7F7F" w:themeColor="text1" w:themeTint="80"/>
            </w:tcBorders>
          </w:tcPr>
          <w:p w14:paraId="044CAB7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Knowledge generation</w:t>
            </w:r>
          </w:p>
        </w:tc>
        <w:tc>
          <w:tcPr>
            <w:tcW w:w="1259" w:type="pct"/>
            <w:tcBorders>
              <w:top w:val="nil"/>
              <w:left w:val="nil"/>
              <w:bottom w:val="nil"/>
              <w:right w:val="nil"/>
            </w:tcBorders>
            <w:hideMark/>
          </w:tcPr>
          <w:p w14:paraId="0C5B599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867679A"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40D7D36C" w14:textId="3662F9A5"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Focal Areas/Theme</w:t>
            </w:r>
          </w:p>
        </w:tc>
        <w:tc>
          <w:tcPr>
            <w:tcW w:w="1526" w:type="pct"/>
            <w:tcBorders>
              <w:top w:val="nil"/>
              <w:left w:val="nil"/>
              <w:bottom w:val="single" w:sz="4" w:space="0" w:color="auto"/>
              <w:right w:val="single" w:sz="4" w:space="0" w:color="auto"/>
            </w:tcBorders>
          </w:tcPr>
          <w:p w14:paraId="32D6AB81"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single" w:sz="4" w:space="0" w:color="auto"/>
              <w:left w:val="nil"/>
              <w:bottom w:val="single" w:sz="4" w:space="0" w:color="auto"/>
              <w:right w:val="single" w:sz="4" w:space="0" w:color="auto"/>
            </w:tcBorders>
            <w:hideMark/>
          </w:tcPr>
          <w:p w14:paraId="707E4276"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single" w:sz="4" w:space="0" w:color="auto"/>
              <w:left w:val="nil"/>
              <w:bottom w:val="single" w:sz="4" w:space="0" w:color="auto"/>
              <w:right w:val="single" w:sz="4" w:space="0" w:color="auto"/>
            </w:tcBorders>
            <w:hideMark/>
          </w:tcPr>
          <w:p w14:paraId="36C8977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117C6B5"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tcPr>
          <w:p w14:paraId="41FE61B3"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526" w:type="pct"/>
            <w:tcBorders>
              <w:top w:val="nil"/>
              <w:left w:val="nil"/>
              <w:bottom w:val="single" w:sz="4" w:space="0" w:color="auto"/>
              <w:right w:val="single" w:sz="4" w:space="0" w:color="auto"/>
            </w:tcBorders>
          </w:tcPr>
          <w:p w14:paraId="56F6F94D"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tcPr>
          <w:p w14:paraId="5BC6E0AE"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single" w:sz="4" w:space="0" w:color="auto"/>
              <w:left w:val="nil"/>
              <w:bottom w:val="single" w:sz="4" w:space="0" w:color="auto"/>
              <w:right w:val="single" w:sz="4" w:space="0" w:color="auto"/>
            </w:tcBorders>
          </w:tcPr>
          <w:p w14:paraId="77A647A7"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63505D" w14:paraId="4CD7C222" w14:textId="77777777" w:rsidTr="4FBD6713">
        <w:trPr>
          <w:trHeight w:val="224"/>
        </w:trPr>
        <w:tc>
          <w:tcPr>
            <w:tcW w:w="1034" w:type="pct"/>
            <w:tcBorders>
              <w:top w:val="nil"/>
              <w:left w:val="single" w:sz="4" w:space="0" w:color="auto"/>
              <w:bottom w:val="single" w:sz="4" w:space="0" w:color="auto"/>
              <w:right w:val="single" w:sz="4" w:space="0" w:color="auto"/>
            </w:tcBorders>
            <w:noWrap/>
            <w:vAlign w:val="bottom"/>
            <w:hideMark/>
          </w:tcPr>
          <w:p w14:paraId="482EDD1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E515F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789B287"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hideMark/>
          </w:tcPr>
          <w:p w14:paraId="1892A52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7DBD757" w14:textId="77777777" w:rsidTr="4FBD6713">
        <w:trPr>
          <w:trHeight w:val="233"/>
        </w:trPr>
        <w:tc>
          <w:tcPr>
            <w:tcW w:w="1034" w:type="pct"/>
            <w:tcBorders>
              <w:top w:val="nil"/>
              <w:left w:val="single" w:sz="4" w:space="0" w:color="auto"/>
              <w:bottom w:val="single" w:sz="4" w:space="0" w:color="auto"/>
              <w:right w:val="single" w:sz="4" w:space="0" w:color="auto"/>
            </w:tcBorders>
            <w:noWrap/>
            <w:vAlign w:val="bottom"/>
            <w:hideMark/>
          </w:tcPr>
          <w:p w14:paraId="0C3F65D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732107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AE83A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FFCFF52"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Commodities Production</w:t>
            </w:r>
          </w:p>
        </w:tc>
      </w:tr>
      <w:tr w:rsidR="008B6F84" w:rsidRPr="00A51E75" w14:paraId="2A750AEE"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37E0E37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9835BA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F5F95B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1007AD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Deforestation-free Sourcing</w:t>
            </w:r>
          </w:p>
        </w:tc>
      </w:tr>
      <w:tr w:rsidR="008B6F84" w:rsidRPr="00A51E75" w14:paraId="475CB731"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6731263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39449C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DF0E7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A39D2E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Financial Screening Tools</w:t>
            </w:r>
          </w:p>
        </w:tc>
      </w:tr>
      <w:tr w:rsidR="008B6F84" w:rsidRPr="00A51E75" w14:paraId="2011D3AC" w14:textId="77777777" w:rsidTr="4FBD6713">
        <w:trPr>
          <w:trHeight w:val="98"/>
        </w:trPr>
        <w:tc>
          <w:tcPr>
            <w:tcW w:w="1034" w:type="pct"/>
            <w:tcBorders>
              <w:top w:val="nil"/>
              <w:left w:val="single" w:sz="4" w:space="0" w:color="auto"/>
              <w:bottom w:val="single" w:sz="4" w:space="0" w:color="auto"/>
              <w:right w:val="single" w:sz="4" w:space="0" w:color="auto"/>
            </w:tcBorders>
            <w:noWrap/>
            <w:vAlign w:val="bottom"/>
            <w:hideMark/>
          </w:tcPr>
          <w:p w14:paraId="4AECB36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AA959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C3A67C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7ACED2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High Conservation Value Forests</w:t>
            </w:r>
          </w:p>
        </w:tc>
      </w:tr>
      <w:tr w:rsidR="008B6F84" w:rsidRPr="00A51E75" w14:paraId="4A998391" w14:textId="77777777" w:rsidTr="4FBD6713">
        <w:trPr>
          <w:trHeight w:val="170"/>
        </w:trPr>
        <w:tc>
          <w:tcPr>
            <w:tcW w:w="1034" w:type="pct"/>
            <w:tcBorders>
              <w:top w:val="nil"/>
              <w:left w:val="single" w:sz="4" w:space="0" w:color="auto"/>
              <w:bottom w:val="single" w:sz="4" w:space="0" w:color="auto"/>
              <w:right w:val="single" w:sz="4" w:space="0" w:color="auto"/>
            </w:tcBorders>
            <w:noWrap/>
            <w:vAlign w:val="bottom"/>
            <w:hideMark/>
          </w:tcPr>
          <w:p w14:paraId="66F2284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301025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8C4955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8A0C45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High Carbon Stocks Forests</w:t>
            </w:r>
          </w:p>
        </w:tc>
      </w:tr>
      <w:tr w:rsidR="008B6F84" w:rsidRPr="00A51E75" w14:paraId="3E04060F"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7E59279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51BF5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426A95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3BAA6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Soybean Supply Chain</w:t>
            </w:r>
          </w:p>
        </w:tc>
      </w:tr>
      <w:tr w:rsidR="008B6F84" w:rsidRPr="00A51E75" w14:paraId="04A4C55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B6937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822ED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34BE10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105554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Oil Palm Supply Chain</w:t>
            </w:r>
          </w:p>
        </w:tc>
      </w:tr>
      <w:tr w:rsidR="008B6F84" w:rsidRPr="00A51E75" w14:paraId="6EC4D9DD"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4033072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A527C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AF3A5E7"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03079F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Beef Supply Chain</w:t>
            </w:r>
          </w:p>
        </w:tc>
      </w:tr>
      <w:tr w:rsidR="008B6F84" w:rsidRPr="00A51E75" w14:paraId="34378367"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10E6F64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7822F4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5D50F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EF83C8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Smallholder Farmers</w:t>
            </w:r>
          </w:p>
        </w:tc>
      </w:tr>
      <w:tr w:rsidR="008B6F84" w:rsidRPr="00A51E75" w14:paraId="2758FE4E" w14:textId="77777777" w:rsidTr="4FBD6713">
        <w:trPr>
          <w:trHeight w:val="170"/>
        </w:trPr>
        <w:tc>
          <w:tcPr>
            <w:tcW w:w="1034" w:type="pct"/>
            <w:tcBorders>
              <w:top w:val="nil"/>
              <w:left w:val="single" w:sz="4" w:space="0" w:color="auto"/>
              <w:bottom w:val="single" w:sz="4" w:space="0" w:color="auto"/>
              <w:right w:val="single" w:sz="4" w:space="0" w:color="auto"/>
            </w:tcBorders>
            <w:noWrap/>
            <w:vAlign w:val="bottom"/>
            <w:hideMark/>
          </w:tcPr>
          <w:p w14:paraId="50B8D74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27252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C9B7D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B9D948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Adaptive Management</w:t>
            </w:r>
          </w:p>
        </w:tc>
      </w:tr>
      <w:tr w:rsidR="008B6F84" w:rsidRPr="0063505D" w14:paraId="14D92BD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C20AD5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CA67C2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9F5E20D"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hideMark/>
          </w:tcPr>
          <w:p w14:paraId="38EDC63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C2F4995" w14:textId="77777777" w:rsidTr="4FBD6713">
        <w:trPr>
          <w:trHeight w:val="170"/>
        </w:trPr>
        <w:tc>
          <w:tcPr>
            <w:tcW w:w="1034" w:type="pct"/>
            <w:tcBorders>
              <w:top w:val="nil"/>
              <w:left w:val="single" w:sz="4" w:space="0" w:color="auto"/>
              <w:bottom w:val="single" w:sz="4" w:space="0" w:color="auto"/>
              <w:right w:val="single" w:sz="4" w:space="0" w:color="auto"/>
            </w:tcBorders>
            <w:noWrap/>
            <w:vAlign w:val="bottom"/>
            <w:hideMark/>
          </w:tcPr>
          <w:p w14:paraId="6A74332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6DBE4D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CE60AD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03B40B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Resilience (climate and shocks)</w:t>
            </w:r>
          </w:p>
        </w:tc>
      </w:tr>
      <w:tr w:rsidR="008B6F84" w:rsidRPr="00A51E75" w14:paraId="7DD15CD7"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1D26B87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17E7C5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C745B9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6EB596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Production Systems</w:t>
            </w:r>
          </w:p>
        </w:tc>
      </w:tr>
      <w:tr w:rsidR="008B6F84" w:rsidRPr="00A51E75" w14:paraId="3A1216FD"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63E3AC8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05F6E3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81441B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C2B095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Agroecosystems</w:t>
            </w:r>
          </w:p>
        </w:tc>
      </w:tr>
      <w:tr w:rsidR="008B6F84" w:rsidRPr="00A51E75" w14:paraId="00483959"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6308AD3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EA17D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A2169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6492CC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Land and Soil Health</w:t>
            </w:r>
          </w:p>
        </w:tc>
      </w:tr>
      <w:tr w:rsidR="008B6F84" w:rsidRPr="00A51E75" w14:paraId="6183EA36" w14:textId="77777777" w:rsidTr="4FBD6713">
        <w:trPr>
          <w:trHeight w:val="107"/>
        </w:trPr>
        <w:tc>
          <w:tcPr>
            <w:tcW w:w="1034" w:type="pct"/>
            <w:tcBorders>
              <w:top w:val="nil"/>
              <w:left w:val="single" w:sz="4" w:space="0" w:color="auto"/>
              <w:bottom w:val="single" w:sz="4" w:space="0" w:color="auto"/>
              <w:right w:val="single" w:sz="4" w:space="0" w:color="auto"/>
            </w:tcBorders>
            <w:noWrap/>
            <w:vAlign w:val="bottom"/>
            <w:hideMark/>
          </w:tcPr>
          <w:p w14:paraId="6DCCB76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1A449A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6AB4BA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483709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Diversified Farming</w:t>
            </w:r>
          </w:p>
        </w:tc>
      </w:tr>
      <w:tr w:rsidR="008B6F84" w:rsidRPr="0063505D" w14:paraId="0B2538A9"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1CBCF5C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82DBD2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DBEE75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FBE1B2D"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Integrated Land and Water Management</w:t>
            </w:r>
          </w:p>
        </w:tc>
      </w:tr>
      <w:tr w:rsidR="008B6F84" w:rsidRPr="00A51E75" w14:paraId="59536F8B" w14:textId="77777777" w:rsidTr="4FBD6713">
        <w:trPr>
          <w:trHeight w:val="116"/>
        </w:trPr>
        <w:tc>
          <w:tcPr>
            <w:tcW w:w="1034" w:type="pct"/>
            <w:tcBorders>
              <w:top w:val="nil"/>
              <w:left w:val="single" w:sz="4" w:space="0" w:color="auto"/>
              <w:bottom w:val="single" w:sz="4" w:space="0" w:color="auto"/>
              <w:right w:val="single" w:sz="4" w:space="0" w:color="auto"/>
            </w:tcBorders>
            <w:noWrap/>
            <w:vAlign w:val="bottom"/>
            <w:hideMark/>
          </w:tcPr>
          <w:p w14:paraId="2DFB5E6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F62237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2F7319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0376CB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Smallholder Farming</w:t>
            </w:r>
          </w:p>
        </w:tc>
      </w:tr>
      <w:tr w:rsidR="008B6F84" w:rsidRPr="00A51E75" w14:paraId="5B24C59A" w14:textId="77777777" w:rsidTr="4FBD6713">
        <w:trPr>
          <w:trHeight w:val="170"/>
        </w:trPr>
        <w:tc>
          <w:tcPr>
            <w:tcW w:w="1034" w:type="pct"/>
            <w:tcBorders>
              <w:top w:val="nil"/>
              <w:left w:val="single" w:sz="4" w:space="0" w:color="auto"/>
              <w:bottom w:val="single" w:sz="4" w:space="0" w:color="auto"/>
              <w:right w:val="single" w:sz="4" w:space="0" w:color="auto"/>
            </w:tcBorders>
            <w:noWrap/>
            <w:vAlign w:val="bottom"/>
            <w:hideMark/>
          </w:tcPr>
          <w:p w14:paraId="70EAFC0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D2FB1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F7B93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B8A13C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Small and Medium Enterprises</w:t>
            </w:r>
          </w:p>
        </w:tc>
      </w:tr>
      <w:tr w:rsidR="008B6F84" w:rsidRPr="00A51E75" w14:paraId="3A9A1F0F"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2CBD93C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DA927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F324F1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810766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Crop Genetic Diversity</w:t>
            </w:r>
          </w:p>
        </w:tc>
      </w:tr>
      <w:tr w:rsidR="008B6F84" w:rsidRPr="00A51E75" w14:paraId="50323CFF" w14:textId="77777777" w:rsidTr="4FBD6713">
        <w:trPr>
          <w:trHeight w:val="134"/>
        </w:trPr>
        <w:tc>
          <w:tcPr>
            <w:tcW w:w="1034" w:type="pct"/>
            <w:tcBorders>
              <w:top w:val="nil"/>
              <w:left w:val="single" w:sz="4" w:space="0" w:color="auto"/>
              <w:bottom w:val="single" w:sz="4" w:space="0" w:color="auto"/>
              <w:right w:val="single" w:sz="4" w:space="0" w:color="auto"/>
            </w:tcBorders>
            <w:noWrap/>
            <w:vAlign w:val="bottom"/>
            <w:hideMark/>
          </w:tcPr>
          <w:p w14:paraId="45A668A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C099F3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82DE4F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3B48A8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Food Value Chains</w:t>
            </w:r>
          </w:p>
        </w:tc>
      </w:tr>
      <w:tr w:rsidR="008B6F84" w:rsidRPr="00A51E75" w14:paraId="3C7E1F40"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25ADD1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E004F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72B09C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35B9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Gender Dimensions</w:t>
            </w:r>
          </w:p>
        </w:tc>
      </w:tr>
      <w:tr w:rsidR="008B6F84" w:rsidRPr="00A51E75" w14:paraId="5500D00C"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4D81C13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DDB16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4EB50C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2878B8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Multi-stakeholder Platforms</w:t>
            </w:r>
          </w:p>
        </w:tc>
      </w:tr>
      <w:tr w:rsidR="008B6F84" w:rsidRPr="0063505D" w14:paraId="072061D8" w14:textId="77777777" w:rsidTr="4FBD6713">
        <w:trPr>
          <w:trHeight w:val="341"/>
        </w:trPr>
        <w:tc>
          <w:tcPr>
            <w:tcW w:w="1034" w:type="pct"/>
            <w:tcBorders>
              <w:top w:val="nil"/>
              <w:left w:val="single" w:sz="4" w:space="0" w:color="auto"/>
              <w:bottom w:val="single" w:sz="4" w:space="0" w:color="auto"/>
              <w:right w:val="single" w:sz="4" w:space="0" w:color="auto"/>
            </w:tcBorders>
            <w:noWrap/>
            <w:vAlign w:val="bottom"/>
            <w:hideMark/>
          </w:tcPr>
          <w:p w14:paraId="1B3A4F1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F8694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2EB159E"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hideMark/>
          </w:tcPr>
          <w:p w14:paraId="2FA925E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25ECC9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0565B2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F3F68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9449F1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896F5C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Food Systems</w:t>
            </w:r>
          </w:p>
        </w:tc>
      </w:tr>
      <w:tr w:rsidR="008B6F84" w:rsidRPr="00A51E75" w14:paraId="14867C05"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69DC569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F2912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B69A9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056945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Landscape Restoration</w:t>
            </w:r>
          </w:p>
        </w:tc>
      </w:tr>
      <w:tr w:rsidR="008B6F84" w:rsidRPr="00A51E75" w14:paraId="7338F1F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650833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9C5B98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6C8F4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CC16B2A"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Commodity Production</w:t>
            </w:r>
          </w:p>
        </w:tc>
      </w:tr>
      <w:tr w:rsidR="008B6F84" w:rsidRPr="00A51E75" w14:paraId="1979DCCB"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6AA7640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B61FF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FF50706"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61B1ED0"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Comprehensive Land Use Planning</w:t>
            </w:r>
          </w:p>
        </w:tc>
      </w:tr>
      <w:tr w:rsidR="008B6F84" w:rsidRPr="00A51E75" w14:paraId="59C74454" w14:textId="77777777" w:rsidTr="4FBD6713">
        <w:trPr>
          <w:trHeight w:val="62"/>
        </w:trPr>
        <w:tc>
          <w:tcPr>
            <w:tcW w:w="1034" w:type="pct"/>
            <w:tcBorders>
              <w:top w:val="nil"/>
              <w:left w:val="single" w:sz="4" w:space="0" w:color="auto"/>
              <w:bottom w:val="single" w:sz="4" w:space="0" w:color="auto"/>
              <w:right w:val="single" w:sz="4" w:space="0" w:color="auto"/>
            </w:tcBorders>
            <w:noWrap/>
            <w:vAlign w:val="bottom"/>
            <w:hideMark/>
          </w:tcPr>
          <w:p w14:paraId="7318194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E8FC31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C3B353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675A1A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Integrated Landscapes</w:t>
            </w:r>
          </w:p>
        </w:tc>
      </w:tr>
      <w:tr w:rsidR="008B6F84" w:rsidRPr="00A51E75" w14:paraId="6DBD2DC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C95415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F8F6A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E1C5B0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0DC47D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Food Value Chains</w:t>
            </w:r>
          </w:p>
        </w:tc>
      </w:tr>
      <w:tr w:rsidR="008B6F84" w:rsidRPr="00A51E75" w14:paraId="7042894B"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0D92960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B9300F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19986F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DC374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Deforestation-free Sourcing</w:t>
            </w:r>
          </w:p>
        </w:tc>
      </w:tr>
      <w:tr w:rsidR="008B6F84" w:rsidRPr="00A51E75" w14:paraId="2798FBB9"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4399F9E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15164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04188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CD29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Smallholder Farmers</w:t>
            </w:r>
          </w:p>
        </w:tc>
      </w:tr>
      <w:tr w:rsidR="008B6F84" w:rsidRPr="00A51E75" w14:paraId="4E72A66E"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2FDB98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C266C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ED9CC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Sustainable Cities</w:t>
            </w:r>
          </w:p>
        </w:tc>
        <w:tc>
          <w:tcPr>
            <w:tcW w:w="1259" w:type="pct"/>
            <w:tcBorders>
              <w:top w:val="nil"/>
              <w:left w:val="nil"/>
              <w:bottom w:val="single" w:sz="4" w:space="0" w:color="auto"/>
              <w:right w:val="single" w:sz="4" w:space="0" w:color="auto"/>
            </w:tcBorders>
            <w:hideMark/>
          </w:tcPr>
          <w:p w14:paraId="1CA3AEB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2E02656"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1F679EC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54329C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CA7CB2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C29990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Integrated urban planning</w:t>
            </w:r>
          </w:p>
        </w:tc>
      </w:tr>
      <w:tr w:rsidR="008B6F84" w:rsidRPr="00A51E75" w14:paraId="0F9057DB" w14:textId="77777777" w:rsidTr="4FBD6713">
        <w:trPr>
          <w:trHeight w:val="62"/>
        </w:trPr>
        <w:tc>
          <w:tcPr>
            <w:tcW w:w="1034" w:type="pct"/>
            <w:tcBorders>
              <w:top w:val="nil"/>
              <w:left w:val="single" w:sz="4" w:space="0" w:color="auto"/>
              <w:bottom w:val="single" w:sz="4" w:space="0" w:color="auto"/>
              <w:right w:val="single" w:sz="4" w:space="0" w:color="auto"/>
            </w:tcBorders>
            <w:noWrap/>
            <w:vAlign w:val="bottom"/>
            <w:hideMark/>
          </w:tcPr>
          <w:p w14:paraId="7C2BA30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1B4CE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F629E8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5685BA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Urban sustainability framework</w:t>
            </w:r>
          </w:p>
        </w:tc>
      </w:tr>
      <w:tr w:rsidR="008B6F84" w:rsidRPr="00A51E75" w14:paraId="1A482DB9"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F8725A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BC613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BEB5EB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F9E62F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Transport and Mobility</w:t>
            </w:r>
          </w:p>
        </w:tc>
      </w:tr>
      <w:tr w:rsidR="008B6F84" w:rsidRPr="00A51E75" w14:paraId="07A9189A" w14:textId="77777777" w:rsidTr="4FBD6713">
        <w:trPr>
          <w:trHeight w:val="116"/>
        </w:trPr>
        <w:tc>
          <w:tcPr>
            <w:tcW w:w="1034" w:type="pct"/>
            <w:tcBorders>
              <w:top w:val="nil"/>
              <w:left w:val="single" w:sz="4" w:space="0" w:color="auto"/>
              <w:bottom w:val="single" w:sz="4" w:space="0" w:color="auto"/>
              <w:right w:val="single" w:sz="4" w:space="0" w:color="auto"/>
            </w:tcBorders>
            <w:noWrap/>
            <w:vAlign w:val="bottom"/>
            <w:hideMark/>
          </w:tcPr>
          <w:p w14:paraId="5E0ED35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CDC4B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003E6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265D4F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Buildings</w:t>
            </w:r>
          </w:p>
        </w:tc>
      </w:tr>
      <w:tr w:rsidR="008B6F84" w:rsidRPr="00A51E75" w14:paraId="12D1E1CF" w14:textId="77777777" w:rsidTr="4FBD6713">
        <w:trPr>
          <w:trHeight w:val="107"/>
        </w:trPr>
        <w:tc>
          <w:tcPr>
            <w:tcW w:w="1034" w:type="pct"/>
            <w:tcBorders>
              <w:top w:val="nil"/>
              <w:left w:val="single" w:sz="4" w:space="0" w:color="auto"/>
              <w:bottom w:val="single" w:sz="4" w:space="0" w:color="auto"/>
              <w:right w:val="single" w:sz="4" w:space="0" w:color="auto"/>
            </w:tcBorders>
            <w:noWrap/>
            <w:vAlign w:val="bottom"/>
            <w:hideMark/>
          </w:tcPr>
          <w:p w14:paraId="7D2176E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7DA72A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26D2D2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169619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Municipal waste management</w:t>
            </w:r>
          </w:p>
        </w:tc>
      </w:tr>
      <w:tr w:rsidR="008B6F84" w:rsidRPr="00A51E75" w14:paraId="49E49E3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8D070A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7EA83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906F40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ACCB26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Green space</w:t>
            </w:r>
          </w:p>
        </w:tc>
      </w:tr>
      <w:tr w:rsidR="008B6F84" w:rsidRPr="00A51E75" w14:paraId="046EFE4D" w14:textId="77777777" w:rsidTr="4FBD6713">
        <w:trPr>
          <w:trHeight w:val="71"/>
        </w:trPr>
        <w:tc>
          <w:tcPr>
            <w:tcW w:w="1034" w:type="pct"/>
            <w:tcBorders>
              <w:top w:val="nil"/>
              <w:left w:val="single" w:sz="4" w:space="0" w:color="auto"/>
              <w:bottom w:val="single" w:sz="4" w:space="0" w:color="auto"/>
              <w:right w:val="single" w:sz="4" w:space="0" w:color="auto"/>
            </w:tcBorders>
            <w:noWrap/>
            <w:vAlign w:val="bottom"/>
            <w:hideMark/>
          </w:tcPr>
          <w:p w14:paraId="62966F6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3DCBC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DBFF5C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84399C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Urban Biodiversity</w:t>
            </w:r>
          </w:p>
        </w:tc>
      </w:tr>
      <w:tr w:rsidR="008B6F84" w:rsidRPr="00A51E75" w14:paraId="4EFB18EF" w14:textId="77777777" w:rsidTr="4FBD6713">
        <w:trPr>
          <w:trHeight w:val="134"/>
        </w:trPr>
        <w:tc>
          <w:tcPr>
            <w:tcW w:w="1034" w:type="pct"/>
            <w:tcBorders>
              <w:top w:val="nil"/>
              <w:left w:val="single" w:sz="4" w:space="0" w:color="auto"/>
              <w:bottom w:val="single" w:sz="4" w:space="0" w:color="auto"/>
              <w:right w:val="single" w:sz="4" w:space="0" w:color="auto"/>
            </w:tcBorders>
            <w:noWrap/>
            <w:vAlign w:val="bottom"/>
            <w:hideMark/>
          </w:tcPr>
          <w:p w14:paraId="311E7A6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49D41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05A9C66"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F2EBC5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Urban Food Systems</w:t>
            </w:r>
          </w:p>
        </w:tc>
      </w:tr>
      <w:tr w:rsidR="008B6F84" w:rsidRPr="00A51E75" w14:paraId="2C5E2674"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11F87AC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48B7BC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618B72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D36DA3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Energy efficiency</w:t>
            </w:r>
          </w:p>
        </w:tc>
      </w:tr>
      <w:tr w:rsidR="008B6F84" w:rsidRPr="00A51E75" w14:paraId="310D28A8" w14:textId="77777777" w:rsidTr="4FBD6713">
        <w:trPr>
          <w:trHeight w:val="188"/>
        </w:trPr>
        <w:tc>
          <w:tcPr>
            <w:tcW w:w="1034" w:type="pct"/>
            <w:tcBorders>
              <w:top w:val="nil"/>
              <w:left w:val="single" w:sz="4" w:space="0" w:color="auto"/>
              <w:bottom w:val="single" w:sz="4" w:space="0" w:color="auto"/>
              <w:right w:val="single" w:sz="4" w:space="0" w:color="auto"/>
            </w:tcBorders>
            <w:noWrap/>
            <w:vAlign w:val="bottom"/>
            <w:hideMark/>
          </w:tcPr>
          <w:p w14:paraId="32F60C0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437505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912DCF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3B4FAF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Municipal Financing</w:t>
            </w:r>
          </w:p>
        </w:tc>
      </w:tr>
      <w:tr w:rsidR="008B6F84" w:rsidRPr="0063505D" w14:paraId="03CC0FFB"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60DD74B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D39FD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3A7012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8E2E732" w14:textId="77777777" w:rsidR="008B6F84" w:rsidRPr="00A51E75" w:rsidRDefault="00211737" w:rsidP="008B6F84">
            <w:pPr>
              <w:ind w:left="192" w:hanging="180"/>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Global Platform for Sustainable Cities</w:t>
            </w:r>
          </w:p>
        </w:tc>
      </w:tr>
      <w:tr w:rsidR="008B6F84" w:rsidRPr="00A51E75" w14:paraId="1650BDC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68DC71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1C361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54F88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FCF7F3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Urban Resilience</w:t>
            </w:r>
          </w:p>
        </w:tc>
      </w:tr>
      <w:tr w:rsidR="008B6F84" w:rsidRPr="00A51E75" w14:paraId="17D179E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28DF9E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B8CEA4" w14:textId="4079FBE7"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Biodiversity</w:t>
            </w:r>
          </w:p>
        </w:tc>
        <w:tc>
          <w:tcPr>
            <w:tcW w:w="1181" w:type="pct"/>
            <w:tcBorders>
              <w:top w:val="nil"/>
              <w:left w:val="nil"/>
              <w:bottom w:val="single" w:sz="4" w:space="0" w:color="auto"/>
              <w:right w:val="single" w:sz="4" w:space="0" w:color="auto"/>
            </w:tcBorders>
            <w:hideMark/>
          </w:tcPr>
          <w:p w14:paraId="4BDC142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4FD632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0AC96B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A3D74B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2B48C3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740919" w14:textId="27C46AA3" w:rsidR="008B6F84" w:rsidRPr="00A51E75" w:rsidRDefault="003F169C"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hideMark/>
          </w:tcPr>
          <w:p w14:paraId="758DEC3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DB70E1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81E809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537C46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7754E1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A41E9E7" w14:textId="5EEC9043" w:rsidR="008B6F84" w:rsidRPr="00A51E75" w:rsidRDefault="003F169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Terrestrial Protected Areas</w:t>
            </w:r>
          </w:p>
        </w:tc>
      </w:tr>
      <w:tr w:rsidR="008B6F84" w:rsidRPr="0063505D" w14:paraId="4F2F331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2A3A98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AA48C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EB6B36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20CC6B0"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Coastal and Marine Protected Areas</w:t>
            </w:r>
          </w:p>
        </w:tc>
      </w:tr>
      <w:tr w:rsidR="008B6F84" w:rsidRPr="00A51E75" w14:paraId="11D042F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0C7DB6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3A289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834C91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C13E1F5" w14:textId="010E59FF" w:rsidR="008B6F84" w:rsidRPr="00A51E75" w:rsidRDefault="003F169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Productive Landscapes</w:t>
            </w:r>
          </w:p>
        </w:tc>
      </w:tr>
      <w:tr w:rsidR="008B6F84" w:rsidRPr="00A51E75" w14:paraId="1345A06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DA65BE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7220295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DE136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09BC79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Productive Seascapes</w:t>
            </w:r>
          </w:p>
        </w:tc>
      </w:tr>
      <w:tr w:rsidR="008B6F84" w:rsidRPr="0063505D" w14:paraId="4C3696B2" w14:textId="77777777" w:rsidTr="4FBD6713">
        <w:trPr>
          <w:trHeight w:val="251"/>
        </w:trPr>
        <w:tc>
          <w:tcPr>
            <w:tcW w:w="1034" w:type="pct"/>
            <w:tcBorders>
              <w:top w:val="nil"/>
              <w:left w:val="single" w:sz="4" w:space="0" w:color="auto"/>
              <w:bottom w:val="single" w:sz="4" w:space="0" w:color="auto"/>
              <w:right w:val="single" w:sz="4" w:space="0" w:color="auto"/>
            </w:tcBorders>
            <w:noWrap/>
            <w:vAlign w:val="bottom"/>
            <w:hideMark/>
          </w:tcPr>
          <w:p w14:paraId="7127B5D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B7796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D4A7F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3C091D"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Community Based Natural Resource Management</w:t>
            </w:r>
          </w:p>
        </w:tc>
      </w:tr>
      <w:tr w:rsidR="008B6F84" w:rsidRPr="00A51E75" w14:paraId="25AC37C6" w14:textId="77777777" w:rsidTr="4FBD6713">
        <w:trPr>
          <w:trHeight w:val="71"/>
        </w:trPr>
        <w:tc>
          <w:tcPr>
            <w:tcW w:w="1034" w:type="pct"/>
            <w:tcBorders>
              <w:top w:val="nil"/>
              <w:left w:val="single" w:sz="4" w:space="0" w:color="auto"/>
              <w:bottom w:val="single" w:sz="4" w:space="0" w:color="auto"/>
              <w:right w:val="single" w:sz="4" w:space="0" w:color="auto"/>
            </w:tcBorders>
            <w:noWrap/>
            <w:vAlign w:val="bottom"/>
            <w:hideMark/>
          </w:tcPr>
          <w:p w14:paraId="653FF97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530D8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73B853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Mainstreaming</w:t>
            </w:r>
          </w:p>
        </w:tc>
        <w:tc>
          <w:tcPr>
            <w:tcW w:w="1259" w:type="pct"/>
            <w:tcBorders>
              <w:top w:val="nil"/>
              <w:left w:val="nil"/>
              <w:bottom w:val="single" w:sz="4" w:space="0" w:color="auto"/>
              <w:right w:val="single" w:sz="4" w:space="0" w:color="auto"/>
            </w:tcBorders>
            <w:hideMark/>
          </w:tcPr>
          <w:p w14:paraId="31730C5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5521B5C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AE4712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8D6F22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140F4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19B7D46"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Extractive Industries (oil, gas, mining)</w:t>
            </w:r>
          </w:p>
        </w:tc>
      </w:tr>
      <w:tr w:rsidR="008B6F84" w:rsidRPr="0063505D" w14:paraId="12C709FC"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09477AD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6408B5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52F088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868425F"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Forestry (Including HCVF and REDD+)</w:t>
            </w:r>
          </w:p>
        </w:tc>
      </w:tr>
      <w:tr w:rsidR="008B6F84" w:rsidRPr="00A51E75" w14:paraId="5CDFF94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8D6C95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F7ACD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2AE3C1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455BD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Tourism</w:t>
            </w:r>
          </w:p>
        </w:tc>
      </w:tr>
      <w:tr w:rsidR="008B6F84" w:rsidRPr="00A51E75" w14:paraId="04D0AF20"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176AF3E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1BEBC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3317C6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C7F259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Agriculture &amp; agrobiodiversity</w:t>
            </w:r>
          </w:p>
        </w:tc>
      </w:tr>
      <w:tr w:rsidR="008B6F84" w:rsidRPr="00A51E75" w14:paraId="021288F5"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54DB1FB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5D699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A83D6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047EB1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Fisheries</w:t>
            </w:r>
          </w:p>
        </w:tc>
      </w:tr>
      <w:tr w:rsidR="008B6F84" w:rsidRPr="00A51E75" w14:paraId="0C3CB67D"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1C1CC9F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77BD91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5448DE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205312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Infrastructure</w:t>
            </w:r>
          </w:p>
        </w:tc>
      </w:tr>
      <w:tr w:rsidR="008B6F84" w:rsidRPr="00A51E75" w14:paraId="5B9E73EE"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103187C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7333AE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68A18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0A063F"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Certification (National Standards)</w:t>
            </w:r>
          </w:p>
        </w:tc>
      </w:tr>
      <w:tr w:rsidR="008B6F84" w:rsidRPr="00A51E75" w14:paraId="3E959730" w14:textId="77777777" w:rsidTr="4FBD6713">
        <w:trPr>
          <w:trHeight w:val="251"/>
        </w:trPr>
        <w:tc>
          <w:tcPr>
            <w:tcW w:w="1034" w:type="pct"/>
            <w:tcBorders>
              <w:top w:val="nil"/>
              <w:left w:val="single" w:sz="4" w:space="0" w:color="auto"/>
              <w:bottom w:val="single" w:sz="4" w:space="0" w:color="auto"/>
              <w:right w:val="single" w:sz="4" w:space="0" w:color="auto"/>
            </w:tcBorders>
            <w:noWrap/>
            <w:vAlign w:val="bottom"/>
            <w:hideMark/>
          </w:tcPr>
          <w:p w14:paraId="68D2518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8E2FE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4D0DA4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B51DCEE"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Certification (International Standards)</w:t>
            </w:r>
          </w:p>
        </w:tc>
      </w:tr>
      <w:tr w:rsidR="008B6F84" w:rsidRPr="00A51E75" w14:paraId="4216CB79"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0BD5E8A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84BFF5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8F022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 xml:space="preserve">Species </w:t>
            </w:r>
          </w:p>
        </w:tc>
        <w:tc>
          <w:tcPr>
            <w:tcW w:w="1259" w:type="pct"/>
            <w:tcBorders>
              <w:top w:val="nil"/>
              <w:left w:val="nil"/>
              <w:bottom w:val="single" w:sz="4" w:space="0" w:color="auto"/>
              <w:right w:val="single" w:sz="4" w:space="0" w:color="auto"/>
            </w:tcBorders>
            <w:hideMark/>
          </w:tcPr>
          <w:p w14:paraId="3751397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956E673" w14:textId="77777777" w:rsidTr="4FBD6713">
        <w:trPr>
          <w:trHeight w:val="197"/>
        </w:trPr>
        <w:tc>
          <w:tcPr>
            <w:tcW w:w="1034" w:type="pct"/>
            <w:tcBorders>
              <w:top w:val="nil"/>
              <w:left w:val="single" w:sz="4" w:space="0" w:color="auto"/>
              <w:bottom w:val="single" w:sz="4" w:space="0" w:color="auto"/>
              <w:right w:val="single" w:sz="4" w:space="0" w:color="auto"/>
            </w:tcBorders>
            <w:noWrap/>
            <w:vAlign w:val="bottom"/>
            <w:hideMark/>
          </w:tcPr>
          <w:p w14:paraId="7F88A5B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84B3A1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0197D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D2B187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Illegal Wildlife Trade</w:t>
            </w:r>
          </w:p>
        </w:tc>
      </w:tr>
      <w:tr w:rsidR="008B6F84" w:rsidRPr="00A51E75" w14:paraId="1D5AE5B2"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25D3935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C8F22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7FDE7A7"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2ACE1A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 xml:space="preserve">Threatened Species </w:t>
            </w:r>
          </w:p>
        </w:tc>
      </w:tr>
      <w:tr w:rsidR="008B6F84" w:rsidRPr="00A51E75" w14:paraId="1EFAF892" w14:textId="77777777" w:rsidTr="4FBD6713">
        <w:trPr>
          <w:trHeight w:val="152"/>
        </w:trPr>
        <w:tc>
          <w:tcPr>
            <w:tcW w:w="1034" w:type="pct"/>
            <w:tcBorders>
              <w:top w:val="nil"/>
              <w:left w:val="single" w:sz="4" w:space="0" w:color="auto"/>
              <w:bottom w:val="single" w:sz="4" w:space="0" w:color="auto"/>
              <w:right w:val="single" w:sz="4" w:space="0" w:color="auto"/>
            </w:tcBorders>
            <w:noWrap/>
            <w:vAlign w:val="bottom"/>
            <w:hideMark/>
          </w:tcPr>
          <w:p w14:paraId="432A9F7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33EB0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3CD174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E020808"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Wildlife for Sustainable Development</w:t>
            </w:r>
          </w:p>
        </w:tc>
      </w:tr>
      <w:tr w:rsidR="008B6F84" w:rsidRPr="00A51E75" w14:paraId="1C9E220F" w14:textId="77777777" w:rsidTr="4FBD6713">
        <w:trPr>
          <w:trHeight w:val="233"/>
        </w:trPr>
        <w:tc>
          <w:tcPr>
            <w:tcW w:w="1034" w:type="pct"/>
            <w:tcBorders>
              <w:top w:val="nil"/>
              <w:left w:val="single" w:sz="4" w:space="0" w:color="auto"/>
              <w:bottom w:val="single" w:sz="4" w:space="0" w:color="auto"/>
              <w:right w:val="single" w:sz="4" w:space="0" w:color="auto"/>
            </w:tcBorders>
            <w:noWrap/>
            <w:vAlign w:val="bottom"/>
            <w:hideMark/>
          </w:tcPr>
          <w:p w14:paraId="1D1EAE7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17D24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5EA35A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519DF7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Crop Wild Relatives</w:t>
            </w:r>
          </w:p>
        </w:tc>
      </w:tr>
      <w:tr w:rsidR="008B6F84" w:rsidRPr="00A51E75" w14:paraId="5FCC1F6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98D66C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ACA52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A48A04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F3ADA0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Plant Genetic Resources</w:t>
            </w:r>
          </w:p>
        </w:tc>
      </w:tr>
      <w:tr w:rsidR="008B6F84" w:rsidRPr="00A51E75" w14:paraId="50FED956"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34DCB3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D8E80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94AED3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7B8DE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Animal Genetic Resources</w:t>
            </w:r>
          </w:p>
        </w:tc>
      </w:tr>
      <w:tr w:rsidR="008B6F84" w:rsidRPr="00A51E75" w14:paraId="714E8C88" w14:textId="77777777" w:rsidTr="4FBD6713">
        <w:trPr>
          <w:trHeight w:val="134"/>
        </w:trPr>
        <w:tc>
          <w:tcPr>
            <w:tcW w:w="1034" w:type="pct"/>
            <w:tcBorders>
              <w:top w:val="nil"/>
              <w:left w:val="single" w:sz="4" w:space="0" w:color="auto"/>
              <w:bottom w:val="single" w:sz="4" w:space="0" w:color="auto"/>
              <w:right w:val="single" w:sz="4" w:space="0" w:color="auto"/>
            </w:tcBorders>
            <w:noWrap/>
            <w:vAlign w:val="bottom"/>
            <w:hideMark/>
          </w:tcPr>
          <w:p w14:paraId="5BE4A7F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0C5B8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B20886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A1EF94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Livestock Wild Relatives</w:t>
            </w:r>
          </w:p>
        </w:tc>
      </w:tr>
      <w:tr w:rsidR="008B6F84" w:rsidRPr="00A51E75" w14:paraId="5F93C8D9" w14:textId="77777777" w:rsidTr="4FBD6713">
        <w:trPr>
          <w:trHeight w:val="107"/>
        </w:trPr>
        <w:tc>
          <w:tcPr>
            <w:tcW w:w="1034" w:type="pct"/>
            <w:tcBorders>
              <w:top w:val="nil"/>
              <w:left w:val="single" w:sz="4" w:space="0" w:color="auto"/>
              <w:bottom w:val="single" w:sz="4" w:space="0" w:color="auto"/>
              <w:right w:val="single" w:sz="4" w:space="0" w:color="auto"/>
            </w:tcBorders>
            <w:noWrap/>
            <w:vAlign w:val="bottom"/>
            <w:hideMark/>
          </w:tcPr>
          <w:p w14:paraId="6D7238E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1FD437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C13095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5972B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Invasive Alien Species (IAS)</w:t>
            </w:r>
          </w:p>
        </w:tc>
      </w:tr>
      <w:tr w:rsidR="008B6F84" w:rsidRPr="00A51E75" w14:paraId="0B8FD9A9" w14:textId="77777777" w:rsidTr="4FBD6713">
        <w:trPr>
          <w:trHeight w:val="98"/>
        </w:trPr>
        <w:tc>
          <w:tcPr>
            <w:tcW w:w="1034" w:type="pct"/>
            <w:tcBorders>
              <w:top w:val="nil"/>
              <w:left w:val="single" w:sz="4" w:space="0" w:color="auto"/>
              <w:bottom w:val="single" w:sz="4" w:space="0" w:color="auto"/>
              <w:right w:val="single" w:sz="4" w:space="0" w:color="auto"/>
            </w:tcBorders>
            <w:noWrap/>
            <w:vAlign w:val="bottom"/>
            <w:hideMark/>
          </w:tcPr>
          <w:p w14:paraId="438D274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928395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2D809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Biomes</w:t>
            </w:r>
          </w:p>
        </w:tc>
        <w:tc>
          <w:tcPr>
            <w:tcW w:w="1259" w:type="pct"/>
            <w:tcBorders>
              <w:top w:val="nil"/>
              <w:left w:val="nil"/>
              <w:bottom w:val="single" w:sz="4" w:space="0" w:color="auto"/>
              <w:right w:val="single" w:sz="4" w:space="0" w:color="auto"/>
            </w:tcBorders>
            <w:hideMark/>
          </w:tcPr>
          <w:p w14:paraId="67AA4E6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A56808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89DDA0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C0EEE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9A7AB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F61E9E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Mangroves</w:t>
            </w:r>
          </w:p>
        </w:tc>
      </w:tr>
      <w:tr w:rsidR="008B6F84" w:rsidRPr="00A51E75" w14:paraId="416970E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38DBDC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FB6ED3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B8047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9912C9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Coral Reefs</w:t>
            </w:r>
          </w:p>
        </w:tc>
      </w:tr>
      <w:tr w:rsidR="008B6F84" w:rsidRPr="00A51E75" w14:paraId="4F03388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51C4C8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B0498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B02B21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177E11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Sea Grasses</w:t>
            </w:r>
          </w:p>
        </w:tc>
      </w:tr>
      <w:tr w:rsidR="008B6F84" w:rsidRPr="00A51E75" w14:paraId="6C5D5D29"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99D431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241A0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10779B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6D59FB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Wetlands</w:t>
            </w:r>
          </w:p>
        </w:tc>
      </w:tr>
      <w:tr w:rsidR="008B6F84" w:rsidRPr="00A51E75" w14:paraId="245C926E"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54CBEFB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EB943F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471ECF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19CB87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Rivers</w:t>
            </w:r>
          </w:p>
        </w:tc>
      </w:tr>
      <w:tr w:rsidR="008B6F84" w:rsidRPr="00A51E75" w14:paraId="446595E1" w14:textId="77777777" w:rsidTr="4FBD6713">
        <w:trPr>
          <w:trHeight w:val="170"/>
        </w:trPr>
        <w:tc>
          <w:tcPr>
            <w:tcW w:w="1034" w:type="pct"/>
            <w:tcBorders>
              <w:top w:val="nil"/>
              <w:left w:val="single" w:sz="4" w:space="0" w:color="auto"/>
              <w:bottom w:val="single" w:sz="4" w:space="0" w:color="auto"/>
              <w:right w:val="single" w:sz="4" w:space="0" w:color="auto"/>
            </w:tcBorders>
            <w:noWrap/>
            <w:vAlign w:val="bottom"/>
            <w:hideMark/>
          </w:tcPr>
          <w:p w14:paraId="0E6A559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0631EB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59EDCB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A85A70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Lakes</w:t>
            </w:r>
          </w:p>
        </w:tc>
      </w:tr>
      <w:tr w:rsidR="008B6F84" w:rsidRPr="00A51E75" w14:paraId="70BB331D"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833A68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087DE4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7666EA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FB0E7D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Tropical Rain Forests</w:t>
            </w:r>
          </w:p>
        </w:tc>
      </w:tr>
      <w:tr w:rsidR="008B6F84" w:rsidRPr="00A51E75" w14:paraId="7412CD5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8A4E43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8D49FA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FFD729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921785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Tropical Dry Forests</w:t>
            </w:r>
          </w:p>
        </w:tc>
      </w:tr>
      <w:tr w:rsidR="008B6F84" w:rsidRPr="00A51E75" w14:paraId="5E83EE7C"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105C68B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42ABDF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6C6025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553E4F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Temperate Forests</w:t>
            </w:r>
          </w:p>
        </w:tc>
      </w:tr>
      <w:tr w:rsidR="008B6F84" w:rsidRPr="00A51E75" w14:paraId="43AD0C1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660F69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E00B9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E2A784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E55FBE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 xml:space="preserve">Grasslands </w:t>
            </w:r>
          </w:p>
        </w:tc>
      </w:tr>
      <w:tr w:rsidR="008B6F84" w:rsidRPr="00A51E75" w14:paraId="73973714"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60B63D2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54D6B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3BED4C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AF567A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Paramo</w:t>
            </w:r>
          </w:p>
        </w:tc>
      </w:tr>
      <w:tr w:rsidR="008B6F84" w:rsidRPr="00A51E75" w14:paraId="41CDA69D" w14:textId="77777777" w:rsidTr="4FBD6713">
        <w:trPr>
          <w:trHeight w:val="152"/>
        </w:trPr>
        <w:tc>
          <w:tcPr>
            <w:tcW w:w="1034" w:type="pct"/>
            <w:tcBorders>
              <w:top w:val="nil"/>
              <w:left w:val="single" w:sz="4" w:space="0" w:color="auto"/>
              <w:bottom w:val="single" w:sz="4" w:space="0" w:color="auto"/>
              <w:right w:val="single" w:sz="4" w:space="0" w:color="auto"/>
            </w:tcBorders>
            <w:noWrap/>
            <w:vAlign w:val="bottom"/>
            <w:hideMark/>
          </w:tcPr>
          <w:p w14:paraId="0B28F54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5748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87F026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B8B15B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Desert</w:t>
            </w:r>
          </w:p>
        </w:tc>
      </w:tr>
      <w:tr w:rsidR="008B6F84" w:rsidRPr="00A51E75" w14:paraId="517B9010" w14:textId="77777777" w:rsidTr="4FBD6713">
        <w:trPr>
          <w:trHeight w:val="233"/>
        </w:trPr>
        <w:tc>
          <w:tcPr>
            <w:tcW w:w="1034" w:type="pct"/>
            <w:tcBorders>
              <w:top w:val="nil"/>
              <w:left w:val="single" w:sz="4" w:space="0" w:color="auto"/>
              <w:bottom w:val="single" w:sz="4" w:space="0" w:color="auto"/>
              <w:right w:val="single" w:sz="4" w:space="0" w:color="auto"/>
            </w:tcBorders>
            <w:noWrap/>
            <w:vAlign w:val="bottom"/>
            <w:hideMark/>
          </w:tcPr>
          <w:p w14:paraId="097D9C4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2E1B91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87A5DE" w14:textId="3328C7EA" w:rsidR="008B6F84" w:rsidRPr="00A51E75" w:rsidRDefault="003F169C"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Financial and Accounting</w:t>
            </w:r>
          </w:p>
        </w:tc>
        <w:tc>
          <w:tcPr>
            <w:tcW w:w="1259" w:type="pct"/>
            <w:tcBorders>
              <w:top w:val="nil"/>
              <w:left w:val="nil"/>
              <w:bottom w:val="single" w:sz="4" w:space="0" w:color="auto"/>
              <w:right w:val="single" w:sz="4" w:space="0" w:color="auto"/>
            </w:tcBorders>
            <w:hideMark/>
          </w:tcPr>
          <w:p w14:paraId="26F2F3B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3F03A227"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0C52899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74F5D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30720D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384217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 xml:space="preserve">Payment for Ecosystem Services </w:t>
            </w:r>
          </w:p>
        </w:tc>
      </w:tr>
      <w:tr w:rsidR="008B6F84" w:rsidRPr="0063505D" w14:paraId="6A7D34FD" w14:textId="77777777" w:rsidTr="4FBD6713">
        <w:trPr>
          <w:trHeight w:val="420"/>
        </w:trPr>
        <w:tc>
          <w:tcPr>
            <w:tcW w:w="1034" w:type="pct"/>
            <w:tcBorders>
              <w:top w:val="nil"/>
              <w:left w:val="single" w:sz="4" w:space="0" w:color="auto"/>
              <w:bottom w:val="single" w:sz="4" w:space="0" w:color="auto"/>
              <w:right w:val="single" w:sz="4" w:space="0" w:color="auto"/>
            </w:tcBorders>
            <w:noWrap/>
            <w:vAlign w:val="bottom"/>
            <w:hideMark/>
          </w:tcPr>
          <w:p w14:paraId="0970823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C3F6B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805C4C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5A7D14"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Natural Capital Assessment and Accounting</w:t>
            </w:r>
          </w:p>
        </w:tc>
      </w:tr>
      <w:tr w:rsidR="008B6F84" w:rsidRPr="00A51E75" w14:paraId="3B503F60"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066CE1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2FE003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55ACAA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71CEA2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Conservation Trust Funds</w:t>
            </w:r>
          </w:p>
        </w:tc>
      </w:tr>
      <w:tr w:rsidR="008B6F84" w:rsidRPr="00A51E75" w14:paraId="30B130D6" w14:textId="77777777" w:rsidTr="4FBD6713">
        <w:trPr>
          <w:trHeight w:val="80"/>
        </w:trPr>
        <w:tc>
          <w:tcPr>
            <w:tcW w:w="1034" w:type="pct"/>
            <w:tcBorders>
              <w:top w:val="nil"/>
              <w:left w:val="single" w:sz="4" w:space="0" w:color="auto"/>
              <w:bottom w:val="single" w:sz="4" w:space="0" w:color="auto"/>
              <w:right w:val="single" w:sz="4" w:space="0" w:color="auto"/>
            </w:tcBorders>
            <w:noWrap/>
            <w:vAlign w:val="bottom"/>
            <w:hideMark/>
          </w:tcPr>
          <w:p w14:paraId="109C11D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5B91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F7A08C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7AFDCA9" w14:textId="778A9F8C" w:rsidR="008B6F84" w:rsidRPr="00A51E75" w:rsidRDefault="003F169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Conservation Finance</w:t>
            </w:r>
          </w:p>
        </w:tc>
      </w:tr>
      <w:tr w:rsidR="008B6F84" w:rsidRPr="0063505D" w14:paraId="05B66F5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8AB5BE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F0B44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D411D6D"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hideMark/>
          </w:tcPr>
          <w:p w14:paraId="3612AE5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0624028" w14:textId="77777777" w:rsidTr="4FBD6713">
        <w:trPr>
          <w:trHeight w:val="98"/>
        </w:trPr>
        <w:tc>
          <w:tcPr>
            <w:tcW w:w="1034" w:type="pct"/>
            <w:tcBorders>
              <w:top w:val="nil"/>
              <w:left w:val="single" w:sz="4" w:space="0" w:color="auto"/>
              <w:bottom w:val="single" w:sz="4" w:space="0" w:color="auto"/>
              <w:right w:val="single" w:sz="4" w:space="0" w:color="auto"/>
            </w:tcBorders>
            <w:noWrap/>
            <w:vAlign w:val="bottom"/>
            <w:hideMark/>
          </w:tcPr>
          <w:p w14:paraId="42D971C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EDF89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65AB6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56CF79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Biosafety</w:t>
            </w:r>
          </w:p>
        </w:tc>
      </w:tr>
      <w:tr w:rsidR="008B6F84" w:rsidRPr="0063505D" w14:paraId="4098EE8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444072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0D2A3E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E7AF9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248DED3"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Access to Genetic Resources Benefit Sharing</w:t>
            </w:r>
          </w:p>
        </w:tc>
      </w:tr>
      <w:tr w:rsidR="008B6F84" w:rsidRPr="00A51E75" w14:paraId="4A02A1C8"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4603EC3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F89E0C9" w14:textId="49A38573"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Forests</w:t>
            </w:r>
          </w:p>
        </w:tc>
        <w:tc>
          <w:tcPr>
            <w:tcW w:w="1181" w:type="pct"/>
            <w:tcBorders>
              <w:top w:val="nil"/>
              <w:left w:val="nil"/>
              <w:bottom w:val="single" w:sz="4" w:space="0" w:color="auto"/>
              <w:right w:val="single" w:sz="4" w:space="0" w:color="auto"/>
            </w:tcBorders>
          </w:tcPr>
          <w:p w14:paraId="07813A97"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nil"/>
              <w:left w:val="nil"/>
              <w:bottom w:val="single" w:sz="4" w:space="0" w:color="auto"/>
              <w:right w:val="single" w:sz="4" w:space="0" w:color="auto"/>
            </w:tcBorders>
            <w:hideMark/>
          </w:tcPr>
          <w:p w14:paraId="03B175D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1741364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20545F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5A7D3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D833279" w14:textId="465494EB" w:rsidR="008B6F84" w:rsidRPr="00A51E75" w:rsidRDefault="003F169C"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tcPr>
          <w:p w14:paraId="3D34377B"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2EBD9DC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3BCB743E"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07374871"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6EE2C953"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0D5270CA" w14:textId="54DA1B03" w:rsidR="008B6F84" w:rsidRPr="00A51E75" w:rsidRDefault="003F169C"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REDD/REDD+</w:t>
            </w:r>
          </w:p>
        </w:tc>
      </w:tr>
      <w:tr w:rsidR="008B6F84" w:rsidRPr="00A51E75" w14:paraId="315C2A87" w14:textId="77777777" w:rsidTr="4FBD6713">
        <w:trPr>
          <w:trHeight w:val="188"/>
        </w:trPr>
        <w:tc>
          <w:tcPr>
            <w:tcW w:w="1034" w:type="pct"/>
            <w:tcBorders>
              <w:top w:val="nil"/>
              <w:left w:val="single" w:sz="4" w:space="0" w:color="auto"/>
              <w:bottom w:val="single" w:sz="4" w:space="0" w:color="auto"/>
              <w:right w:val="single" w:sz="4" w:space="0" w:color="auto"/>
            </w:tcBorders>
            <w:noWrap/>
            <w:vAlign w:val="bottom"/>
            <w:hideMark/>
          </w:tcPr>
          <w:p w14:paraId="3B5A64B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5D755C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10309E4" w14:textId="57B9F6B1" w:rsidR="008B6F84" w:rsidRPr="00A51E75" w:rsidRDefault="003F169C"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Forest</w:t>
            </w:r>
          </w:p>
        </w:tc>
        <w:tc>
          <w:tcPr>
            <w:tcW w:w="1259" w:type="pct"/>
            <w:tcBorders>
              <w:top w:val="nil"/>
              <w:left w:val="nil"/>
              <w:bottom w:val="single" w:sz="4" w:space="0" w:color="auto"/>
              <w:right w:val="single" w:sz="4" w:space="0" w:color="auto"/>
            </w:tcBorders>
            <w:hideMark/>
          </w:tcPr>
          <w:p w14:paraId="6C9F2BB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96B5AEE"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37D83A6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459EE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EE6FD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046710A" w14:textId="087FA89C" w:rsidR="008B6F84" w:rsidRPr="00A51E75" w:rsidRDefault="003F169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Amazon</w:t>
            </w:r>
          </w:p>
        </w:tc>
      </w:tr>
      <w:tr w:rsidR="008B6F84" w:rsidRPr="00A51E75" w14:paraId="26C46F82" w14:textId="77777777" w:rsidTr="4FBD6713">
        <w:trPr>
          <w:trHeight w:val="107"/>
        </w:trPr>
        <w:tc>
          <w:tcPr>
            <w:tcW w:w="1034" w:type="pct"/>
            <w:tcBorders>
              <w:top w:val="nil"/>
              <w:left w:val="single" w:sz="4" w:space="0" w:color="auto"/>
              <w:bottom w:val="single" w:sz="4" w:space="0" w:color="auto"/>
              <w:right w:val="single" w:sz="4" w:space="0" w:color="auto"/>
            </w:tcBorders>
            <w:noWrap/>
            <w:vAlign w:val="bottom"/>
            <w:hideMark/>
          </w:tcPr>
          <w:p w14:paraId="568C558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0BAA3B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32784B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E1C17A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Congo</w:t>
            </w:r>
          </w:p>
        </w:tc>
      </w:tr>
      <w:tr w:rsidR="008B6F84" w:rsidRPr="00A51E75" w14:paraId="164FE58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8F6A22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8B7501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8761D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3C20BE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Drylands</w:t>
            </w:r>
          </w:p>
        </w:tc>
      </w:tr>
      <w:tr w:rsidR="008B6F84" w:rsidRPr="00A51E75" w14:paraId="5865A653"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1224430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42B5F99" w14:textId="1F02A035"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Land Degradation</w:t>
            </w:r>
          </w:p>
        </w:tc>
        <w:tc>
          <w:tcPr>
            <w:tcW w:w="1181" w:type="pct"/>
            <w:tcBorders>
              <w:top w:val="nil"/>
              <w:left w:val="nil"/>
              <w:bottom w:val="single" w:sz="4" w:space="0" w:color="auto"/>
              <w:right w:val="single" w:sz="4" w:space="0" w:color="auto"/>
            </w:tcBorders>
            <w:hideMark/>
          </w:tcPr>
          <w:p w14:paraId="5EFF291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DD7BC7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499057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EAAA57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39B25A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00DD9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Sustainable Land Management</w:t>
            </w:r>
          </w:p>
        </w:tc>
        <w:tc>
          <w:tcPr>
            <w:tcW w:w="1259" w:type="pct"/>
            <w:tcBorders>
              <w:top w:val="nil"/>
              <w:left w:val="nil"/>
              <w:bottom w:val="single" w:sz="4" w:space="0" w:color="auto"/>
              <w:right w:val="single" w:sz="4" w:space="0" w:color="auto"/>
            </w:tcBorders>
            <w:hideMark/>
          </w:tcPr>
          <w:p w14:paraId="2643081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3337C1AE" w14:textId="77777777" w:rsidTr="4FBD6713">
        <w:trPr>
          <w:trHeight w:val="420"/>
        </w:trPr>
        <w:tc>
          <w:tcPr>
            <w:tcW w:w="1034" w:type="pct"/>
            <w:tcBorders>
              <w:top w:val="nil"/>
              <w:left w:val="single" w:sz="4" w:space="0" w:color="auto"/>
              <w:bottom w:val="single" w:sz="4" w:space="0" w:color="auto"/>
              <w:right w:val="single" w:sz="4" w:space="0" w:color="auto"/>
            </w:tcBorders>
            <w:noWrap/>
            <w:vAlign w:val="bottom"/>
            <w:hideMark/>
          </w:tcPr>
          <w:p w14:paraId="2D743E5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F875C0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6E15D2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EBF128E"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 xml:space="preserve">Restoration and Rehabilitation of Degraded Lands </w:t>
            </w:r>
          </w:p>
        </w:tc>
      </w:tr>
      <w:tr w:rsidR="008B6F84" w:rsidRPr="00A51E75" w14:paraId="361027E9" w14:textId="77777777" w:rsidTr="4FBD6713">
        <w:trPr>
          <w:trHeight w:val="188"/>
        </w:trPr>
        <w:tc>
          <w:tcPr>
            <w:tcW w:w="1034" w:type="pct"/>
            <w:tcBorders>
              <w:top w:val="nil"/>
              <w:left w:val="single" w:sz="4" w:space="0" w:color="auto"/>
              <w:bottom w:val="single" w:sz="4" w:space="0" w:color="auto"/>
              <w:right w:val="single" w:sz="4" w:space="0" w:color="auto"/>
            </w:tcBorders>
            <w:noWrap/>
            <w:vAlign w:val="bottom"/>
            <w:hideMark/>
          </w:tcPr>
          <w:p w14:paraId="7D0DFFD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1D1D77F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E90C91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37FBA0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Ecosystem Approach</w:t>
            </w:r>
          </w:p>
        </w:tc>
      </w:tr>
      <w:tr w:rsidR="008B6F84" w:rsidRPr="0063505D" w14:paraId="7A9AAE36" w14:textId="77777777" w:rsidTr="4FBD6713">
        <w:trPr>
          <w:trHeight w:val="251"/>
        </w:trPr>
        <w:tc>
          <w:tcPr>
            <w:tcW w:w="1034" w:type="pct"/>
            <w:tcBorders>
              <w:top w:val="nil"/>
              <w:left w:val="single" w:sz="4" w:space="0" w:color="auto"/>
              <w:bottom w:val="single" w:sz="4" w:space="0" w:color="auto"/>
              <w:right w:val="single" w:sz="4" w:space="0" w:color="auto"/>
            </w:tcBorders>
            <w:noWrap/>
            <w:vAlign w:val="bottom"/>
            <w:hideMark/>
          </w:tcPr>
          <w:p w14:paraId="24D7E42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9592D4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D29ABB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2AE7A69"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Integrated and Cross-sectoral approach</w:t>
            </w:r>
          </w:p>
        </w:tc>
      </w:tr>
      <w:tr w:rsidR="008B6F84" w:rsidRPr="00A51E75" w14:paraId="32F276B0"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B1A43E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9ACEB0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9C18F7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1AA725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Community-Based NRM</w:t>
            </w:r>
          </w:p>
        </w:tc>
      </w:tr>
      <w:tr w:rsidR="008B6F84" w:rsidRPr="00A51E75" w14:paraId="4704D82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ABFFF3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2AE296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E7676F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1BF67F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Livelihoods</w:t>
            </w:r>
          </w:p>
        </w:tc>
      </w:tr>
      <w:tr w:rsidR="008B6F84" w:rsidRPr="00A51E75" w14:paraId="04371CE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FE462E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7B3D80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972FAF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B1232E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Income Generating Activities</w:t>
            </w:r>
          </w:p>
        </w:tc>
      </w:tr>
      <w:tr w:rsidR="008B6F84" w:rsidRPr="00A51E75" w14:paraId="748A5B18" w14:textId="77777777" w:rsidTr="4FBD6713">
        <w:trPr>
          <w:trHeight w:val="134"/>
        </w:trPr>
        <w:tc>
          <w:tcPr>
            <w:tcW w:w="1034" w:type="pct"/>
            <w:tcBorders>
              <w:top w:val="nil"/>
              <w:left w:val="single" w:sz="4" w:space="0" w:color="auto"/>
              <w:bottom w:val="single" w:sz="4" w:space="0" w:color="auto"/>
              <w:right w:val="single" w:sz="4" w:space="0" w:color="auto"/>
            </w:tcBorders>
            <w:noWrap/>
            <w:vAlign w:val="bottom"/>
            <w:hideMark/>
          </w:tcPr>
          <w:p w14:paraId="515CE69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40727C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18E50A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BB9735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Agriculture</w:t>
            </w:r>
          </w:p>
        </w:tc>
      </w:tr>
      <w:tr w:rsidR="008B6F84" w:rsidRPr="00A51E75" w14:paraId="54F24C96" w14:textId="77777777" w:rsidTr="4FBD6713">
        <w:trPr>
          <w:trHeight w:val="107"/>
        </w:trPr>
        <w:tc>
          <w:tcPr>
            <w:tcW w:w="1034" w:type="pct"/>
            <w:tcBorders>
              <w:top w:val="nil"/>
              <w:left w:val="single" w:sz="4" w:space="0" w:color="auto"/>
              <w:bottom w:val="single" w:sz="4" w:space="0" w:color="auto"/>
              <w:right w:val="single" w:sz="4" w:space="0" w:color="auto"/>
            </w:tcBorders>
            <w:noWrap/>
            <w:vAlign w:val="bottom"/>
            <w:hideMark/>
          </w:tcPr>
          <w:p w14:paraId="7AD5920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50803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154B90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A4BB1D6"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Pasture Management</w:t>
            </w:r>
          </w:p>
        </w:tc>
      </w:tr>
      <w:tr w:rsidR="008B6F84" w:rsidRPr="00A51E75" w14:paraId="30186AD6" w14:textId="77777777" w:rsidTr="4FBD6713">
        <w:trPr>
          <w:trHeight w:val="420"/>
        </w:trPr>
        <w:tc>
          <w:tcPr>
            <w:tcW w:w="1034" w:type="pct"/>
            <w:tcBorders>
              <w:top w:val="nil"/>
              <w:left w:val="single" w:sz="4" w:space="0" w:color="auto"/>
              <w:bottom w:val="single" w:sz="4" w:space="0" w:color="auto"/>
              <w:right w:val="single" w:sz="4" w:space="0" w:color="auto"/>
            </w:tcBorders>
            <w:noWrap/>
            <w:vAlign w:val="bottom"/>
            <w:hideMark/>
          </w:tcPr>
          <w:p w14:paraId="6E70FB4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7F646BA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8364A6"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2DB912F1"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Forest/Woodland Management</w:t>
            </w:r>
          </w:p>
        </w:tc>
      </w:tr>
      <w:tr w:rsidR="008B6F84" w:rsidRPr="0063505D" w14:paraId="18CC83BF" w14:textId="77777777" w:rsidTr="4FBD6713">
        <w:trPr>
          <w:trHeight w:val="420"/>
        </w:trPr>
        <w:tc>
          <w:tcPr>
            <w:tcW w:w="1034" w:type="pct"/>
            <w:tcBorders>
              <w:top w:val="nil"/>
              <w:left w:val="single" w:sz="4" w:space="0" w:color="auto"/>
              <w:bottom w:val="single" w:sz="4" w:space="0" w:color="auto"/>
              <w:right w:val="single" w:sz="4" w:space="0" w:color="auto"/>
            </w:tcBorders>
            <w:noWrap/>
            <w:vAlign w:val="bottom"/>
            <w:hideMark/>
          </w:tcPr>
          <w:p w14:paraId="33C771E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56A774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06F958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3C7F346"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Improved Soil and Water Management Techniques</w:t>
            </w:r>
          </w:p>
        </w:tc>
      </w:tr>
      <w:tr w:rsidR="008B6F84" w:rsidRPr="00A51E75" w14:paraId="7FC90BE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8E6FC8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07254C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D2A533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6BC8574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Sustainable Fire Management</w:t>
            </w:r>
          </w:p>
        </w:tc>
      </w:tr>
      <w:tr w:rsidR="008B6F84" w:rsidRPr="00A51E75" w14:paraId="2EBF7476"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5EDA269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2070C9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37B4E0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C6E4E51"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Drought Mitigation/Early Warning</w:t>
            </w:r>
          </w:p>
        </w:tc>
      </w:tr>
      <w:tr w:rsidR="008B6F84" w:rsidRPr="00A51E75" w14:paraId="5B83E98B"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01E3903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2211E9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9E998A" w14:textId="1735317F" w:rsidR="008B6F84" w:rsidRPr="00A51E75" w:rsidRDefault="003F169C"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Land Degradation Neutrality</w:t>
            </w:r>
          </w:p>
        </w:tc>
        <w:tc>
          <w:tcPr>
            <w:tcW w:w="1259" w:type="pct"/>
            <w:tcBorders>
              <w:top w:val="nil"/>
              <w:left w:val="nil"/>
              <w:bottom w:val="single" w:sz="4" w:space="0" w:color="auto"/>
              <w:right w:val="single" w:sz="4" w:space="0" w:color="auto"/>
            </w:tcBorders>
            <w:hideMark/>
          </w:tcPr>
          <w:p w14:paraId="2E750D1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8FB0BD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EA3708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21E9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306CAC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69D3B5C" w14:textId="69A28817" w:rsidR="008B6F84" w:rsidRPr="00A51E75" w:rsidRDefault="003F169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Land Productivity</w:t>
            </w:r>
          </w:p>
        </w:tc>
      </w:tr>
      <w:tr w:rsidR="008B6F84" w:rsidRPr="0063505D" w14:paraId="0CD6E15F" w14:textId="77777777" w:rsidTr="4FBD6713">
        <w:trPr>
          <w:trHeight w:val="107"/>
        </w:trPr>
        <w:tc>
          <w:tcPr>
            <w:tcW w:w="1034" w:type="pct"/>
            <w:tcBorders>
              <w:top w:val="nil"/>
              <w:left w:val="single" w:sz="4" w:space="0" w:color="auto"/>
              <w:bottom w:val="single" w:sz="4" w:space="0" w:color="auto"/>
              <w:right w:val="single" w:sz="4" w:space="0" w:color="auto"/>
            </w:tcBorders>
            <w:noWrap/>
            <w:vAlign w:val="bottom"/>
            <w:hideMark/>
          </w:tcPr>
          <w:p w14:paraId="0201312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2C6C7E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EEFD7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517EE9A9" w14:textId="06832AAA" w:rsidR="008B6F84" w:rsidRPr="00A51E75" w:rsidRDefault="003F169C"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Land Cover and Land cover change</w:t>
            </w:r>
          </w:p>
        </w:tc>
      </w:tr>
      <w:tr w:rsidR="008B6F84" w:rsidRPr="0063505D" w14:paraId="441971A7" w14:textId="77777777" w:rsidTr="4FBD6713">
        <w:trPr>
          <w:trHeight w:val="179"/>
        </w:trPr>
        <w:tc>
          <w:tcPr>
            <w:tcW w:w="1034" w:type="pct"/>
            <w:tcBorders>
              <w:top w:val="nil"/>
              <w:left w:val="single" w:sz="4" w:space="0" w:color="auto"/>
              <w:bottom w:val="single" w:sz="4" w:space="0" w:color="auto"/>
              <w:right w:val="single" w:sz="4" w:space="0" w:color="auto"/>
            </w:tcBorders>
            <w:noWrap/>
            <w:vAlign w:val="bottom"/>
            <w:hideMark/>
          </w:tcPr>
          <w:p w14:paraId="2A90BF5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E0977E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C497FB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4AB60638" w14:textId="40856D22" w:rsidR="008B6F84" w:rsidRPr="00A51E75" w:rsidRDefault="003F169C"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Carbon stocks above or below ground</w:t>
            </w:r>
          </w:p>
        </w:tc>
      </w:tr>
      <w:tr w:rsidR="008B6F84" w:rsidRPr="00A51E75" w14:paraId="3072B4B0"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F29EF4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6CE62C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6B0EF5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Food Security</w:t>
            </w:r>
          </w:p>
        </w:tc>
        <w:tc>
          <w:tcPr>
            <w:tcW w:w="1259" w:type="pct"/>
            <w:tcBorders>
              <w:top w:val="nil"/>
              <w:left w:val="nil"/>
              <w:bottom w:val="single" w:sz="4" w:space="0" w:color="auto"/>
              <w:right w:val="single" w:sz="4" w:space="0" w:color="auto"/>
            </w:tcBorders>
            <w:hideMark/>
          </w:tcPr>
          <w:p w14:paraId="5CD9F40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F4DA8A2" w14:textId="77777777" w:rsidTr="4FBD6713">
        <w:trPr>
          <w:trHeight w:val="143"/>
        </w:trPr>
        <w:tc>
          <w:tcPr>
            <w:tcW w:w="1034" w:type="pct"/>
            <w:tcBorders>
              <w:top w:val="nil"/>
              <w:left w:val="single" w:sz="4" w:space="0" w:color="auto"/>
              <w:bottom w:val="single" w:sz="4" w:space="0" w:color="auto"/>
              <w:right w:val="single" w:sz="4" w:space="0" w:color="auto"/>
            </w:tcBorders>
            <w:noWrap/>
            <w:vAlign w:val="bottom"/>
            <w:hideMark/>
          </w:tcPr>
          <w:p w14:paraId="3B8A941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E60DDA6" w14:textId="12AC547D"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International Waters</w:t>
            </w:r>
          </w:p>
        </w:tc>
        <w:tc>
          <w:tcPr>
            <w:tcW w:w="1181" w:type="pct"/>
            <w:tcBorders>
              <w:top w:val="nil"/>
              <w:left w:val="nil"/>
              <w:bottom w:val="single" w:sz="4" w:space="0" w:color="auto"/>
              <w:right w:val="single" w:sz="4" w:space="0" w:color="auto"/>
            </w:tcBorders>
            <w:noWrap/>
            <w:vAlign w:val="bottom"/>
            <w:hideMark/>
          </w:tcPr>
          <w:p w14:paraId="7523FD3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00B65E5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CD4FFB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14B532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1C2C23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7A060E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 xml:space="preserve">Ship </w:t>
            </w:r>
          </w:p>
        </w:tc>
        <w:tc>
          <w:tcPr>
            <w:tcW w:w="1259" w:type="pct"/>
            <w:tcBorders>
              <w:top w:val="nil"/>
              <w:left w:val="nil"/>
              <w:bottom w:val="single" w:sz="4" w:space="0" w:color="auto"/>
              <w:right w:val="single" w:sz="4" w:space="0" w:color="auto"/>
            </w:tcBorders>
            <w:hideMark/>
          </w:tcPr>
          <w:p w14:paraId="5EB3A53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CE224B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2633B8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3EF129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5A90A5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Coastal</w:t>
            </w:r>
          </w:p>
        </w:tc>
        <w:tc>
          <w:tcPr>
            <w:tcW w:w="1259" w:type="pct"/>
            <w:tcBorders>
              <w:top w:val="nil"/>
              <w:left w:val="nil"/>
              <w:bottom w:val="single" w:sz="4" w:space="0" w:color="auto"/>
              <w:right w:val="single" w:sz="4" w:space="0" w:color="auto"/>
            </w:tcBorders>
            <w:hideMark/>
          </w:tcPr>
          <w:p w14:paraId="70FD9FA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25B6E0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1AA7DECC"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351AE8D0"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64624FF2" w14:textId="0353C560" w:rsidR="008B6F84" w:rsidRPr="00A51E75" w:rsidRDefault="00CC6D6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SimSun" w:hAnsiTheme="minorHAnsi" w:cstheme="minorHAnsi"/>
                <w:color w:val="000000"/>
                <w:sz w:val="16"/>
                <w:szCs w:val="16"/>
                <w:lang w:val="en-GB"/>
              </w:rPr>
              <w:t>Freshwater</w:t>
            </w:r>
          </w:p>
        </w:tc>
        <w:tc>
          <w:tcPr>
            <w:tcW w:w="1259" w:type="pct"/>
            <w:tcBorders>
              <w:top w:val="nil"/>
              <w:left w:val="nil"/>
              <w:bottom w:val="single" w:sz="4" w:space="0" w:color="auto"/>
              <w:right w:val="single" w:sz="4" w:space="0" w:color="auto"/>
            </w:tcBorders>
          </w:tcPr>
          <w:p w14:paraId="2AA1F5B2"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1678473E" w14:textId="77777777" w:rsidTr="4FBD6713">
        <w:trPr>
          <w:trHeight w:val="80"/>
        </w:trPr>
        <w:tc>
          <w:tcPr>
            <w:tcW w:w="1034" w:type="pct"/>
            <w:tcBorders>
              <w:top w:val="nil"/>
              <w:left w:val="single" w:sz="4" w:space="0" w:color="auto"/>
              <w:bottom w:val="single" w:sz="4" w:space="0" w:color="auto"/>
              <w:right w:val="single" w:sz="4" w:space="0" w:color="auto"/>
            </w:tcBorders>
            <w:noWrap/>
            <w:vAlign w:val="bottom"/>
            <w:hideMark/>
          </w:tcPr>
          <w:p w14:paraId="2898DD8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768B5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5DCC242D"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7B94CC8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Aquifer</w:t>
            </w:r>
          </w:p>
        </w:tc>
      </w:tr>
      <w:tr w:rsidR="008B6F84" w:rsidRPr="00A51E75" w14:paraId="7E74CA6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F51DF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22F72FE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7FF47512"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603C256E" w14:textId="0C64FEC9" w:rsidR="008B6F84" w:rsidRPr="00A51E75" w:rsidRDefault="00CC6D6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River Basin</w:t>
            </w:r>
          </w:p>
        </w:tc>
      </w:tr>
      <w:tr w:rsidR="008B6F84" w:rsidRPr="00A51E75" w14:paraId="7791B8B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18571E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770D7B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1F110F15"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nil"/>
              <w:left w:val="nil"/>
              <w:bottom w:val="single" w:sz="4" w:space="0" w:color="auto"/>
              <w:right w:val="single" w:sz="4" w:space="0" w:color="auto"/>
            </w:tcBorders>
            <w:vAlign w:val="center"/>
            <w:hideMark/>
          </w:tcPr>
          <w:p w14:paraId="6C7C4C8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Lake Basin</w:t>
            </w:r>
          </w:p>
        </w:tc>
      </w:tr>
      <w:tr w:rsidR="008B6F84" w:rsidRPr="00A51E75" w14:paraId="359C381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C67B86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21AB16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51539D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Learning</w:t>
            </w:r>
          </w:p>
        </w:tc>
        <w:tc>
          <w:tcPr>
            <w:tcW w:w="1259" w:type="pct"/>
            <w:tcBorders>
              <w:top w:val="nil"/>
              <w:left w:val="nil"/>
              <w:bottom w:val="single" w:sz="4" w:space="0" w:color="auto"/>
              <w:right w:val="single" w:sz="4" w:space="0" w:color="auto"/>
            </w:tcBorders>
            <w:hideMark/>
          </w:tcPr>
          <w:p w14:paraId="4A58395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D10B4D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520856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BAA78F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25F0611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Fisheries</w:t>
            </w:r>
          </w:p>
        </w:tc>
        <w:tc>
          <w:tcPr>
            <w:tcW w:w="1259" w:type="pct"/>
            <w:tcBorders>
              <w:top w:val="nil"/>
              <w:left w:val="nil"/>
              <w:bottom w:val="single" w:sz="4" w:space="0" w:color="auto"/>
              <w:right w:val="single" w:sz="4" w:space="0" w:color="auto"/>
            </w:tcBorders>
            <w:hideMark/>
          </w:tcPr>
          <w:p w14:paraId="11C8BD3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1453C99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4F744B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D1531A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11E741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Persistent toxic substances</w:t>
            </w:r>
          </w:p>
        </w:tc>
        <w:tc>
          <w:tcPr>
            <w:tcW w:w="1259" w:type="pct"/>
            <w:tcBorders>
              <w:top w:val="nil"/>
              <w:left w:val="nil"/>
              <w:bottom w:val="single" w:sz="4" w:space="0" w:color="auto"/>
              <w:right w:val="single" w:sz="4" w:space="0" w:color="auto"/>
            </w:tcBorders>
            <w:hideMark/>
          </w:tcPr>
          <w:p w14:paraId="7859490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2AB9AFE9"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D689DB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177276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32EB38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proofErr w:type="gramStart"/>
            <w:r w:rsidRPr="00A51E75">
              <w:rPr>
                <w:rFonts w:asciiTheme="minorHAnsi" w:hAnsiTheme="minorHAnsi" w:cstheme="minorHAnsi"/>
                <w:iCs/>
                <w:color w:val="000000"/>
                <w:sz w:val="16"/>
                <w:szCs w:val="16"/>
                <w:lang w:val="en-GB"/>
              </w:rPr>
              <w:t>SIDS :</w:t>
            </w:r>
            <w:proofErr w:type="gramEnd"/>
            <w:r w:rsidRPr="00A51E75">
              <w:rPr>
                <w:rFonts w:asciiTheme="minorHAnsi" w:hAnsiTheme="minorHAnsi" w:cstheme="minorHAnsi"/>
                <w:iCs/>
                <w:color w:val="000000"/>
                <w:sz w:val="16"/>
                <w:szCs w:val="16"/>
                <w:lang w:val="en-GB"/>
              </w:rPr>
              <w:t xml:space="preserve"> Small Island Dev States</w:t>
            </w:r>
          </w:p>
        </w:tc>
        <w:tc>
          <w:tcPr>
            <w:tcW w:w="1259" w:type="pct"/>
            <w:tcBorders>
              <w:top w:val="nil"/>
              <w:left w:val="nil"/>
              <w:bottom w:val="single" w:sz="4" w:space="0" w:color="auto"/>
              <w:right w:val="single" w:sz="4" w:space="0" w:color="auto"/>
            </w:tcBorders>
            <w:hideMark/>
          </w:tcPr>
          <w:p w14:paraId="21AAA64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337BEA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09E476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324FD8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D1EDABD"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Targeted Research</w:t>
            </w:r>
          </w:p>
        </w:tc>
        <w:tc>
          <w:tcPr>
            <w:tcW w:w="1259" w:type="pct"/>
            <w:tcBorders>
              <w:top w:val="nil"/>
              <w:left w:val="nil"/>
              <w:bottom w:val="single" w:sz="4" w:space="0" w:color="auto"/>
              <w:right w:val="single" w:sz="4" w:space="0" w:color="auto"/>
            </w:tcBorders>
            <w:hideMark/>
          </w:tcPr>
          <w:p w14:paraId="23BA756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158234E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4C9AB1C9"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65A35C09"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470EB450"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Pollution</w:t>
            </w:r>
          </w:p>
        </w:tc>
        <w:tc>
          <w:tcPr>
            <w:tcW w:w="1259" w:type="pct"/>
            <w:tcBorders>
              <w:top w:val="nil"/>
              <w:left w:val="nil"/>
              <w:bottom w:val="single" w:sz="4" w:space="0" w:color="auto"/>
              <w:right w:val="single" w:sz="4" w:space="0" w:color="auto"/>
            </w:tcBorders>
          </w:tcPr>
          <w:p w14:paraId="1A28423F"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359107F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3F34E088"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6A968DFB"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vAlign w:val="center"/>
          </w:tcPr>
          <w:p w14:paraId="2CD1C873"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0703BDB2"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Persistent toxic substances</w:t>
            </w:r>
          </w:p>
        </w:tc>
      </w:tr>
      <w:tr w:rsidR="008B6F84" w:rsidRPr="00A51E75" w14:paraId="4B6BACD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7EA7DD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9E9AFE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tcPr>
          <w:p w14:paraId="350D860F"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nil"/>
              <w:left w:val="nil"/>
              <w:bottom w:val="single" w:sz="4" w:space="0" w:color="auto"/>
              <w:right w:val="single" w:sz="4" w:space="0" w:color="auto"/>
            </w:tcBorders>
            <w:hideMark/>
          </w:tcPr>
          <w:p w14:paraId="62DCCB2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Plastics</w:t>
            </w:r>
          </w:p>
        </w:tc>
      </w:tr>
      <w:tr w:rsidR="008B6F84" w:rsidRPr="0063505D" w14:paraId="36F7A682" w14:textId="77777777" w:rsidTr="4FBD6713">
        <w:trPr>
          <w:trHeight w:val="408"/>
        </w:trPr>
        <w:tc>
          <w:tcPr>
            <w:tcW w:w="1034" w:type="pct"/>
            <w:tcBorders>
              <w:top w:val="nil"/>
              <w:left w:val="single" w:sz="4" w:space="0" w:color="auto"/>
              <w:bottom w:val="single" w:sz="4" w:space="0" w:color="auto"/>
              <w:right w:val="single" w:sz="4" w:space="0" w:color="auto"/>
            </w:tcBorders>
            <w:noWrap/>
            <w:vAlign w:val="bottom"/>
            <w:hideMark/>
          </w:tcPr>
          <w:p w14:paraId="7CD22A4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5AD3A9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1AD874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792C63A5"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Nutrient pollution from all sectors except wastewater</w:t>
            </w:r>
          </w:p>
        </w:tc>
      </w:tr>
      <w:tr w:rsidR="008B6F84" w:rsidRPr="00A51E75" w14:paraId="3D1149D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5BB937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815AFC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130418F7"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F3E88C2"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Nutrient pollution from Wastewater</w:t>
            </w:r>
          </w:p>
        </w:tc>
      </w:tr>
      <w:tr w:rsidR="008B6F84" w:rsidRPr="0063505D" w14:paraId="6873E917" w14:textId="77777777" w:rsidTr="4FBD6713">
        <w:trPr>
          <w:trHeight w:val="368"/>
        </w:trPr>
        <w:tc>
          <w:tcPr>
            <w:tcW w:w="1034" w:type="pct"/>
            <w:tcBorders>
              <w:top w:val="nil"/>
              <w:left w:val="single" w:sz="4" w:space="0" w:color="auto"/>
              <w:bottom w:val="single" w:sz="4" w:space="0" w:color="auto"/>
              <w:right w:val="single" w:sz="4" w:space="0" w:color="auto"/>
            </w:tcBorders>
            <w:noWrap/>
            <w:vAlign w:val="bottom"/>
            <w:hideMark/>
          </w:tcPr>
          <w:p w14:paraId="5B4A0B3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29CA4C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E6A4CCC"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hideMark/>
          </w:tcPr>
          <w:p w14:paraId="1F10F42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2CB1633" w14:textId="77777777" w:rsidTr="4FBD6713">
        <w:trPr>
          <w:trHeight w:val="161"/>
        </w:trPr>
        <w:tc>
          <w:tcPr>
            <w:tcW w:w="1034" w:type="pct"/>
            <w:tcBorders>
              <w:top w:val="nil"/>
              <w:left w:val="single" w:sz="4" w:space="0" w:color="auto"/>
              <w:bottom w:val="single" w:sz="4" w:space="0" w:color="auto"/>
              <w:right w:val="single" w:sz="4" w:space="0" w:color="auto"/>
            </w:tcBorders>
            <w:noWrap/>
            <w:vAlign w:val="bottom"/>
            <w:hideMark/>
          </w:tcPr>
          <w:p w14:paraId="41C1FE8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A4E85D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417077AB"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hideMark/>
          </w:tcPr>
          <w:p w14:paraId="12ABC5A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480F6B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41F7DA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723D19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642DA0D1"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hideMark/>
          </w:tcPr>
          <w:p w14:paraId="457F6CE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17B528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285917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29500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40F0DEC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Large Marine Ecosystems</w:t>
            </w:r>
          </w:p>
        </w:tc>
        <w:tc>
          <w:tcPr>
            <w:tcW w:w="1259" w:type="pct"/>
            <w:tcBorders>
              <w:top w:val="nil"/>
              <w:left w:val="nil"/>
              <w:bottom w:val="single" w:sz="4" w:space="0" w:color="auto"/>
              <w:right w:val="single" w:sz="4" w:space="0" w:color="auto"/>
            </w:tcBorders>
            <w:hideMark/>
          </w:tcPr>
          <w:p w14:paraId="73A08E2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3FA094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319DA6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1DBDD9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5AD174C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Private Sector</w:t>
            </w:r>
          </w:p>
        </w:tc>
        <w:tc>
          <w:tcPr>
            <w:tcW w:w="1259" w:type="pct"/>
            <w:tcBorders>
              <w:top w:val="nil"/>
              <w:left w:val="nil"/>
              <w:bottom w:val="single" w:sz="4" w:space="0" w:color="auto"/>
              <w:right w:val="single" w:sz="4" w:space="0" w:color="auto"/>
            </w:tcBorders>
            <w:hideMark/>
          </w:tcPr>
          <w:p w14:paraId="3078C3B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E28322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A426D3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164A5F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D3F6CB7"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Aquaculture</w:t>
            </w:r>
          </w:p>
        </w:tc>
        <w:tc>
          <w:tcPr>
            <w:tcW w:w="1259" w:type="pct"/>
            <w:tcBorders>
              <w:top w:val="nil"/>
              <w:left w:val="nil"/>
              <w:bottom w:val="single" w:sz="4" w:space="0" w:color="auto"/>
              <w:right w:val="single" w:sz="4" w:space="0" w:color="auto"/>
            </w:tcBorders>
            <w:hideMark/>
          </w:tcPr>
          <w:p w14:paraId="453A71A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C54102B"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719958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B8A4A4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134FCD9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Marine Protected Area</w:t>
            </w:r>
          </w:p>
        </w:tc>
        <w:tc>
          <w:tcPr>
            <w:tcW w:w="1259" w:type="pct"/>
            <w:tcBorders>
              <w:top w:val="nil"/>
              <w:left w:val="nil"/>
              <w:bottom w:val="single" w:sz="4" w:space="0" w:color="auto"/>
              <w:right w:val="single" w:sz="4" w:space="0" w:color="auto"/>
            </w:tcBorders>
            <w:hideMark/>
          </w:tcPr>
          <w:p w14:paraId="778F379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09B3809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FFD0E9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A24E5C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490155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Biomes</w:t>
            </w:r>
          </w:p>
        </w:tc>
        <w:tc>
          <w:tcPr>
            <w:tcW w:w="1259" w:type="pct"/>
            <w:tcBorders>
              <w:top w:val="nil"/>
              <w:left w:val="nil"/>
              <w:bottom w:val="single" w:sz="4" w:space="0" w:color="auto"/>
              <w:right w:val="single" w:sz="4" w:space="0" w:color="auto"/>
            </w:tcBorders>
            <w:hideMark/>
          </w:tcPr>
          <w:p w14:paraId="168F120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9E76B8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65815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C377C3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37A4A95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4300346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Mangrove</w:t>
            </w:r>
          </w:p>
        </w:tc>
      </w:tr>
      <w:tr w:rsidR="008B6F84" w:rsidRPr="00A51E75" w14:paraId="09B8D2A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E14C32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D908AE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6D2DE642"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14E7551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Coral Reefs</w:t>
            </w:r>
          </w:p>
        </w:tc>
      </w:tr>
      <w:tr w:rsidR="008B6F84" w:rsidRPr="00A51E75" w14:paraId="7A0B95C9"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2758B4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26D41B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747EED4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4461E14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Seagrasses</w:t>
            </w:r>
          </w:p>
        </w:tc>
      </w:tr>
      <w:tr w:rsidR="008B6F84" w:rsidRPr="00A51E75" w14:paraId="29A89AF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97E470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C7830C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59F3726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6B795B1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Polar Ecosystems</w:t>
            </w:r>
          </w:p>
        </w:tc>
      </w:tr>
      <w:tr w:rsidR="008B6F84" w:rsidRPr="00A51E75" w14:paraId="7862124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44D90E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6EBDD1D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vAlign w:val="center"/>
            <w:hideMark/>
          </w:tcPr>
          <w:p w14:paraId="032783EB"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vAlign w:val="center"/>
            <w:hideMark/>
          </w:tcPr>
          <w:p w14:paraId="1DFC700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Constructed Wetlands</w:t>
            </w:r>
          </w:p>
        </w:tc>
      </w:tr>
      <w:tr w:rsidR="008B6F84" w:rsidRPr="00A51E75" w14:paraId="30E9485D"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5645A4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E8350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Chemicals and Waste</w:t>
            </w:r>
          </w:p>
        </w:tc>
        <w:tc>
          <w:tcPr>
            <w:tcW w:w="1181" w:type="pct"/>
            <w:tcBorders>
              <w:top w:val="nil"/>
              <w:left w:val="nil"/>
              <w:bottom w:val="single" w:sz="4" w:space="0" w:color="auto"/>
              <w:right w:val="single" w:sz="4" w:space="0" w:color="auto"/>
            </w:tcBorders>
          </w:tcPr>
          <w:p w14:paraId="48472236" w14:textId="77777777" w:rsidR="008B6F84" w:rsidRPr="00A51E75" w:rsidRDefault="008B6F84" w:rsidP="008B6F84">
            <w:pPr>
              <w:jc w:val="both"/>
              <w:rPr>
                <w:rFonts w:asciiTheme="minorHAnsi" w:hAnsiTheme="minorHAnsi" w:cstheme="minorHAnsi"/>
                <w:iCs/>
                <w:color w:val="000000"/>
                <w:sz w:val="16"/>
                <w:szCs w:val="16"/>
                <w:lang w:val="en-GB"/>
              </w:rPr>
            </w:pPr>
          </w:p>
        </w:tc>
        <w:tc>
          <w:tcPr>
            <w:tcW w:w="1259" w:type="pct"/>
            <w:tcBorders>
              <w:top w:val="nil"/>
              <w:left w:val="nil"/>
              <w:bottom w:val="single" w:sz="4" w:space="0" w:color="auto"/>
              <w:right w:val="single" w:sz="4" w:space="0" w:color="auto"/>
            </w:tcBorders>
            <w:hideMark/>
          </w:tcPr>
          <w:p w14:paraId="6BF8553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66BD6F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0089F287"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tcPr>
          <w:p w14:paraId="4729D73F"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2B335A31"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Mercury</w:t>
            </w:r>
          </w:p>
        </w:tc>
        <w:tc>
          <w:tcPr>
            <w:tcW w:w="1259" w:type="pct"/>
            <w:tcBorders>
              <w:top w:val="nil"/>
              <w:left w:val="nil"/>
              <w:bottom w:val="single" w:sz="4" w:space="0" w:color="auto"/>
              <w:right w:val="single" w:sz="4" w:space="0" w:color="auto"/>
            </w:tcBorders>
          </w:tcPr>
          <w:p w14:paraId="6C17C19F"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63505D" w14:paraId="5084BD2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222924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135291C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1AE321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hideMark/>
          </w:tcPr>
          <w:p w14:paraId="72C37C4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C52C76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F58CAD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C6AA63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277A5D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Coal Fired Power Plants</w:t>
            </w:r>
          </w:p>
        </w:tc>
        <w:tc>
          <w:tcPr>
            <w:tcW w:w="1259" w:type="pct"/>
            <w:tcBorders>
              <w:top w:val="nil"/>
              <w:left w:val="nil"/>
              <w:bottom w:val="single" w:sz="4" w:space="0" w:color="auto"/>
              <w:right w:val="single" w:sz="4" w:space="0" w:color="auto"/>
            </w:tcBorders>
            <w:hideMark/>
          </w:tcPr>
          <w:p w14:paraId="4320CC8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A54783E"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EB7ECD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106DA9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FB9EF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Coal Fired Industrial Boilers</w:t>
            </w:r>
          </w:p>
        </w:tc>
        <w:tc>
          <w:tcPr>
            <w:tcW w:w="1259" w:type="pct"/>
            <w:tcBorders>
              <w:top w:val="nil"/>
              <w:left w:val="nil"/>
              <w:bottom w:val="single" w:sz="4" w:space="0" w:color="auto"/>
              <w:right w:val="single" w:sz="4" w:space="0" w:color="auto"/>
            </w:tcBorders>
            <w:hideMark/>
          </w:tcPr>
          <w:p w14:paraId="360DCBE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C8B4A9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595D11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8449A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09AE9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Cement</w:t>
            </w:r>
          </w:p>
        </w:tc>
        <w:tc>
          <w:tcPr>
            <w:tcW w:w="1259" w:type="pct"/>
            <w:tcBorders>
              <w:top w:val="nil"/>
              <w:left w:val="nil"/>
              <w:bottom w:val="single" w:sz="4" w:space="0" w:color="auto"/>
              <w:right w:val="single" w:sz="4" w:space="0" w:color="auto"/>
            </w:tcBorders>
            <w:hideMark/>
          </w:tcPr>
          <w:p w14:paraId="3B7C59B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5CF463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6B8DBF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CDB888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111E7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hideMark/>
          </w:tcPr>
          <w:p w14:paraId="14CADEB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48E94B9" w14:textId="77777777" w:rsidTr="4FBD6713">
        <w:trPr>
          <w:trHeight w:val="71"/>
        </w:trPr>
        <w:tc>
          <w:tcPr>
            <w:tcW w:w="1034" w:type="pct"/>
            <w:tcBorders>
              <w:top w:val="nil"/>
              <w:left w:val="single" w:sz="4" w:space="0" w:color="auto"/>
              <w:bottom w:val="single" w:sz="4" w:space="0" w:color="auto"/>
              <w:right w:val="single" w:sz="4" w:space="0" w:color="auto"/>
            </w:tcBorders>
            <w:noWrap/>
            <w:vAlign w:val="bottom"/>
            <w:hideMark/>
          </w:tcPr>
          <w:p w14:paraId="3BC63C4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F03000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125DC8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Ozone</w:t>
            </w:r>
          </w:p>
        </w:tc>
        <w:tc>
          <w:tcPr>
            <w:tcW w:w="1259" w:type="pct"/>
            <w:tcBorders>
              <w:top w:val="nil"/>
              <w:left w:val="nil"/>
              <w:bottom w:val="single" w:sz="4" w:space="0" w:color="auto"/>
              <w:right w:val="single" w:sz="4" w:space="0" w:color="auto"/>
            </w:tcBorders>
            <w:hideMark/>
          </w:tcPr>
          <w:p w14:paraId="5489C67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09B943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CEC557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197DBC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9D6119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Persistent Organic Pollutants</w:t>
            </w:r>
          </w:p>
        </w:tc>
        <w:tc>
          <w:tcPr>
            <w:tcW w:w="1259" w:type="pct"/>
            <w:tcBorders>
              <w:top w:val="nil"/>
              <w:left w:val="nil"/>
              <w:bottom w:val="single" w:sz="4" w:space="0" w:color="auto"/>
              <w:right w:val="single" w:sz="4" w:space="0" w:color="auto"/>
            </w:tcBorders>
            <w:hideMark/>
          </w:tcPr>
          <w:p w14:paraId="646DBA9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7CE2C3C" w14:textId="77777777" w:rsidTr="4FBD6713">
        <w:trPr>
          <w:trHeight w:val="125"/>
        </w:trPr>
        <w:tc>
          <w:tcPr>
            <w:tcW w:w="1034" w:type="pct"/>
            <w:tcBorders>
              <w:top w:val="nil"/>
              <w:left w:val="single" w:sz="4" w:space="0" w:color="auto"/>
              <w:bottom w:val="single" w:sz="4" w:space="0" w:color="auto"/>
              <w:right w:val="single" w:sz="4" w:space="0" w:color="auto"/>
            </w:tcBorders>
            <w:noWrap/>
            <w:vAlign w:val="bottom"/>
            <w:hideMark/>
          </w:tcPr>
          <w:p w14:paraId="4B91AA4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E3ECE7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A82C507"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hideMark/>
          </w:tcPr>
          <w:p w14:paraId="45CD80A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2D26B42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B83ED4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4F31F9B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B466555"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 xml:space="preserve">Sound Management of chemicals and </w:t>
            </w:r>
            <w:proofErr w:type="gramStart"/>
            <w:r w:rsidRPr="00A51E75">
              <w:rPr>
                <w:rFonts w:asciiTheme="minorHAnsi" w:hAnsiTheme="minorHAnsi" w:cstheme="minorHAnsi"/>
                <w:iCs/>
                <w:color w:val="000000"/>
                <w:sz w:val="16"/>
                <w:szCs w:val="16"/>
                <w:lang w:val="en-GB"/>
              </w:rPr>
              <w:t>Waste</w:t>
            </w:r>
            <w:proofErr w:type="gramEnd"/>
          </w:p>
        </w:tc>
        <w:tc>
          <w:tcPr>
            <w:tcW w:w="1259" w:type="pct"/>
            <w:tcBorders>
              <w:top w:val="nil"/>
              <w:left w:val="nil"/>
              <w:bottom w:val="single" w:sz="4" w:space="0" w:color="auto"/>
              <w:right w:val="single" w:sz="4" w:space="0" w:color="auto"/>
            </w:tcBorders>
            <w:hideMark/>
          </w:tcPr>
          <w:p w14:paraId="66AA450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06683A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0DAD04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vAlign w:val="bottom"/>
            <w:hideMark/>
          </w:tcPr>
          <w:p w14:paraId="25751AE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959AA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Waste Management</w:t>
            </w:r>
          </w:p>
        </w:tc>
        <w:tc>
          <w:tcPr>
            <w:tcW w:w="1259" w:type="pct"/>
            <w:tcBorders>
              <w:top w:val="nil"/>
              <w:left w:val="nil"/>
              <w:bottom w:val="single" w:sz="4" w:space="0" w:color="auto"/>
              <w:right w:val="single" w:sz="4" w:space="0" w:color="auto"/>
            </w:tcBorders>
            <w:hideMark/>
          </w:tcPr>
          <w:p w14:paraId="3E5A11B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3BBA94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7D5864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58CCE6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5D7D86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495D93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Hazardous Waste Management</w:t>
            </w:r>
          </w:p>
        </w:tc>
      </w:tr>
      <w:tr w:rsidR="008B6F84" w:rsidRPr="00A51E75" w14:paraId="59B6D58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15960B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CDFD2D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1A8B98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0E26E86"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Industrial Waste</w:t>
            </w:r>
          </w:p>
        </w:tc>
      </w:tr>
      <w:tr w:rsidR="008B6F84" w:rsidRPr="00A51E75" w14:paraId="4300EAE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62AADD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E5C702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B47F1A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120E207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e-Waste</w:t>
            </w:r>
          </w:p>
        </w:tc>
      </w:tr>
      <w:tr w:rsidR="008B6F84" w:rsidRPr="00A51E75" w14:paraId="2DD1FE1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5412A3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FFD489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2D67CB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Emissions</w:t>
            </w:r>
          </w:p>
        </w:tc>
        <w:tc>
          <w:tcPr>
            <w:tcW w:w="1259" w:type="pct"/>
            <w:tcBorders>
              <w:top w:val="nil"/>
              <w:left w:val="nil"/>
              <w:bottom w:val="single" w:sz="4" w:space="0" w:color="auto"/>
              <w:right w:val="single" w:sz="4" w:space="0" w:color="auto"/>
            </w:tcBorders>
            <w:hideMark/>
          </w:tcPr>
          <w:p w14:paraId="697AF9E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4B4FC2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C0CA24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3BBA37F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00CA3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Disposal</w:t>
            </w:r>
          </w:p>
        </w:tc>
        <w:tc>
          <w:tcPr>
            <w:tcW w:w="1259" w:type="pct"/>
            <w:tcBorders>
              <w:top w:val="nil"/>
              <w:left w:val="nil"/>
              <w:bottom w:val="single" w:sz="4" w:space="0" w:color="auto"/>
              <w:right w:val="single" w:sz="4" w:space="0" w:color="auto"/>
            </w:tcBorders>
            <w:hideMark/>
          </w:tcPr>
          <w:p w14:paraId="235AFD5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369C2C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E39EA9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lastRenderedPageBreak/>
              <w:t> </w:t>
            </w:r>
          </w:p>
        </w:tc>
        <w:tc>
          <w:tcPr>
            <w:tcW w:w="1526" w:type="pct"/>
            <w:tcBorders>
              <w:top w:val="nil"/>
              <w:left w:val="nil"/>
              <w:bottom w:val="single" w:sz="4" w:space="0" w:color="auto"/>
              <w:right w:val="single" w:sz="4" w:space="0" w:color="auto"/>
            </w:tcBorders>
            <w:hideMark/>
          </w:tcPr>
          <w:p w14:paraId="6EEA547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EB815E1"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hideMark/>
          </w:tcPr>
          <w:p w14:paraId="672C23E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233FFA4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B62748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B1C70B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D1E4135"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Polychlorinated Biphenyls</w:t>
            </w:r>
          </w:p>
        </w:tc>
        <w:tc>
          <w:tcPr>
            <w:tcW w:w="1259" w:type="pct"/>
            <w:tcBorders>
              <w:top w:val="nil"/>
              <w:left w:val="nil"/>
              <w:bottom w:val="single" w:sz="4" w:space="0" w:color="auto"/>
              <w:right w:val="single" w:sz="4" w:space="0" w:color="auto"/>
            </w:tcBorders>
            <w:hideMark/>
          </w:tcPr>
          <w:p w14:paraId="5CB83E6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71D23CA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872048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923D35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E6F312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Plastics</w:t>
            </w:r>
          </w:p>
        </w:tc>
        <w:tc>
          <w:tcPr>
            <w:tcW w:w="1259" w:type="pct"/>
            <w:tcBorders>
              <w:top w:val="nil"/>
              <w:left w:val="nil"/>
              <w:bottom w:val="single" w:sz="4" w:space="0" w:color="auto"/>
              <w:right w:val="single" w:sz="4" w:space="0" w:color="auto"/>
            </w:tcBorders>
            <w:hideMark/>
          </w:tcPr>
          <w:p w14:paraId="3ABCA351"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18EBEDB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96DD7E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6001E2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D92376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Eco-Efficiency</w:t>
            </w:r>
          </w:p>
        </w:tc>
        <w:tc>
          <w:tcPr>
            <w:tcW w:w="1259" w:type="pct"/>
            <w:tcBorders>
              <w:top w:val="nil"/>
              <w:left w:val="nil"/>
              <w:bottom w:val="single" w:sz="4" w:space="0" w:color="auto"/>
              <w:right w:val="single" w:sz="4" w:space="0" w:color="auto"/>
            </w:tcBorders>
            <w:hideMark/>
          </w:tcPr>
          <w:p w14:paraId="6D63637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43B7D7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E0AD6A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70D98A5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49D75A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Pesticides</w:t>
            </w:r>
          </w:p>
        </w:tc>
        <w:tc>
          <w:tcPr>
            <w:tcW w:w="1259" w:type="pct"/>
            <w:tcBorders>
              <w:top w:val="nil"/>
              <w:left w:val="nil"/>
              <w:bottom w:val="single" w:sz="4" w:space="0" w:color="auto"/>
              <w:right w:val="single" w:sz="4" w:space="0" w:color="auto"/>
            </w:tcBorders>
            <w:hideMark/>
          </w:tcPr>
          <w:p w14:paraId="07B8B66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3F4E6CB9"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949207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56F2DB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53A10C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DDT - Vector Management</w:t>
            </w:r>
          </w:p>
        </w:tc>
        <w:tc>
          <w:tcPr>
            <w:tcW w:w="1259" w:type="pct"/>
            <w:tcBorders>
              <w:top w:val="nil"/>
              <w:left w:val="nil"/>
              <w:bottom w:val="single" w:sz="4" w:space="0" w:color="auto"/>
              <w:right w:val="single" w:sz="4" w:space="0" w:color="auto"/>
            </w:tcBorders>
            <w:hideMark/>
          </w:tcPr>
          <w:p w14:paraId="3FA1DAA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5893AC9"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EADBB3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9F3134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D385C4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DDT - Other</w:t>
            </w:r>
          </w:p>
        </w:tc>
        <w:tc>
          <w:tcPr>
            <w:tcW w:w="1259" w:type="pct"/>
            <w:tcBorders>
              <w:top w:val="nil"/>
              <w:left w:val="nil"/>
              <w:bottom w:val="single" w:sz="4" w:space="0" w:color="auto"/>
              <w:right w:val="single" w:sz="4" w:space="0" w:color="auto"/>
            </w:tcBorders>
            <w:hideMark/>
          </w:tcPr>
          <w:p w14:paraId="2638A11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004F267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CA110C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2A0D816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3292CF8"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Industrial Emissions</w:t>
            </w:r>
          </w:p>
        </w:tc>
        <w:tc>
          <w:tcPr>
            <w:tcW w:w="1259" w:type="pct"/>
            <w:tcBorders>
              <w:top w:val="nil"/>
              <w:left w:val="nil"/>
              <w:bottom w:val="single" w:sz="4" w:space="0" w:color="auto"/>
              <w:right w:val="single" w:sz="4" w:space="0" w:color="auto"/>
            </w:tcBorders>
            <w:hideMark/>
          </w:tcPr>
          <w:p w14:paraId="3DAF11EB"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654AD47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783384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01323F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95660C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Open Burning</w:t>
            </w:r>
          </w:p>
        </w:tc>
        <w:tc>
          <w:tcPr>
            <w:tcW w:w="1259" w:type="pct"/>
            <w:tcBorders>
              <w:top w:val="nil"/>
              <w:left w:val="nil"/>
              <w:bottom w:val="single" w:sz="4" w:space="0" w:color="auto"/>
              <w:right w:val="single" w:sz="4" w:space="0" w:color="auto"/>
            </w:tcBorders>
            <w:hideMark/>
          </w:tcPr>
          <w:p w14:paraId="01CB09FD"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01E4489C" w14:textId="77777777" w:rsidTr="4FBD6713">
        <w:trPr>
          <w:trHeight w:val="152"/>
        </w:trPr>
        <w:tc>
          <w:tcPr>
            <w:tcW w:w="1034" w:type="pct"/>
            <w:tcBorders>
              <w:top w:val="nil"/>
              <w:left w:val="single" w:sz="4" w:space="0" w:color="auto"/>
              <w:bottom w:val="single" w:sz="4" w:space="0" w:color="auto"/>
              <w:right w:val="single" w:sz="4" w:space="0" w:color="auto"/>
            </w:tcBorders>
            <w:noWrap/>
            <w:vAlign w:val="bottom"/>
            <w:hideMark/>
          </w:tcPr>
          <w:p w14:paraId="02C519B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5E778AF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B1A321F" w14:textId="77777777" w:rsidR="008B6F84" w:rsidRPr="00A51E75" w:rsidRDefault="00211737" w:rsidP="008B6F84">
            <w:pPr>
              <w:ind w:left="150" w:hanging="150"/>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hideMark/>
          </w:tcPr>
          <w:p w14:paraId="27018F5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41727316"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DC239E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hideMark/>
          </w:tcPr>
          <w:p w14:paraId="0F34135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BD782F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Green Chemistry</w:t>
            </w:r>
          </w:p>
        </w:tc>
        <w:tc>
          <w:tcPr>
            <w:tcW w:w="1259" w:type="pct"/>
            <w:tcBorders>
              <w:top w:val="nil"/>
              <w:left w:val="nil"/>
              <w:bottom w:val="single" w:sz="4" w:space="0" w:color="auto"/>
              <w:right w:val="single" w:sz="4" w:space="0" w:color="auto"/>
            </w:tcBorders>
            <w:hideMark/>
          </w:tcPr>
          <w:p w14:paraId="75C92A8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A51E75" w14:paraId="51D8C35D"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EB5E33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2DB899C" w14:textId="46B6A60F"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Climate Change</w:t>
            </w:r>
          </w:p>
        </w:tc>
        <w:tc>
          <w:tcPr>
            <w:tcW w:w="1181" w:type="pct"/>
            <w:tcBorders>
              <w:top w:val="nil"/>
              <w:left w:val="nil"/>
              <w:bottom w:val="single" w:sz="4" w:space="0" w:color="auto"/>
              <w:right w:val="single" w:sz="4" w:space="0" w:color="auto"/>
            </w:tcBorders>
          </w:tcPr>
          <w:p w14:paraId="3B3ACF1C"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259" w:type="pct"/>
            <w:tcBorders>
              <w:top w:val="nil"/>
              <w:left w:val="nil"/>
              <w:bottom w:val="single" w:sz="4" w:space="0" w:color="auto"/>
              <w:right w:val="single" w:sz="4" w:space="0" w:color="auto"/>
            </w:tcBorders>
          </w:tcPr>
          <w:p w14:paraId="5A2829CF" w14:textId="77777777" w:rsidR="008B6F84" w:rsidRPr="00A51E75" w:rsidRDefault="008B6F84" w:rsidP="008B6F84">
            <w:pPr>
              <w:jc w:val="both"/>
              <w:rPr>
                <w:rFonts w:asciiTheme="minorHAnsi" w:hAnsiTheme="minorHAnsi" w:cstheme="minorHAnsi"/>
                <w:iCs/>
                <w:color w:val="000000"/>
                <w:sz w:val="16"/>
                <w:szCs w:val="16"/>
                <w:lang w:val="en-GB"/>
              </w:rPr>
            </w:pPr>
          </w:p>
        </w:tc>
      </w:tr>
      <w:tr w:rsidR="008B6F84" w:rsidRPr="00A51E75" w14:paraId="1034701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03CBA679"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36BE21B6"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37200DF9" w14:textId="05C2DEC5" w:rsidR="008B6F84" w:rsidRPr="00A51E75" w:rsidRDefault="003F169C" w:rsidP="008B6F84">
            <w:pPr>
              <w:jc w:val="both"/>
              <w:rPr>
                <w:rFonts w:asciiTheme="minorHAnsi" w:eastAsia="SimSun" w:hAnsiTheme="minorHAnsi" w:cstheme="minorHAnsi"/>
                <w:b/>
                <w:color w:val="000000"/>
                <w:sz w:val="16"/>
                <w:szCs w:val="16"/>
                <w:lang w:val="en-GB"/>
              </w:rPr>
            </w:pPr>
            <w:r w:rsidRPr="00A51E75">
              <w:rPr>
                <w:rFonts w:asciiTheme="minorHAnsi" w:eastAsia="SimSun" w:hAnsiTheme="minorHAnsi" w:cstheme="minorHAnsi"/>
                <w:b/>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b/>
                <w:color w:val="000000"/>
                <w:sz w:val="16"/>
                <w:shd w:val="clear" w:color="auto" w:fill="E6E6E6"/>
                <w:lang w:val="en-GB"/>
              </w:rPr>
              <w:instrText xml:space="preserve"> FORMCHECKBOX </w:instrText>
            </w:r>
            <w:r w:rsidRPr="00A51E75">
              <w:rPr>
                <w:rFonts w:asciiTheme="minorHAnsi" w:eastAsia="SimSun" w:hAnsiTheme="minorHAnsi" w:cstheme="minorHAnsi"/>
                <w:b/>
                <w:color w:val="000000"/>
                <w:sz w:val="16"/>
                <w:shd w:val="clear" w:color="auto" w:fill="E6E6E6"/>
                <w:lang w:val="en-GB"/>
              </w:rPr>
            </w:r>
            <w:r w:rsidRPr="00A51E75">
              <w:rPr>
                <w:rFonts w:asciiTheme="minorHAnsi" w:eastAsia="SimSun" w:hAnsiTheme="minorHAnsi" w:cstheme="minorHAnsi"/>
                <w:b/>
                <w:color w:val="000000"/>
                <w:sz w:val="16"/>
                <w:shd w:val="clear" w:color="auto" w:fill="E6E6E6"/>
                <w:lang w:val="en-GB"/>
              </w:rPr>
              <w:fldChar w:fldCharType="separate"/>
            </w:r>
            <w:r w:rsidRPr="00A51E75">
              <w:rPr>
                <w:rFonts w:asciiTheme="minorHAnsi" w:eastAsia="SimSun" w:hAnsiTheme="minorHAnsi" w:cstheme="minorHAnsi"/>
                <w:b/>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Climate Change Adaptation</w:t>
            </w:r>
          </w:p>
        </w:tc>
        <w:tc>
          <w:tcPr>
            <w:tcW w:w="1259" w:type="pct"/>
            <w:tcBorders>
              <w:top w:val="nil"/>
              <w:left w:val="nil"/>
              <w:bottom w:val="single" w:sz="4" w:space="0" w:color="auto"/>
              <w:right w:val="single" w:sz="4" w:space="0" w:color="auto"/>
            </w:tcBorders>
          </w:tcPr>
          <w:p w14:paraId="63C4CE8A" w14:textId="77777777" w:rsidR="008B6F84" w:rsidRPr="00A51E75" w:rsidRDefault="008B6F84" w:rsidP="008B6F84">
            <w:pPr>
              <w:jc w:val="both"/>
              <w:rPr>
                <w:rFonts w:asciiTheme="minorHAnsi" w:eastAsia="SimSun" w:hAnsiTheme="minorHAnsi" w:cstheme="minorHAnsi"/>
                <w:color w:val="000000"/>
                <w:sz w:val="16"/>
                <w:szCs w:val="16"/>
                <w:lang w:val="en-GB"/>
              </w:rPr>
            </w:pPr>
          </w:p>
        </w:tc>
      </w:tr>
      <w:tr w:rsidR="008B6F84" w:rsidRPr="00A51E75" w14:paraId="5BC8CF9F"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46BD8BD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70AA43EA"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181" w:type="pct"/>
            <w:tcBorders>
              <w:top w:val="nil"/>
              <w:left w:val="nil"/>
              <w:bottom w:val="single" w:sz="4" w:space="0" w:color="auto"/>
              <w:right w:val="single" w:sz="4" w:space="0" w:color="auto"/>
            </w:tcBorders>
          </w:tcPr>
          <w:p w14:paraId="4EFC6A88"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448FCD6E" w14:textId="77777777" w:rsidR="008B6F84" w:rsidRPr="00A51E75" w:rsidRDefault="00211737"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Climate Finance</w:t>
            </w:r>
          </w:p>
        </w:tc>
      </w:tr>
      <w:tr w:rsidR="008B6F84" w:rsidRPr="00A51E75" w14:paraId="06DCD4C4"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1D1FEB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025D1A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5E7DFD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1B82E01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Least Developed Countries</w:t>
            </w:r>
          </w:p>
        </w:tc>
      </w:tr>
      <w:tr w:rsidR="008B6F84" w:rsidRPr="00A51E75" w14:paraId="223986FD"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0DB0BF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E66D56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A14AB20"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65F5D00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Small Island Developing States</w:t>
            </w:r>
          </w:p>
        </w:tc>
      </w:tr>
      <w:tr w:rsidR="008B6F84" w:rsidRPr="00A51E75" w14:paraId="40C27FA7"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13FC5C7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5374492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F2723A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907AC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Disaster Risk Management</w:t>
            </w:r>
          </w:p>
        </w:tc>
      </w:tr>
      <w:tr w:rsidR="008B6F84" w:rsidRPr="00A51E75" w14:paraId="010CD4A0"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0A80A5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9A0F82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F5BEBF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4796B0E"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Sea-level rise</w:t>
            </w:r>
          </w:p>
        </w:tc>
      </w:tr>
      <w:tr w:rsidR="008B6F84" w:rsidRPr="00A51E75" w14:paraId="32F10B5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tcPr>
          <w:p w14:paraId="6445BE1D"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629B3D0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7880CFFD"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259" w:type="pct"/>
            <w:tcBorders>
              <w:top w:val="nil"/>
              <w:left w:val="nil"/>
              <w:bottom w:val="single" w:sz="4" w:space="0" w:color="auto"/>
              <w:right w:val="single" w:sz="4" w:space="0" w:color="auto"/>
            </w:tcBorders>
          </w:tcPr>
          <w:p w14:paraId="00B821B0" w14:textId="42F7D680" w:rsidR="008B6F84" w:rsidRPr="00A51E75" w:rsidRDefault="00B710BE" w:rsidP="008B6F84">
            <w:pPr>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SimSun" w:hAnsiTheme="minorHAnsi" w:cstheme="minorHAnsi"/>
                <w:color w:val="000000"/>
                <w:sz w:val="16"/>
                <w:szCs w:val="16"/>
                <w:lang w:val="en-GB"/>
              </w:rPr>
              <w:t>Climate Resilience</w:t>
            </w:r>
          </w:p>
        </w:tc>
      </w:tr>
      <w:tr w:rsidR="008B6F84" w:rsidRPr="00A51E75" w14:paraId="56DD859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44C0CF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549A9D0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A874C1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37E144C"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Climate information</w:t>
            </w:r>
          </w:p>
        </w:tc>
      </w:tr>
      <w:tr w:rsidR="008B6F84" w:rsidRPr="00A51E75" w14:paraId="309FA05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B5A03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73ED72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0D0D5F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6AE87E1"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Ecosystem-based Adaptation</w:t>
            </w:r>
          </w:p>
        </w:tc>
      </w:tr>
      <w:tr w:rsidR="008B6F84" w:rsidRPr="00A51E75" w14:paraId="2AF4153C"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6D664F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9EC6F9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E8294B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128F9FD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SimSun" w:hAnsiTheme="minorHAnsi" w:cstheme="minorHAnsi"/>
                <w:color w:val="000000"/>
                <w:sz w:val="16"/>
                <w:szCs w:val="16"/>
                <w:lang w:val="en-GB"/>
              </w:rPr>
              <w:t>Adaptation Tech Transfer</w:t>
            </w:r>
          </w:p>
        </w:tc>
      </w:tr>
      <w:tr w:rsidR="008B6F84" w:rsidRPr="0063505D" w14:paraId="74F878A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0DF6A9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60A4F1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488426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4A6738BD" w14:textId="77777777" w:rsidR="008B6F84" w:rsidRPr="00A51E75" w:rsidRDefault="00211737" w:rsidP="008B6F84">
            <w:pPr>
              <w:ind w:left="192" w:hanging="192"/>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National Adaptation Programme of Action</w:t>
            </w:r>
          </w:p>
        </w:tc>
      </w:tr>
      <w:tr w:rsidR="008B6F84" w:rsidRPr="00A51E75" w14:paraId="76E89E1F"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B39C89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2D1BAA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72F2522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545EED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National Adaptation Plan</w:t>
            </w:r>
          </w:p>
        </w:tc>
      </w:tr>
      <w:tr w:rsidR="008B6F84" w:rsidRPr="00A51E75" w14:paraId="4BC984C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506FA4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7BD63A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7A56F1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70A38245"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Mainstreaming Adaptation</w:t>
            </w:r>
          </w:p>
        </w:tc>
      </w:tr>
      <w:tr w:rsidR="008B6F84" w:rsidRPr="00A51E75" w14:paraId="14D95862"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CF6CB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2E3794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BB1A81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98A2C7C"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Private Sector</w:t>
            </w:r>
          </w:p>
        </w:tc>
      </w:tr>
      <w:tr w:rsidR="008B6F84" w:rsidRPr="00A51E75" w14:paraId="204EEE8D"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7120581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0DFE51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865481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08BDA9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Innovation</w:t>
            </w:r>
          </w:p>
        </w:tc>
      </w:tr>
      <w:tr w:rsidR="008B6F84" w:rsidRPr="00A51E75" w14:paraId="36439E1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F225ED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49DC3E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3719F0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8EDCFA4"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Complementarity</w:t>
            </w:r>
          </w:p>
        </w:tc>
      </w:tr>
      <w:tr w:rsidR="008B6F84" w:rsidRPr="00A51E75" w14:paraId="331DF1F7"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B14DE8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AAAAD4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0C63F6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207B3E9E" w14:textId="50039C82" w:rsidR="008B6F84" w:rsidRPr="00A51E75" w:rsidRDefault="003F169C"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Community-based Adaptation</w:t>
            </w:r>
          </w:p>
        </w:tc>
      </w:tr>
      <w:tr w:rsidR="008B6F84" w:rsidRPr="00A51E75" w14:paraId="4CF5E088"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ED85DE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D976A9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64E01BF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49E6E30"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Livelihoods</w:t>
            </w:r>
          </w:p>
        </w:tc>
      </w:tr>
      <w:tr w:rsidR="008B6F84" w:rsidRPr="00A51E75" w14:paraId="14BFF17F" w14:textId="77777777" w:rsidTr="4FBD6713">
        <w:trPr>
          <w:trHeight w:val="134"/>
        </w:trPr>
        <w:tc>
          <w:tcPr>
            <w:tcW w:w="1034" w:type="pct"/>
            <w:tcBorders>
              <w:top w:val="nil"/>
              <w:left w:val="single" w:sz="4" w:space="0" w:color="auto"/>
              <w:bottom w:val="single" w:sz="4" w:space="0" w:color="auto"/>
              <w:right w:val="single" w:sz="4" w:space="0" w:color="auto"/>
            </w:tcBorders>
            <w:noWrap/>
            <w:vAlign w:val="bottom"/>
            <w:hideMark/>
          </w:tcPr>
          <w:p w14:paraId="0FB3AAFC"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AB3366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83AD161" w14:textId="0FD4DB66" w:rsidR="008B6F84" w:rsidRPr="00A51E75" w:rsidRDefault="003F169C"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b/>
                <w:bCs/>
                <w:color w:val="000000"/>
                <w:sz w:val="16"/>
                <w:szCs w:val="16"/>
                <w:lang w:val="en-GB"/>
              </w:rPr>
              <w:t>Climate Change Mitigation</w:t>
            </w:r>
          </w:p>
        </w:tc>
        <w:tc>
          <w:tcPr>
            <w:tcW w:w="1259" w:type="pct"/>
            <w:tcBorders>
              <w:top w:val="nil"/>
              <w:left w:val="nil"/>
              <w:bottom w:val="single" w:sz="4" w:space="0" w:color="auto"/>
              <w:right w:val="single" w:sz="4" w:space="0" w:color="auto"/>
            </w:tcBorders>
          </w:tcPr>
          <w:p w14:paraId="137F467D" w14:textId="77777777" w:rsidR="008B6F84" w:rsidRPr="00A51E75" w:rsidRDefault="008B6F84" w:rsidP="008B6F84">
            <w:pPr>
              <w:jc w:val="both"/>
              <w:rPr>
                <w:rFonts w:asciiTheme="minorHAnsi" w:hAnsiTheme="minorHAnsi" w:cstheme="minorHAnsi"/>
                <w:iCs/>
                <w:color w:val="000000"/>
                <w:sz w:val="16"/>
                <w:szCs w:val="16"/>
                <w:lang w:val="en-GB"/>
              </w:rPr>
            </w:pPr>
          </w:p>
        </w:tc>
      </w:tr>
      <w:tr w:rsidR="008B6F84" w:rsidRPr="0063505D" w14:paraId="0458E64E" w14:textId="77777777" w:rsidTr="4FBD6713">
        <w:trPr>
          <w:trHeight w:val="134"/>
        </w:trPr>
        <w:tc>
          <w:tcPr>
            <w:tcW w:w="1034" w:type="pct"/>
            <w:tcBorders>
              <w:top w:val="nil"/>
              <w:left w:val="single" w:sz="4" w:space="0" w:color="auto"/>
              <w:bottom w:val="single" w:sz="4" w:space="0" w:color="auto"/>
              <w:right w:val="single" w:sz="4" w:space="0" w:color="auto"/>
            </w:tcBorders>
            <w:noWrap/>
            <w:vAlign w:val="bottom"/>
          </w:tcPr>
          <w:p w14:paraId="22A03E93"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788D5209"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tcPr>
          <w:p w14:paraId="60910BCB" w14:textId="77777777" w:rsidR="008B6F84" w:rsidRPr="00A51E75" w:rsidRDefault="008B6F84" w:rsidP="008B6F84">
            <w:pPr>
              <w:jc w:val="both"/>
              <w:rPr>
                <w:rFonts w:asciiTheme="minorHAnsi" w:eastAsia="SimSun"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377E5392" w14:textId="24B4C293" w:rsidR="008B6F84" w:rsidRPr="00A51E75" w:rsidRDefault="003F169C" w:rsidP="008B6F84">
            <w:pPr>
              <w:ind w:left="192" w:hanging="192"/>
              <w:jc w:val="both"/>
              <w:rPr>
                <w:rFonts w:asciiTheme="minorHAnsi" w:eastAsia="SimSun"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iCs/>
                <w:color w:val="000000"/>
                <w:sz w:val="16"/>
                <w:szCs w:val="16"/>
                <w:lang w:val="en-GB"/>
              </w:rPr>
              <w:t>Agriculture, Forestry, and other Land Use</w:t>
            </w:r>
          </w:p>
        </w:tc>
      </w:tr>
      <w:tr w:rsidR="008B6F84" w:rsidRPr="00A51E75" w14:paraId="0105B9CA"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6187DEC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47A6B1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76AE8F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3B77E12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Energy Efficiency</w:t>
            </w:r>
          </w:p>
        </w:tc>
      </w:tr>
      <w:tr w:rsidR="008B6F84" w:rsidRPr="0063505D" w14:paraId="69034FC1" w14:textId="77777777" w:rsidTr="4FBD6713">
        <w:trPr>
          <w:trHeight w:val="215"/>
        </w:trPr>
        <w:tc>
          <w:tcPr>
            <w:tcW w:w="1034" w:type="pct"/>
            <w:tcBorders>
              <w:top w:val="nil"/>
              <w:left w:val="single" w:sz="4" w:space="0" w:color="auto"/>
              <w:bottom w:val="single" w:sz="4" w:space="0" w:color="auto"/>
              <w:right w:val="single" w:sz="4" w:space="0" w:color="auto"/>
            </w:tcBorders>
            <w:noWrap/>
            <w:vAlign w:val="bottom"/>
            <w:hideMark/>
          </w:tcPr>
          <w:p w14:paraId="53B5305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90BFE5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C28AC7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F6D23CE" w14:textId="77777777" w:rsidR="008B6F84" w:rsidRPr="00A51E75" w:rsidRDefault="00211737" w:rsidP="008B6F84">
            <w:pPr>
              <w:ind w:left="192" w:hanging="192"/>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Sustainable Urban Systems and Transport</w:t>
            </w:r>
          </w:p>
        </w:tc>
      </w:tr>
      <w:tr w:rsidR="008B6F84" w:rsidRPr="00A51E75" w14:paraId="75F80E05"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F17889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04E0BF4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3D171B9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3A8AB2B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Technology Transfer</w:t>
            </w:r>
          </w:p>
        </w:tc>
      </w:tr>
      <w:tr w:rsidR="008B6F84" w:rsidRPr="00A51E75" w14:paraId="739F836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83EBE5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A18F86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AFF723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54CDBB83"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Renewable Energy</w:t>
            </w:r>
          </w:p>
        </w:tc>
      </w:tr>
      <w:tr w:rsidR="008B6F84" w:rsidRPr="00A51E75" w14:paraId="6F2F9CE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9800491"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F3C10E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E617324"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8B0446"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iCs/>
                <w:color w:val="000000"/>
                <w:sz w:val="16"/>
                <w:szCs w:val="16"/>
                <w:lang w:val="en-GB"/>
              </w:rPr>
              <w:t>Financing</w:t>
            </w:r>
          </w:p>
        </w:tc>
      </w:tr>
      <w:tr w:rsidR="008B6F84" w:rsidRPr="00A51E75" w14:paraId="07D05901"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10A297C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48A60CC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5460E4F"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hideMark/>
          </w:tcPr>
          <w:p w14:paraId="0B9FAD84"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Enabling Activities</w:t>
            </w:r>
          </w:p>
        </w:tc>
      </w:tr>
      <w:tr w:rsidR="008B6F84" w:rsidRPr="00A51E75" w14:paraId="285CD82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5EF329B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31954893"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470DEE1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Technology Transfer</w:t>
            </w:r>
          </w:p>
        </w:tc>
        <w:tc>
          <w:tcPr>
            <w:tcW w:w="1259" w:type="pct"/>
            <w:tcBorders>
              <w:top w:val="nil"/>
              <w:left w:val="nil"/>
              <w:bottom w:val="single" w:sz="4" w:space="0" w:color="auto"/>
              <w:right w:val="single" w:sz="4" w:space="0" w:color="auto"/>
            </w:tcBorders>
            <w:hideMark/>
          </w:tcPr>
          <w:p w14:paraId="7C74D002"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r>
      <w:tr w:rsidR="008B6F84" w:rsidRPr="0063505D" w14:paraId="726A4291" w14:textId="77777777" w:rsidTr="4FBD6713">
        <w:trPr>
          <w:trHeight w:val="420"/>
        </w:trPr>
        <w:tc>
          <w:tcPr>
            <w:tcW w:w="1034" w:type="pct"/>
            <w:tcBorders>
              <w:top w:val="nil"/>
              <w:left w:val="single" w:sz="4" w:space="0" w:color="auto"/>
              <w:bottom w:val="single" w:sz="4" w:space="0" w:color="auto"/>
              <w:right w:val="single" w:sz="4" w:space="0" w:color="auto"/>
            </w:tcBorders>
            <w:noWrap/>
            <w:vAlign w:val="bottom"/>
            <w:hideMark/>
          </w:tcPr>
          <w:p w14:paraId="0CDC707D"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7FD4209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7F3D92A"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30DEE7AA"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Poznan Strategic Programme on Technology Transfer</w:t>
            </w:r>
          </w:p>
        </w:tc>
      </w:tr>
      <w:tr w:rsidR="008B6F84" w:rsidRPr="0063505D" w14:paraId="236CD8C9" w14:textId="77777777" w:rsidTr="4FBD6713">
        <w:trPr>
          <w:trHeight w:val="420"/>
        </w:trPr>
        <w:tc>
          <w:tcPr>
            <w:tcW w:w="1034" w:type="pct"/>
            <w:tcBorders>
              <w:top w:val="nil"/>
              <w:left w:val="single" w:sz="4" w:space="0" w:color="auto"/>
              <w:bottom w:val="single" w:sz="4" w:space="0" w:color="auto"/>
              <w:right w:val="single" w:sz="4" w:space="0" w:color="auto"/>
            </w:tcBorders>
            <w:noWrap/>
            <w:vAlign w:val="bottom"/>
            <w:hideMark/>
          </w:tcPr>
          <w:p w14:paraId="71889E6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131944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06127749"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D76D8EE"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Climate Technology Centre &amp; Network (CTCN)</w:t>
            </w:r>
          </w:p>
        </w:tc>
      </w:tr>
      <w:tr w:rsidR="008B6F84" w:rsidRPr="00A51E75" w14:paraId="2E8832A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21C564F2"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CBE6E28"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2094D0F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8227FA9"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Endogenous technology</w:t>
            </w:r>
          </w:p>
        </w:tc>
      </w:tr>
      <w:tr w:rsidR="008B6F84" w:rsidRPr="00A51E75" w14:paraId="1B791083"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3A0B728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6436752B"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1839ECAF" w14:textId="77777777" w:rsidR="008B6F84" w:rsidRPr="00A51E75" w:rsidRDefault="00211737" w:rsidP="008B6F84">
            <w:pPr>
              <w:jc w:val="both"/>
              <w:rPr>
                <w:rFonts w:asciiTheme="minorHAnsi" w:hAnsiTheme="minorHAnsi" w:cstheme="minorHAnsi"/>
                <w:iCs/>
                <w:color w:val="000000"/>
                <w:sz w:val="16"/>
                <w:szCs w:val="16"/>
                <w:lang w:val="en-GB"/>
              </w:rPr>
            </w:pPr>
            <w:r w:rsidRPr="00A51E75">
              <w:rPr>
                <w:rFonts w:asciiTheme="minorHAnsi" w:hAnsiTheme="minorHAnsi" w:cstheme="minorHAnsi"/>
                <w:iCs/>
                <w:color w:val="000000"/>
                <w:sz w:val="16"/>
                <w:szCs w:val="16"/>
                <w:lang w:val="en-GB"/>
              </w:rPr>
              <w:t> </w:t>
            </w:r>
          </w:p>
        </w:tc>
        <w:tc>
          <w:tcPr>
            <w:tcW w:w="1259" w:type="pct"/>
            <w:tcBorders>
              <w:top w:val="nil"/>
              <w:left w:val="nil"/>
              <w:bottom w:val="single" w:sz="4" w:space="0" w:color="auto"/>
              <w:right w:val="single" w:sz="4" w:space="0" w:color="auto"/>
            </w:tcBorders>
            <w:hideMark/>
          </w:tcPr>
          <w:p w14:paraId="0139A4EF"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Technology Needs Assessment</w:t>
            </w:r>
          </w:p>
        </w:tc>
      </w:tr>
      <w:tr w:rsidR="008B6F84" w:rsidRPr="00A51E75" w14:paraId="1C5CE92F"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0E7B211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24B18135"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noWrap/>
            <w:vAlign w:val="bottom"/>
            <w:hideMark/>
          </w:tcPr>
          <w:p w14:paraId="48B6842A"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259" w:type="pct"/>
            <w:tcBorders>
              <w:top w:val="nil"/>
              <w:left w:val="nil"/>
              <w:bottom w:val="single" w:sz="4" w:space="0" w:color="auto"/>
              <w:right w:val="single" w:sz="4" w:space="0" w:color="auto"/>
            </w:tcBorders>
            <w:noWrap/>
            <w:vAlign w:val="bottom"/>
            <w:hideMark/>
          </w:tcPr>
          <w:p w14:paraId="1CF92068"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Adaptation Tech Transfer</w:t>
            </w:r>
          </w:p>
        </w:tc>
      </w:tr>
      <w:tr w:rsidR="008B6F84" w:rsidRPr="00A51E75" w14:paraId="5F221C33" w14:textId="77777777" w:rsidTr="4FBD6713">
        <w:trPr>
          <w:trHeight w:val="89"/>
        </w:trPr>
        <w:tc>
          <w:tcPr>
            <w:tcW w:w="1034" w:type="pct"/>
            <w:tcBorders>
              <w:top w:val="nil"/>
              <w:left w:val="single" w:sz="4" w:space="0" w:color="auto"/>
              <w:bottom w:val="single" w:sz="4" w:space="0" w:color="auto"/>
              <w:right w:val="single" w:sz="4" w:space="0" w:color="auto"/>
            </w:tcBorders>
            <w:noWrap/>
            <w:vAlign w:val="bottom"/>
            <w:hideMark/>
          </w:tcPr>
          <w:p w14:paraId="336A7AC7"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single" w:sz="4" w:space="0" w:color="auto"/>
              <w:right w:val="single" w:sz="4" w:space="0" w:color="auto"/>
            </w:tcBorders>
            <w:noWrap/>
            <w:vAlign w:val="bottom"/>
            <w:hideMark/>
          </w:tcPr>
          <w:p w14:paraId="16F501CE"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single" w:sz="4" w:space="0" w:color="auto"/>
              <w:right w:val="single" w:sz="4" w:space="0" w:color="auto"/>
            </w:tcBorders>
            <w:hideMark/>
          </w:tcPr>
          <w:p w14:paraId="505309B0" w14:textId="77777777" w:rsidR="008B6F84" w:rsidRPr="00A51E75" w:rsidRDefault="00211737" w:rsidP="008B6F84">
            <w:pPr>
              <w:ind w:left="150" w:hanging="150"/>
              <w:jc w:val="both"/>
              <w:rPr>
                <w:rFonts w:asciiTheme="minorHAnsi" w:hAnsiTheme="minorHAnsi" w:cstheme="minorHAnsi"/>
                <w:b/>
                <w:bCs/>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noWrap/>
            <w:vAlign w:val="bottom"/>
            <w:hideMark/>
          </w:tcPr>
          <w:p w14:paraId="1CA77437"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SimSun"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hAnsiTheme="minorHAnsi" w:cstheme="minorHAnsi"/>
                <w:color w:val="000000"/>
                <w:sz w:val="16"/>
                <w:szCs w:val="16"/>
                <w:lang w:val="en-GB"/>
              </w:rPr>
              <w:t>Nationally Determined Contribution</w:t>
            </w:r>
          </w:p>
        </w:tc>
      </w:tr>
      <w:tr w:rsidR="008B6F84" w:rsidRPr="00A51E75" w14:paraId="362543E7" w14:textId="77777777" w:rsidTr="4FBD6713">
        <w:trPr>
          <w:trHeight w:val="58"/>
        </w:trPr>
        <w:tc>
          <w:tcPr>
            <w:tcW w:w="1034" w:type="pct"/>
            <w:tcBorders>
              <w:top w:val="nil"/>
              <w:left w:val="single" w:sz="4" w:space="0" w:color="auto"/>
              <w:bottom w:val="nil"/>
              <w:right w:val="single" w:sz="4" w:space="0" w:color="auto"/>
            </w:tcBorders>
            <w:noWrap/>
            <w:vAlign w:val="bottom"/>
            <w:hideMark/>
          </w:tcPr>
          <w:p w14:paraId="3AA0AF89"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526" w:type="pct"/>
            <w:tcBorders>
              <w:top w:val="nil"/>
              <w:left w:val="nil"/>
              <w:bottom w:val="nil"/>
              <w:right w:val="single" w:sz="4" w:space="0" w:color="auto"/>
            </w:tcBorders>
            <w:noWrap/>
            <w:vAlign w:val="bottom"/>
            <w:hideMark/>
          </w:tcPr>
          <w:p w14:paraId="417B00E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hAnsiTheme="minorHAnsi" w:cstheme="minorHAnsi"/>
                <w:b/>
                <w:bCs/>
                <w:color w:val="000000"/>
                <w:sz w:val="16"/>
                <w:szCs w:val="16"/>
                <w:lang w:val="en-GB"/>
              </w:rPr>
              <w:t> </w:t>
            </w:r>
          </w:p>
        </w:tc>
        <w:tc>
          <w:tcPr>
            <w:tcW w:w="1181" w:type="pct"/>
            <w:tcBorders>
              <w:top w:val="nil"/>
              <w:left w:val="nil"/>
              <w:bottom w:val="nil"/>
              <w:right w:val="single" w:sz="4" w:space="0" w:color="auto"/>
            </w:tcBorders>
            <w:noWrap/>
            <w:vAlign w:val="bottom"/>
            <w:hideMark/>
          </w:tcPr>
          <w:p w14:paraId="26DE4123"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nil"/>
              <w:right w:val="single" w:sz="4" w:space="0" w:color="auto"/>
            </w:tcBorders>
            <w:hideMark/>
          </w:tcPr>
          <w:p w14:paraId="37759D6E" w14:textId="77777777" w:rsidR="008B6F84" w:rsidRPr="00A51E75" w:rsidRDefault="008B6F84" w:rsidP="008B6F84">
            <w:pPr>
              <w:ind w:left="192" w:hanging="192"/>
              <w:jc w:val="both"/>
              <w:rPr>
                <w:rFonts w:asciiTheme="minorHAnsi" w:hAnsiTheme="minorHAnsi" w:cstheme="minorHAnsi"/>
                <w:color w:val="000000"/>
                <w:sz w:val="16"/>
                <w:szCs w:val="16"/>
                <w:lang w:val="en-GB"/>
              </w:rPr>
            </w:pPr>
          </w:p>
        </w:tc>
      </w:tr>
      <w:tr w:rsidR="008B6F84" w:rsidRPr="00A51E75" w14:paraId="64817160" w14:textId="77777777" w:rsidTr="4FBD6713">
        <w:trPr>
          <w:trHeight w:val="58"/>
        </w:trPr>
        <w:tc>
          <w:tcPr>
            <w:tcW w:w="1034" w:type="pct"/>
            <w:tcBorders>
              <w:top w:val="nil"/>
              <w:left w:val="single" w:sz="4" w:space="0" w:color="auto"/>
              <w:bottom w:val="single" w:sz="4" w:space="0" w:color="auto"/>
              <w:right w:val="single" w:sz="4" w:space="0" w:color="auto"/>
            </w:tcBorders>
            <w:noWrap/>
            <w:vAlign w:val="bottom"/>
            <w:hideMark/>
          </w:tcPr>
          <w:p w14:paraId="4EAABE92" w14:textId="77777777" w:rsidR="008B6F84" w:rsidRPr="00A51E75" w:rsidRDefault="008B6F84" w:rsidP="008B6F84">
            <w:pPr>
              <w:jc w:val="both"/>
              <w:rPr>
                <w:rFonts w:asciiTheme="minorHAnsi" w:hAnsiTheme="minorHAnsi" w:cstheme="minorHAnsi"/>
                <w:b/>
                <w:bCs/>
                <w:color w:val="000000"/>
                <w:sz w:val="16"/>
                <w:szCs w:val="16"/>
                <w:lang w:val="en-GB"/>
              </w:rPr>
            </w:pPr>
            <w:bookmarkStart w:id="88" w:name="_Hlk35982323"/>
          </w:p>
        </w:tc>
        <w:tc>
          <w:tcPr>
            <w:tcW w:w="1526" w:type="pct"/>
            <w:tcBorders>
              <w:top w:val="nil"/>
              <w:left w:val="nil"/>
              <w:bottom w:val="single" w:sz="4" w:space="0" w:color="auto"/>
              <w:right w:val="single" w:sz="4" w:space="0" w:color="auto"/>
            </w:tcBorders>
            <w:noWrap/>
            <w:vAlign w:val="bottom"/>
            <w:hideMark/>
          </w:tcPr>
          <w:p w14:paraId="075DD616" w14:textId="77777777" w:rsidR="008B6F84" w:rsidRPr="00A51E75" w:rsidRDefault="00211737" w:rsidP="008B6F84">
            <w:pPr>
              <w:jc w:val="both"/>
              <w:rPr>
                <w:rFonts w:asciiTheme="minorHAnsi" w:hAnsiTheme="minorHAnsi" w:cstheme="minorHAnsi"/>
                <w:b/>
                <w:bCs/>
                <w:color w:val="000000"/>
                <w:sz w:val="16"/>
                <w:szCs w:val="16"/>
                <w:lang w:val="en-GB"/>
              </w:rPr>
            </w:pPr>
            <w:r w:rsidRPr="00A51E75">
              <w:rPr>
                <w:rFonts w:asciiTheme="minorHAnsi" w:eastAsia="SimSun" w:hAnsiTheme="minorHAnsi" w:cstheme="minorHAnsi"/>
                <w:b/>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Calibri" w:hAnsiTheme="minorHAnsi" w:cstheme="minorHAnsi"/>
                <w:b/>
                <w:color w:val="000000"/>
                <w:sz w:val="16"/>
                <w:szCs w:val="16"/>
                <w:lang w:val="en-GB"/>
              </w:rPr>
              <w:instrText xml:space="preserve"> FORMCHECKBOX </w:instrText>
            </w:r>
            <w:r w:rsidRPr="00A51E75">
              <w:rPr>
                <w:rFonts w:asciiTheme="minorHAnsi" w:eastAsia="SimSun" w:hAnsiTheme="minorHAnsi" w:cstheme="minorHAnsi"/>
                <w:b/>
                <w:color w:val="000000"/>
                <w:sz w:val="16"/>
                <w:shd w:val="clear" w:color="auto" w:fill="E6E6E6"/>
                <w:lang w:val="en-GB"/>
              </w:rPr>
            </w:r>
            <w:r w:rsidRPr="00A51E75">
              <w:rPr>
                <w:rFonts w:asciiTheme="minorHAnsi" w:eastAsia="SimSun" w:hAnsiTheme="minorHAnsi" w:cstheme="minorHAnsi"/>
                <w:b/>
                <w:color w:val="000000"/>
                <w:sz w:val="16"/>
                <w:shd w:val="clear" w:color="auto" w:fill="E6E6E6"/>
                <w:lang w:val="en-GB"/>
              </w:rPr>
              <w:fldChar w:fldCharType="separate"/>
            </w:r>
            <w:r w:rsidRPr="00A51E75">
              <w:rPr>
                <w:rFonts w:asciiTheme="minorHAnsi" w:eastAsia="SimSun" w:hAnsiTheme="minorHAnsi" w:cstheme="minorHAnsi"/>
                <w:b/>
                <w:color w:val="000000"/>
                <w:sz w:val="16"/>
                <w:shd w:val="clear" w:color="auto" w:fill="E6E6E6"/>
                <w:lang w:val="en-GB"/>
              </w:rPr>
              <w:fldChar w:fldCharType="end"/>
            </w:r>
            <w:r w:rsidRPr="00A51E75">
              <w:rPr>
                <w:rFonts w:asciiTheme="minorHAnsi" w:eastAsia="Calibri" w:hAnsiTheme="minorHAnsi" w:cstheme="minorHAnsi"/>
                <w:b/>
                <w:color w:val="000000"/>
                <w:sz w:val="16"/>
                <w:szCs w:val="16"/>
                <w:lang w:val="en-GB"/>
              </w:rPr>
              <w:t xml:space="preserve"> Rio Markers</w:t>
            </w:r>
          </w:p>
        </w:tc>
        <w:tc>
          <w:tcPr>
            <w:tcW w:w="1181" w:type="pct"/>
            <w:tcBorders>
              <w:top w:val="nil"/>
              <w:left w:val="nil"/>
              <w:bottom w:val="single" w:sz="4" w:space="0" w:color="auto"/>
              <w:right w:val="single" w:sz="4" w:space="0" w:color="auto"/>
            </w:tcBorders>
            <w:noWrap/>
            <w:vAlign w:val="bottom"/>
            <w:hideMark/>
          </w:tcPr>
          <w:p w14:paraId="35EAC4D0" w14:textId="77777777" w:rsidR="008B6F84" w:rsidRPr="00A51E75" w:rsidRDefault="00211737" w:rsidP="008B6F84">
            <w:pPr>
              <w:jc w:val="both"/>
              <w:rPr>
                <w:rFonts w:asciiTheme="minorHAnsi" w:hAnsiTheme="minorHAnsi" w:cstheme="minorHAnsi"/>
                <w:color w:val="000000"/>
                <w:sz w:val="16"/>
                <w:szCs w:val="16"/>
                <w:lang w:val="en-GB"/>
              </w:rPr>
            </w:pPr>
            <w:r w:rsidRPr="00A51E75">
              <w:rPr>
                <w:rFonts w:asciiTheme="minorHAnsi" w:hAnsiTheme="minorHAnsi" w:cstheme="minorHAnsi"/>
                <w:color w:val="000000"/>
                <w:sz w:val="16"/>
                <w:szCs w:val="16"/>
                <w:lang w:val="en-GB"/>
              </w:rPr>
              <w:t> </w:t>
            </w:r>
          </w:p>
        </w:tc>
        <w:tc>
          <w:tcPr>
            <w:tcW w:w="1259" w:type="pct"/>
            <w:tcBorders>
              <w:top w:val="nil"/>
              <w:left w:val="nil"/>
              <w:bottom w:val="single" w:sz="4" w:space="0" w:color="auto"/>
              <w:right w:val="single" w:sz="4" w:space="0" w:color="auto"/>
            </w:tcBorders>
            <w:hideMark/>
          </w:tcPr>
          <w:p w14:paraId="0A8D2998"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66A9F2B6"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54E762D0"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4BC6B7D4" w14:textId="77777777" w:rsidR="008B6F84" w:rsidRPr="00A51E75" w:rsidRDefault="008B6F84" w:rsidP="008B6F84">
            <w:pPr>
              <w:jc w:val="both"/>
              <w:rPr>
                <w:rFonts w:asciiTheme="minorHAns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hideMark/>
          </w:tcPr>
          <w:p w14:paraId="218719EF" w14:textId="75EDD181" w:rsidR="008B6F84" w:rsidRPr="00A51E75" w:rsidRDefault="00114D3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hAnsiTheme="minorHAnsi" w:cstheme="minorHAnsi"/>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tcPr>
          <w:p w14:paraId="56FA981A" w14:textId="77777777" w:rsidR="008B6F84" w:rsidRPr="00A51E75" w:rsidRDefault="008B6F84" w:rsidP="008B6F84">
            <w:pPr>
              <w:jc w:val="both"/>
              <w:rPr>
                <w:rFonts w:asciiTheme="minorHAnsi" w:hAnsiTheme="minorHAnsi" w:cstheme="minorHAnsi"/>
                <w:color w:val="000000"/>
                <w:sz w:val="16"/>
                <w:szCs w:val="16"/>
                <w:lang w:val="en-GB"/>
              </w:rPr>
            </w:pPr>
          </w:p>
        </w:tc>
      </w:tr>
      <w:tr w:rsidR="008B6F84" w:rsidRPr="00A51E75" w14:paraId="168F8E4C"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20D1251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12885EDD"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14ABFBA9" w14:textId="6245ACDE" w:rsidR="008B6F84" w:rsidRPr="00A51E75" w:rsidRDefault="003F169C" w:rsidP="008B6F84">
            <w:pPr>
              <w:jc w:val="both"/>
              <w:rPr>
                <w:rFonts w:asciiTheme="minorHAns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Calibri" w:hAnsiTheme="minorHAnsi" w:cstheme="minorHAnsi"/>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tcPr>
          <w:p w14:paraId="24E23ECA"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792FCD66"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1C52B4F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2BF4C916"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68D31FAA" w14:textId="77777777" w:rsidR="008B6F84" w:rsidRPr="00A51E75" w:rsidRDefault="00211737" w:rsidP="008B6F84">
            <w:pPr>
              <w:jc w:val="both"/>
              <w:rPr>
                <w:rFonts w:asciiTheme="minorHAnsi" w:eastAsia="Calibri" w:hAnsiTheme="minorHAnsi" w:cstheme="minorHAnsi"/>
                <w:b/>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0"/>
                  </w:checkBox>
                </w:ffData>
              </w:fldChar>
            </w:r>
            <w:r w:rsidRPr="00A51E75">
              <w:rPr>
                <w:rFonts w:asciiTheme="minorHAnsi" w:eastAsia="Calibri"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Calibri" w:hAnsiTheme="minorHAnsi" w:cstheme="minorHAnsi"/>
                <w:color w:val="000000"/>
                <w:sz w:val="16"/>
                <w:szCs w:val="16"/>
                <w:lang w:val="en-GB"/>
              </w:rPr>
              <w:t>Climate Change Mitigation 0</w:t>
            </w:r>
          </w:p>
        </w:tc>
        <w:tc>
          <w:tcPr>
            <w:tcW w:w="1259" w:type="pct"/>
            <w:tcBorders>
              <w:top w:val="single" w:sz="4" w:space="0" w:color="auto"/>
              <w:left w:val="nil"/>
              <w:bottom w:val="single" w:sz="4" w:space="0" w:color="auto"/>
              <w:right w:val="single" w:sz="4" w:space="0" w:color="auto"/>
            </w:tcBorders>
          </w:tcPr>
          <w:p w14:paraId="0672B253"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78271689"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39E7CB8C"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0C789FB1"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0A92F703" w14:textId="234031E4" w:rsidR="008B6F84" w:rsidRPr="00A51E75" w:rsidRDefault="00B45AB3" w:rsidP="008B6F84">
            <w:pPr>
              <w:jc w:val="both"/>
              <w:rPr>
                <w:rFonts w:asciiTheme="minorHAnsi" w:eastAsia="Calibri" w:hAnsiTheme="minorHAnsi" w:cstheme="minorHAnsi"/>
                <w:b/>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Calibri" w:hAnsiTheme="minorHAnsi" w:cstheme="minorHAnsi"/>
                <w:color w:val="000000"/>
                <w:sz w:val="16"/>
                <w:szCs w:val="16"/>
                <w:lang w:val="en-GB"/>
              </w:rPr>
              <w:t>Climate Change Mitigation 1</w:t>
            </w:r>
          </w:p>
        </w:tc>
        <w:tc>
          <w:tcPr>
            <w:tcW w:w="1259" w:type="pct"/>
            <w:tcBorders>
              <w:top w:val="single" w:sz="4" w:space="0" w:color="auto"/>
              <w:left w:val="nil"/>
              <w:bottom w:val="single" w:sz="4" w:space="0" w:color="auto"/>
              <w:right w:val="single" w:sz="4" w:space="0" w:color="auto"/>
            </w:tcBorders>
          </w:tcPr>
          <w:p w14:paraId="431AD9EC"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46159FDB"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0E9883E1"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0C07F6D4"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2894DD50" w14:textId="77777777" w:rsidR="008B6F84" w:rsidRPr="00A51E75" w:rsidRDefault="00211737" w:rsidP="008B6F84">
            <w:pPr>
              <w:jc w:val="both"/>
              <w:rPr>
                <w:rFonts w:asciiTheme="minorHAnsi" w:eastAsia="Calibr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Calibri"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Calibri" w:hAnsiTheme="minorHAnsi" w:cstheme="minorHAnsi"/>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tcPr>
          <w:p w14:paraId="71FB05AD"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37E91FBF"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46A25E83"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5E10AC24"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40A8D824" w14:textId="77777777" w:rsidR="008B6F84" w:rsidRPr="00A51E75" w:rsidRDefault="00211737" w:rsidP="008B6F84">
            <w:pPr>
              <w:jc w:val="both"/>
              <w:rPr>
                <w:rFonts w:asciiTheme="minorHAnsi" w:eastAsia="Calibr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0"/>
                  </w:checkBox>
                </w:ffData>
              </w:fldChar>
            </w:r>
            <w:r w:rsidRPr="00A51E75">
              <w:rPr>
                <w:rFonts w:asciiTheme="minorHAnsi" w:eastAsia="Calibri"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Calibri" w:hAnsiTheme="minorHAnsi" w:cstheme="minorHAnsi"/>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tcPr>
          <w:p w14:paraId="2878A89C"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2BD777B2"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0573A946"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41318F76"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25598214" w14:textId="748CAF1F" w:rsidR="008B6F84" w:rsidRPr="00A51E75" w:rsidRDefault="00B45AB3" w:rsidP="008B6F84">
            <w:pPr>
              <w:jc w:val="both"/>
              <w:rPr>
                <w:rFonts w:asciiTheme="minorHAnsi" w:eastAsia="Calibr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
                  <w:enabled/>
                  <w:calcOnExit w:val="0"/>
                  <w:checkBox>
                    <w:sizeAuto/>
                    <w:default w:val="1"/>
                  </w:checkBox>
                </w:ffData>
              </w:fldChar>
            </w:r>
            <w:r w:rsidRPr="00A51E75">
              <w:rPr>
                <w:rFonts w:asciiTheme="minorHAnsi" w:eastAsia="SimSun" w:hAnsiTheme="minorHAnsi" w:cstheme="minorHAnsi"/>
                <w:color w:val="000000"/>
                <w:sz w:val="16"/>
                <w:shd w:val="clear" w:color="auto" w:fill="E6E6E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00211737" w:rsidRPr="00A51E75">
              <w:rPr>
                <w:rFonts w:asciiTheme="minorHAnsi" w:eastAsia="Calibri" w:hAnsiTheme="minorHAnsi" w:cstheme="minorHAnsi"/>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tcPr>
          <w:p w14:paraId="75DFF56E"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586A4774" w14:textId="77777777" w:rsidTr="4FBD6713">
        <w:trPr>
          <w:trHeight w:val="62"/>
        </w:trPr>
        <w:tc>
          <w:tcPr>
            <w:tcW w:w="1034" w:type="pct"/>
            <w:tcBorders>
              <w:top w:val="single" w:sz="4" w:space="0" w:color="auto"/>
              <w:left w:val="single" w:sz="4" w:space="0" w:color="auto"/>
              <w:bottom w:val="single" w:sz="4" w:space="0" w:color="auto"/>
              <w:right w:val="single" w:sz="4" w:space="0" w:color="auto"/>
            </w:tcBorders>
            <w:noWrap/>
          </w:tcPr>
          <w:p w14:paraId="0417AF86"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single" w:sz="4" w:space="0" w:color="auto"/>
              <w:left w:val="nil"/>
              <w:bottom w:val="single" w:sz="4" w:space="0" w:color="auto"/>
              <w:right w:val="single" w:sz="4" w:space="0" w:color="auto"/>
            </w:tcBorders>
            <w:noWrap/>
          </w:tcPr>
          <w:p w14:paraId="1BB56293" w14:textId="77777777" w:rsidR="008B6F84" w:rsidRPr="00A51E75" w:rsidRDefault="008B6F84" w:rsidP="008B6F84">
            <w:pPr>
              <w:jc w:val="both"/>
              <w:rPr>
                <w:rFonts w:asciiTheme="minorHAnsi" w:eastAsia="Calibri" w:hAnsiTheme="minorHAnsi" w:cstheme="minorHAnsi"/>
                <w:color w:val="000000"/>
                <w:sz w:val="16"/>
                <w:szCs w:val="16"/>
                <w:lang w:val="en-GB"/>
              </w:rPr>
            </w:pPr>
          </w:p>
        </w:tc>
        <w:tc>
          <w:tcPr>
            <w:tcW w:w="1181" w:type="pct"/>
            <w:tcBorders>
              <w:top w:val="single" w:sz="4" w:space="0" w:color="auto"/>
              <w:left w:val="nil"/>
              <w:bottom w:val="single" w:sz="4" w:space="0" w:color="auto"/>
              <w:right w:val="single" w:sz="4" w:space="0" w:color="auto"/>
            </w:tcBorders>
            <w:noWrap/>
          </w:tcPr>
          <w:p w14:paraId="18937267" w14:textId="77777777" w:rsidR="008B6F84" w:rsidRPr="00A51E75" w:rsidRDefault="00211737" w:rsidP="008B6F84">
            <w:pPr>
              <w:jc w:val="both"/>
              <w:rPr>
                <w:rFonts w:asciiTheme="minorHAnsi" w:eastAsia="Calibri" w:hAnsiTheme="minorHAnsi" w:cstheme="minorHAnsi"/>
                <w:color w:val="000000"/>
                <w:sz w:val="16"/>
                <w:szCs w:val="16"/>
                <w:lang w:val="en-GB"/>
              </w:rPr>
            </w:pPr>
            <w:r w:rsidRPr="00A51E75">
              <w:rPr>
                <w:rFonts w:asciiTheme="minorHAnsi" w:eastAsia="SimSun" w:hAnsiTheme="minorHAnsi" w:cstheme="minorHAnsi"/>
                <w:color w:val="000000"/>
                <w:sz w:val="16"/>
                <w:shd w:val="clear" w:color="auto" w:fill="E6E6E6"/>
                <w:lang w:val="en-GB"/>
              </w:rPr>
              <w:fldChar w:fldCharType="begin">
                <w:ffData>
                  <w:name w:val="IAP_cities"/>
                  <w:enabled/>
                  <w:calcOnExit w:val="0"/>
                  <w:checkBox>
                    <w:sizeAuto/>
                    <w:default w:val="0"/>
                  </w:checkBox>
                </w:ffData>
              </w:fldChar>
            </w:r>
            <w:r w:rsidRPr="00A51E75">
              <w:rPr>
                <w:rFonts w:asciiTheme="minorHAnsi" w:eastAsia="Calibri" w:hAnsiTheme="minorHAnsi" w:cstheme="minorHAnsi"/>
                <w:color w:val="000000"/>
                <w:sz w:val="16"/>
                <w:szCs w:val="16"/>
                <w:lang w:val="en-GB"/>
              </w:rPr>
              <w:instrText xml:space="preserve"> FORMCHECKBOX </w:instrText>
            </w:r>
            <w:r w:rsidRPr="00A51E75">
              <w:rPr>
                <w:rFonts w:asciiTheme="minorHAnsi" w:eastAsia="SimSun" w:hAnsiTheme="minorHAnsi" w:cstheme="minorHAnsi"/>
                <w:color w:val="000000"/>
                <w:sz w:val="16"/>
                <w:shd w:val="clear" w:color="auto" w:fill="E6E6E6"/>
                <w:lang w:val="en-GB"/>
              </w:rPr>
            </w:r>
            <w:r w:rsidRPr="00A51E75">
              <w:rPr>
                <w:rFonts w:asciiTheme="minorHAnsi" w:eastAsia="SimSun" w:hAnsiTheme="minorHAnsi" w:cstheme="minorHAnsi"/>
                <w:color w:val="000000"/>
                <w:sz w:val="16"/>
                <w:shd w:val="clear" w:color="auto" w:fill="E6E6E6"/>
                <w:lang w:val="en-GB"/>
              </w:rPr>
              <w:fldChar w:fldCharType="separate"/>
            </w:r>
            <w:r w:rsidRPr="00A51E75">
              <w:rPr>
                <w:rFonts w:asciiTheme="minorHAnsi" w:eastAsia="SimSun" w:hAnsiTheme="minorHAnsi" w:cstheme="minorHAnsi"/>
                <w:color w:val="000000"/>
                <w:sz w:val="16"/>
                <w:shd w:val="clear" w:color="auto" w:fill="E6E6E6"/>
                <w:lang w:val="en-GB"/>
              </w:rPr>
              <w:fldChar w:fldCharType="end"/>
            </w:r>
            <w:r w:rsidRPr="00A51E75">
              <w:rPr>
                <w:rFonts w:asciiTheme="minorHAnsi" w:eastAsia="Calibri" w:hAnsiTheme="minorHAnsi" w:cstheme="minorHAnsi"/>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tcPr>
          <w:p w14:paraId="6B989A74" w14:textId="77777777" w:rsidR="008B6F84" w:rsidRPr="00A51E75" w:rsidRDefault="008B6F84" w:rsidP="008B6F84">
            <w:pPr>
              <w:jc w:val="both"/>
              <w:rPr>
                <w:rFonts w:asciiTheme="minorHAnsi" w:eastAsia="Calibri" w:hAnsiTheme="minorHAnsi" w:cstheme="minorHAnsi"/>
                <w:color w:val="000000"/>
                <w:sz w:val="16"/>
                <w:szCs w:val="16"/>
                <w:lang w:val="en-GB"/>
              </w:rPr>
            </w:pPr>
          </w:p>
        </w:tc>
      </w:tr>
      <w:tr w:rsidR="008B6F84" w:rsidRPr="00A51E75" w14:paraId="5DA0751A" w14:textId="77777777" w:rsidTr="4FBD6713">
        <w:trPr>
          <w:trHeight w:val="58"/>
        </w:trPr>
        <w:tc>
          <w:tcPr>
            <w:tcW w:w="1034" w:type="pct"/>
            <w:tcBorders>
              <w:top w:val="single" w:sz="4" w:space="0" w:color="auto"/>
              <w:left w:val="single" w:sz="4" w:space="0" w:color="auto"/>
              <w:bottom w:val="single" w:sz="4" w:space="0" w:color="auto"/>
              <w:right w:val="single" w:sz="4" w:space="0" w:color="auto"/>
            </w:tcBorders>
            <w:noWrap/>
            <w:vAlign w:val="bottom"/>
          </w:tcPr>
          <w:p w14:paraId="00441BF7"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526" w:type="pct"/>
            <w:tcBorders>
              <w:top w:val="nil"/>
              <w:left w:val="nil"/>
              <w:bottom w:val="single" w:sz="4" w:space="0" w:color="auto"/>
              <w:right w:val="single" w:sz="4" w:space="0" w:color="auto"/>
            </w:tcBorders>
            <w:noWrap/>
            <w:vAlign w:val="bottom"/>
          </w:tcPr>
          <w:p w14:paraId="4FF178A5" w14:textId="77777777" w:rsidR="008B6F84" w:rsidRPr="00A51E75" w:rsidRDefault="008B6F84" w:rsidP="008B6F84">
            <w:pPr>
              <w:jc w:val="both"/>
              <w:rPr>
                <w:rFonts w:asciiTheme="minorHAnsi" w:hAnsiTheme="minorHAnsi" w:cstheme="minorHAnsi"/>
                <w:b/>
                <w:bCs/>
                <w:color w:val="000000"/>
                <w:sz w:val="16"/>
                <w:szCs w:val="16"/>
                <w:lang w:val="en-GB"/>
              </w:rPr>
            </w:pPr>
          </w:p>
        </w:tc>
        <w:tc>
          <w:tcPr>
            <w:tcW w:w="1181" w:type="pct"/>
            <w:tcBorders>
              <w:top w:val="nil"/>
              <w:left w:val="nil"/>
              <w:bottom w:val="single" w:sz="4" w:space="0" w:color="auto"/>
              <w:right w:val="single" w:sz="4" w:space="0" w:color="auto"/>
            </w:tcBorders>
            <w:noWrap/>
            <w:vAlign w:val="bottom"/>
          </w:tcPr>
          <w:p w14:paraId="7DAE2855" w14:textId="77777777" w:rsidR="008B6F84" w:rsidRPr="00A51E75" w:rsidRDefault="008B6F84" w:rsidP="008B6F84">
            <w:pPr>
              <w:jc w:val="both"/>
              <w:rPr>
                <w:rFonts w:asciiTheme="minorHAnsi" w:hAnsiTheme="minorHAnsi" w:cstheme="minorHAnsi"/>
                <w:color w:val="000000"/>
                <w:sz w:val="16"/>
                <w:szCs w:val="16"/>
                <w:lang w:val="en-GB"/>
              </w:rPr>
            </w:pPr>
          </w:p>
        </w:tc>
        <w:tc>
          <w:tcPr>
            <w:tcW w:w="1259" w:type="pct"/>
            <w:tcBorders>
              <w:top w:val="nil"/>
              <w:left w:val="nil"/>
              <w:bottom w:val="single" w:sz="4" w:space="0" w:color="auto"/>
              <w:right w:val="single" w:sz="4" w:space="0" w:color="auto"/>
            </w:tcBorders>
          </w:tcPr>
          <w:p w14:paraId="1D4E3DAA" w14:textId="77777777" w:rsidR="008B6F84" w:rsidRPr="00A51E75" w:rsidRDefault="008B6F84" w:rsidP="008B6F84">
            <w:pPr>
              <w:ind w:left="192" w:hanging="192"/>
              <w:jc w:val="both"/>
              <w:rPr>
                <w:rFonts w:asciiTheme="minorHAnsi" w:eastAsia="SimSun" w:hAnsiTheme="minorHAnsi" w:cstheme="minorHAnsi"/>
                <w:color w:val="000000"/>
                <w:sz w:val="16"/>
                <w:szCs w:val="16"/>
                <w:lang w:val="en-GB"/>
              </w:rPr>
            </w:pPr>
          </w:p>
        </w:tc>
      </w:tr>
      <w:bookmarkEnd w:id="88"/>
    </w:tbl>
    <w:p w14:paraId="6FB9582F" w14:textId="77777777" w:rsidR="008B6F84" w:rsidRPr="00A51E75" w:rsidRDefault="008B6F84" w:rsidP="008B6F84">
      <w:pPr>
        <w:spacing w:after="60"/>
        <w:jc w:val="both"/>
        <w:rPr>
          <w:rFonts w:asciiTheme="minorHAnsi" w:eastAsia="SimSun" w:hAnsiTheme="minorHAnsi" w:cstheme="minorHAnsi"/>
          <w:color w:val="000000"/>
          <w:sz w:val="20"/>
        </w:rPr>
      </w:pPr>
    </w:p>
    <w:p w14:paraId="3478F8F0" w14:textId="7AFC2259" w:rsidR="008B6F84" w:rsidRPr="00125CE3" w:rsidRDefault="00211737" w:rsidP="00125CE3">
      <w:pPr>
        <w:keepNext/>
        <w:spacing w:after="60"/>
        <w:jc w:val="both"/>
        <w:outlineLvl w:val="1"/>
        <w:rPr>
          <w:rFonts w:ascii="Calibri" w:eastAsia="SimSun" w:hAnsi="Calibri" w:cs="Calibri"/>
          <w:b/>
          <w:bCs/>
          <w:sz w:val="20"/>
          <w:szCs w:val="20"/>
        </w:rPr>
      </w:pPr>
      <w:r w:rsidRPr="008B3D0B">
        <w:rPr>
          <w:rFonts w:asciiTheme="minorHAnsi" w:eastAsia="SimSun" w:hAnsiTheme="minorHAnsi" w:cstheme="minorHAnsi"/>
          <w:b/>
          <w:color w:val="000000"/>
          <w:sz w:val="28"/>
          <w:szCs w:val="20"/>
        </w:rPr>
        <w:br w:type="page"/>
      </w:r>
      <w:bookmarkStart w:id="89" w:name="_Toc221696326"/>
      <w:r w:rsidRPr="00125CE3">
        <w:rPr>
          <w:rFonts w:ascii="Calibri" w:eastAsia="SimSun" w:hAnsi="Calibri" w:cs="Calibri"/>
          <w:b/>
          <w:bCs/>
          <w:sz w:val="20"/>
          <w:szCs w:val="20"/>
        </w:rPr>
        <w:lastRenderedPageBreak/>
        <w:t>Anex</w:t>
      </w:r>
      <w:r w:rsidR="008B3D0B" w:rsidRPr="00125CE3">
        <w:rPr>
          <w:rFonts w:ascii="Calibri" w:eastAsia="SimSun" w:hAnsi="Calibri" w:cs="Calibri"/>
          <w:b/>
          <w:bCs/>
          <w:sz w:val="20"/>
          <w:szCs w:val="20"/>
        </w:rPr>
        <w:t>o</w:t>
      </w:r>
      <w:r w:rsidR="00B77D65" w:rsidRPr="00125CE3">
        <w:rPr>
          <w:rFonts w:ascii="Calibri" w:eastAsia="SimSun" w:hAnsi="Calibri" w:cs="Calibri"/>
          <w:b/>
          <w:bCs/>
          <w:sz w:val="20"/>
          <w:szCs w:val="20"/>
        </w:rPr>
        <w:t xml:space="preserve"> </w:t>
      </w:r>
      <w:r w:rsidRPr="00125CE3">
        <w:rPr>
          <w:rFonts w:ascii="Calibri" w:eastAsia="SimSun" w:hAnsi="Calibri" w:cs="Calibri"/>
          <w:b/>
          <w:bCs/>
          <w:sz w:val="20"/>
          <w:szCs w:val="20"/>
        </w:rPr>
        <w:t xml:space="preserve">19: </w:t>
      </w:r>
      <w:r w:rsidR="00B77D65" w:rsidRPr="00125CE3">
        <w:rPr>
          <w:rFonts w:ascii="Calibri" w:eastAsia="SimSun" w:hAnsi="Calibri" w:cs="Calibri"/>
          <w:b/>
          <w:bCs/>
          <w:sz w:val="20"/>
          <w:szCs w:val="20"/>
        </w:rPr>
        <w:t xml:space="preserve">Resultados </w:t>
      </w:r>
      <w:r w:rsidR="008B3D0B" w:rsidRPr="00125CE3">
        <w:rPr>
          <w:rFonts w:ascii="Calibri" w:eastAsia="SimSun" w:hAnsi="Calibri" w:cs="Calibri"/>
          <w:b/>
          <w:bCs/>
          <w:sz w:val="20"/>
          <w:szCs w:val="20"/>
        </w:rPr>
        <w:t>de la Herramienta de Análisis de las Capacidades del Socio y la Microevaluación HACT</w:t>
      </w:r>
      <w:bookmarkEnd w:id="89"/>
      <w:r w:rsidR="008B3D0B" w:rsidRPr="00125CE3">
        <w:rPr>
          <w:rFonts w:ascii="Calibri" w:eastAsia="SimSun" w:hAnsi="Calibri" w:cs="Calibri"/>
          <w:b/>
          <w:bCs/>
          <w:sz w:val="20"/>
          <w:szCs w:val="20"/>
        </w:rPr>
        <w:t xml:space="preserve"> </w:t>
      </w:r>
    </w:p>
    <w:p w14:paraId="1FF2DE64" w14:textId="77777777" w:rsidR="008B6F84" w:rsidRPr="008B3D0B" w:rsidRDefault="008B6F84" w:rsidP="008B6F84">
      <w:pPr>
        <w:rPr>
          <w:rFonts w:asciiTheme="minorHAnsi" w:eastAsia="SimSun" w:hAnsiTheme="minorHAnsi" w:cstheme="minorHAnsi"/>
          <w:b/>
          <w:sz w:val="20"/>
        </w:rPr>
      </w:pPr>
    </w:p>
    <w:p w14:paraId="7F76DACA" w14:textId="3CDB7C0C" w:rsidR="00E922B6" w:rsidRPr="008B3D0B" w:rsidRDefault="00E922B6" w:rsidP="008B6F84">
      <w:pPr>
        <w:rPr>
          <w:rFonts w:asciiTheme="minorHAnsi" w:hAnsiTheme="minorHAnsi" w:cstheme="minorHAnsi"/>
        </w:rPr>
      </w:pPr>
    </w:p>
    <w:sectPr w:rsidR="00E922B6" w:rsidRPr="008B3D0B" w:rsidSect="008B6F84">
      <w:headerReference w:type="default" r:id="rId53"/>
      <w:footerReference w:type="default" r:id="rId5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950D2" w14:textId="77777777" w:rsidR="00A14436" w:rsidRDefault="00A14436">
      <w:r>
        <w:separator/>
      </w:r>
    </w:p>
  </w:endnote>
  <w:endnote w:type="continuationSeparator" w:id="0">
    <w:p w14:paraId="1C899165" w14:textId="77777777" w:rsidR="00A14436" w:rsidRDefault="00A14436">
      <w:r>
        <w:continuationSeparator/>
      </w:r>
    </w:p>
  </w:endnote>
  <w:endnote w:type="continuationNotice" w:id="1">
    <w:p w14:paraId="3CC49D23" w14:textId="77777777" w:rsidR="00A14436" w:rsidRDefault="00A14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33A" w14:textId="77777777" w:rsidR="00121D02" w:rsidRPr="0086069F" w:rsidRDefault="00121D02" w:rsidP="008B6F84">
    <w:pP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sidR="00BC75DB">
      <w:rPr>
        <w:noProof/>
        <w:sz w:val="18"/>
        <w:szCs w:val="18"/>
      </w:rPr>
      <w:t>63</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121D02" w:rsidRDefault="00121D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0E05" w14:textId="77777777" w:rsidR="00121D02" w:rsidRPr="00CE62FD" w:rsidRDefault="00121D02" w:rsidP="008B6F84">
    <w:pP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sidR="00BC75DB">
      <w:rPr>
        <w:noProof/>
        <w:sz w:val="18"/>
        <w:szCs w:val="18"/>
      </w:rPr>
      <w:t>114</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121D02" w:rsidRDefault="00121D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D973" w14:textId="77777777" w:rsidR="00121D02" w:rsidRDefault="00121D02" w:rsidP="008B6F84"/>
  <w:p w14:paraId="1ECDB352" w14:textId="77777777" w:rsidR="00121D02" w:rsidRDefault="00121D02" w:rsidP="008B6F84">
    <w:pP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sidR="00BC75DB">
      <w:rPr>
        <w:noProof/>
      </w:rPr>
      <w:t>131</w:t>
    </w:r>
    <w:r w:rsidRPr="006A69B2">
      <w:rPr>
        <w:color w:val="2B579A"/>
        <w:shd w:val="clear" w:color="auto" w:fill="E6E6E6"/>
      </w:rPr>
      <w:fldChar w:fldCharType="end"/>
    </w:r>
    <w:r>
      <w:t xml:space="preserve"> | </w:t>
    </w:r>
    <w:r w:rsidRPr="0003763F">
      <w:rPr>
        <w:color w:val="7F7F7F"/>
        <w:spacing w:val="60"/>
      </w:rPr>
      <w:t>Page</w:t>
    </w:r>
  </w:p>
  <w:p w14:paraId="54652083" w14:textId="77777777" w:rsidR="00121D02" w:rsidRDefault="00121D02" w:rsidP="008B6F8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BABD" w14:textId="5004B125" w:rsidR="00D77189" w:rsidRDefault="00D77189" w:rsidP="00D77189">
    <w:pPr>
      <w:pBdr>
        <w:top w:val="single" w:sz="4" w:space="1" w:color="D9D9D9"/>
      </w:pBdr>
      <w:jc w:val="right"/>
      <w:rPr>
        <w:color w:val="000000"/>
      </w:rPr>
    </w:pPr>
  </w:p>
  <w:p w14:paraId="043E2928" w14:textId="77777777" w:rsidR="00C84438" w:rsidRDefault="00C84438" w:rsidP="00C84438"/>
  <w:p w14:paraId="5FBD9834" w14:textId="77777777" w:rsidR="00C84438" w:rsidRDefault="00C84438" w:rsidP="00C84438">
    <w:pP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color w:val="2B579A"/>
        <w:shd w:val="clear" w:color="auto" w:fill="E6E6E6"/>
      </w:rPr>
      <w:t>140</w:t>
    </w:r>
    <w:r w:rsidRPr="006A69B2">
      <w:rPr>
        <w:color w:val="2B579A"/>
        <w:shd w:val="clear" w:color="auto" w:fill="E6E6E6"/>
      </w:rPr>
      <w:fldChar w:fldCharType="end"/>
    </w:r>
    <w:r>
      <w:t xml:space="preserve"> | </w:t>
    </w:r>
    <w:r w:rsidRPr="0003763F">
      <w:rPr>
        <w:color w:val="7F7F7F"/>
        <w:spacing w:val="60"/>
      </w:rPr>
      <w:t>Page</w:t>
    </w:r>
  </w:p>
  <w:p w14:paraId="0784F755" w14:textId="77777777" w:rsidR="00C84438" w:rsidRDefault="00C84438" w:rsidP="00C84438"/>
  <w:p w14:paraId="1E058CA3" w14:textId="6B49AB51" w:rsidR="00FC5ACA" w:rsidRDefault="00FC5ACA" w:rsidP="00C84438">
    <w:pPr>
      <w:pStyle w:val="Piedepgina"/>
      <w:tabs>
        <w:tab w:val="clear" w:pos="4320"/>
        <w:tab w:val="clear" w:pos="8640"/>
        <w:tab w:val="left" w:pos="562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7AF3" w14:textId="77777777" w:rsidR="00FC5ACA" w:rsidRDefault="00FC5ACA">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35B3" w14:textId="77777777" w:rsidR="00C84438" w:rsidRDefault="00C84438" w:rsidP="00C84438"/>
  <w:p w14:paraId="1645C1E3" w14:textId="77777777" w:rsidR="00C84438" w:rsidRDefault="00C84438" w:rsidP="00C84438">
    <w:pP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color w:val="2B579A"/>
        <w:shd w:val="clear" w:color="auto" w:fill="E6E6E6"/>
      </w:rPr>
      <w:t>140</w:t>
    </w:r>
    <w:r w:rsidRPr="006A69B2">
      <w:rPr>
        <w:color w:val="2B579A"/>
        <w:shd w:val="clear" w:color="auto" w:fill="E6E6E6"/>
      </w:rPr>
      <w:fldChar w:fldCharType="end"/>
    </w:r>
    <w:r>
      <w:t xml:space="preserve"> | </w:t>
    </w:r>
    <w:r w:rsidRPr="0003763F">
      <w:rPr>
        <w:color w:val="7F7F7F"/>
        <w:spacing w:val="60"/>
      </w:rPr>
      <w:t>Page</w:t>
    </w:r>
  </w:p>
  <w:p w14:paraId="0D2BDB3D" w14:textId="77777777" w:rsidR="00C84438" w:rsidRDefault="00C84438" w:rsidP="00C84438"/>
  <w:p w14:paraId="0A190167" w14:textId="77777777" w:rsidR="00FC5ACA" w:rsidRDefault="00FC5ACA">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3E35" w14:textId="77777777" w:rsidR="00121D02" w:rsidRDefault="00121D02" w:rsidP="008B6F84"/>
  <w:p w14:paraId="5B5C1FF1" w14:textId="77777777" w:rsidR="00121D02" w:rsidRDefault="00121D02" w:rsidP="008B6F84">
    <w:pPr>
      <w:pBdr>
        <w:top w:val="single" w:sz="4" w:space="1" w:color="D9D9D9"/>
      </w:pBdr>
      <w:jc w:val="right"/>
    </w:pPr>
    <w:r>
      <w:fldChar w:fldCharType="begin"/>
    </w:r>
    <w:r>
      <w:instrText xml:space="preserve"> PAGE   \* MERGEFORMAT </w:instrText>
    </w:r>
    <w:r>
      <w:fldChar w:fldCharType="separate"/>
    </w:r>
    <w:r w:rsidR="00BC75DB">
      <w:rPr>
        <w:noProof/>
      </w:rPr>
      <w:t>168</w:t>
    </w:r>
    <w:r>
      <w:rPr>
        <w:noProof/>
      </w:rPr>
      <w:fldChar w:fldCharType="end"/>
    </w:r>
    <w:r>
      <w:t xml:space="preserve"> | </w:t>
    </w:r>
    <w:r w:rsidRPr="0003763F">
      <w:rPr>
        <w:color w:val="7F7F7F"/>
        <w:spacing w:val="60"/>
      </w:rPr>
      <w:t>Page</w:t>
    </w:r>
  </w:p>
  <w:p w14:paraId="02296556" w14:textId="77777777" w:rsidR="00FC5ACA" w:rsidRDefault="00FC5ACA">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70CD" w14:textId="77777777" w:rsidR="00121D02" w:rsidRDefault="00121D02" w:rsidP="008B6F84"/>
  <w:p w14:paraId="61F74C47" w14:textId="77777777" w:rsidR="00121D02" w:rsidRDefault="00121D02" w:rsidP="008B6F84">
    <w:pPr>
      <w:pBdr>
        <w:top w:val="single" w:sz="4" w:space="1" w:color="D9D9D9"/>
      </w:pBdr>
      <w:jc w:val="right"/>
    </w:pPr>
    <w:r>
      <w:fldChar w:fldCharType="begin"/>
    </w:r>
    <w:r>
      <w:instrText xml:space="preserve"> PAGE   \* MERGEFORMAT </w:instrText>
    </w:r>
    <w:r>
      <w:fldChar w:fldCharType="separate"/>
    </w:r>
    <w:r w:rsidR="00BC75DB">
      <w:rPr>
        <w:noProof/>
      </w:rPr>
      <w:t>168</w:t>
    </w:r>
    <w:r>
      <w:rPr>
        <w:noProof/>
      </w:rPr>
      <w:fldChar w:fldCharType="end"/>
    </w:r>
    <w:r>
      <w:t xml:space="preserve"> | </w:t>
    </w:r>
    <w:r w:rsidRPr="0003763F">
      <w:rPr>
        <w:color w:val="7F7F7F"/>
        <w:spacing w:val="60"/>
      </w:rPr>
      <w:t>Page</w:t>
    </w:r>
  </w:p>
  <w:p w14:paraId="67361788" w14:textId="77777777" w:rsidR="00121D02" w:rsidRDefault="00121D02" w:rsidP="008B6F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23535" w14:textId="77777777" w:rsidR="00A14436" w:rsidRDefault="00A14436">
      <w:r>
        <w:separator/>
      </w:r>
    </w:p>
  </w:footnote>
  <w:footnote w:type="continuationSeparator" w:id="0">
    <w:p w14:paraId="3010D0AE" w14:textId="77777777" w:rsidR="00A14436" w:rsidRDefault="00A14436">
      <w:r>
        <w:continuationSeparator/>
      </w:r>
    </w:p>
  </w:footnote>
  <w:footnote w:type="continuationNotice" w:id="1">
    <w:p w14:paraId="16CDC5C4" w14:textId="77777777" w:rsidR="00A14436" w:rsidRDefault="00A14436"/>
  </w:footnote>
  <w:footnote w:id="2">
    <w:p w14:paraId="24C896AA" w14:textId="469615B0" w:rsidR="00B93334" w:rsidRPr="004F42C4" w:rsidRDefault="00B93334" w:rsidP="00B93334">
      <w:pPr>
        <w:pStyle w:val="Textonotapie"/>
        <w:jc w:val="both"/>
        <w:rPr>
          <w:rFonts w:asciiTheme="minorHAnsi" w:hAnsiTheme="minorHAnsi" w:cstheme="minorHAnsi"/>
          <w:sz w:val="18"/>
          <w:szCs w:val="18"/>
          <w:lang w:val="es-EC"/>
        </w:rPr>
      </w:pPr>
      <w:r>
        <w:rPr>
          <w:rStyle w:val="Refdenotaalpie"/>
        </w:rPr>
        <w:footnoteRef/>
      </w:r>
      <w:r>
        <w:t xml:space="preserve"> </w:t>
      </w:r>
      <w:r w:rsidRPr="00BF04D4">
        <w:rPr>
          <w:rFonts w:asciiTheme="minorHAnsi" w:hAnsiTheme="minorHAnsi" w:cstheme="minorHAnsi"/>
          <w:sz w:val="18"/>
          <w:szCs w:val="18"/>
          <w:lang w:val="es-EC"/>
        </w:rPr>
        <w:t xml:space="preserve">Ecuador implementa diversos mecanismos de conservación territorial. El Sistema Nacional de Áreas Protegidas (SNAP) incluye áreas protegidas bajo propiedad estatal (PANE), así como aquellas declaradas por los Gobiernos Autónomos </w:t>
      </w:r>
      <w:r w:rsidRPr="00943C92">
        <w:rPr>
          <w:rFonts w:asciiTheme="minorHAnsi" w:hAnsiTheme="minorHAnsi" w:cstheme="minorHAnsi"/>
          <w:sz w:val="18"/>
          <w:szCs w:val="18"/>
          <w:lang w:val="es-EC"/>
        </w:rPr>
        <w:t>Descentralizados (Areas Protegidas de los Gobiernos Seccionales - APGS) y áreas privadas o de manejo comunitario, siempre que estén oficial</w:t>
      </w:r>
      <w:r w:rsidRPr="00BF04D4">
        <w:rPr>
          <w:rFonts w:asciiTheme="minorHAnsi" w:hAnsiTheme="minorHAnsi" w:cstheme="minorHAnsi"/>
          <w:sz w:val="18"/>
          <w:szCs w:val="18"/>
          <w:lang w:val="es-EC"/>
        </w:rPr>
        <w:t>mente reconocidas por el Ministerio de</w:t>
      </w:r>
      <w:r>
        <w:rPr>
          <w:rFonts w:asciiTheme="minorHAnsi" w:hAnsiTheme="minorHAnsi" w:cstheme="minorHAnsi"/>
          <w:sz w:val="18"/>
          <w:szCs w:val="18"/>
          <w:lang w:val="es-EC"/>
        </w:rPr>
        <w:t>l</w:t>
      </w:r>
      <w:r w:rsidRPr="00BF04D4">
        <w:rPr>
          <w:rFonts w:asciiTheme="minorHAnsi" w:hAnsiTheme="minorHAnsi" w:cstheme="minorHAnsi"/>
          <w:sz w:val="18"/>
          <w:szCs w:val="18"/>
          <w:lang w:val="es-EC"/>
        </w:rPr>
        <w:t xml:space="preserve"> Ambiente</w:t>
      </w:r>
      <w:r>
        <w:rPr>
          <w:rFonts w:asciiTheme="minorHAnsi" w:hAnsiTheme="minorHAnsi" w:cstheme="minorHAnsi"/>
          <w:sz w:val="18"/>
          <w:szCs w:val="18"/>
          <w:lang w:val="es-EC"/>
        </w:rPr>
        <w:t xml:space="preserve"> y Energía</w:t>
      </w:r>
      <w:r w:rsidRPr="00BF04D4">
        <w:rPr>
          <w:rFonts w:asciiTheme="minorHAnsi" w:hAnsiTheme="minorHAnsi" w:cstheme="minorHAnsi"/>
          <w:sz w:val="18"/>
          <w:szCs w:val="18"/>
          <w:lang w:val="es-EC"/>
        </w:rPr>
        <w:t xml:space="preserve"> (</w:t>
      </w:r>
      <w:r>
        <w:rPr>
          <w:rFonts w:asciiTheme="minorHAnsi" w:hAnsiTheme="minorHAnsi" w:cstheme="minorHAnsi"/>
          <w:sz w:val="18"/>
          <w:szCs w:val="18"/>
          <w:lang w:val="es-EC"/>
        </w:rPr>
        <w:t>MAE</w:t>
      </w:r>
      <w:r w:rsidRPr="004F42C4">
        <w:rPr>
          <w:rFonts w:asciiTheme="minorHAnsi" w:hAnsiTheme="minorHAnsi" w:cstheme="minorHAnsi"/>
          <w:sz w:val="18"/>
          <w:szCs w:val="18"/>
          <w:lang w:val="es-EC"/>
        </w:rPr>
        <w:t>)</w:t>
      </w:r>
      <w:r>
        <w:rPr>
          <w:rFonts w:asciiTheme="minorHAnsi" w:hAnsiTheme="minorHAnsi" w:cstheme="minorHAnsi"/>
          <w:sz w:val="18"/>
          <w:szCs w:val="18"/>
          <w:lang w:val="es-EC"/>
        </w:rPr>
        <w:t>.</w:t>
      </w:r>
    </w:p>
    <w:p w14:paraId="3E48B44D" w14:textId="77777777" w:rsidR="00B93334" w:rsidRPr="00BF04D4" w:rsidRDefault="00B93334" w:rsidP="00B93334">
      <w:pPr>
        <w:pStyle w:val="Textonotapie"/>
        <w:jc w:val="both"/>
        <w:rPr>
          <w:rFonts w:asciiTheme="minorHAnsi" w:hAnsiTheme="minorHAnsi" w:cstheme="minorHAnsi"/>
          <w:sz w:val="18"/>
          <w:szCs w:val="18"/>
          <w:lang w:val="es-EC"/>
        </w:rPr>
      </w:pPr>
      <w:r w:rsidRPr="004F42C4">
        <w:rPr>
          <w:rFonts w:asciiTheme="minorHAnsi" w:hAnsiTheme="minorHAnsi" w:cstheme="minorHAnsi"/>
          <w:sz w:val="18"/>
          <w:szCs w:val="18"/>
          <w:lang w:val="es-EC"/>
        </w:rPr>
        <w:t xml:space="preserve">Las Áreas de Conservación y Uso Sustentable (ACUS) son figuras autónomas establecidas por los gobiernos locales mediante ordenanzas municipales o provinciales, con el fin de articular la conservación con el desarrollo sostenible. Sin embargo, no forman parte del SNAP a menos que sean reconocidas formalmente como </w:t>
      </w:r>
      <w:r>
        <w:rPr>
          <w:rFonts w:asciiTheme="minorHAnsi" w:hAnsiTheme="minorHAnsi" w:cstheme="minorHAnsi"/>
          <w:sz w:val="18"/>
          <w:szCs w:val="18"/>
          <w:lang w:val="es-EC"/>
        </w:rPr>
        <w:t>APGS</w:t>
      </w:r>
      <w:r w:rsidRPr="00BF04D4">
        <w:rPr>
          <w:rFonts w:asciiTheme="minorHAnsi" w:hAnsiTheme="minorHAnsi" w:cstheme="minorHAnsi"/>
          <w:sz w:val="18"/>
          <w:szCs w:val="18"/>
          <w:lang w:val="es-EC"/>
        </w:rPr>
        <w:t>. Las Áreas de Conservación Municipal Sustentable (ACMUS) son una subcategoría de las ACUS, con énfasis en la gestión comunitaria.</w:t>
      </w:r>
    </w:p>
    <w:p w14:paraId="0639BED3" w14:textId="77777777" w:rsidR="00B93334" w:rsidRPr="00BF04D4" w:rsidRDefault="00B93334" w:rsidP="00B93334">
      <w:pPr>
        <w:pStyle w:val="Textonotapie"/>
        <w:jc w:val="both"/>
        <w:rPr>
          <w:rFonts w:asciiTheme="minorHAnsi" w:hAnsiTheme="minorHAnsi" w:cstheme="minorHAnsi"/>
          <w:sz w:val="18"/>
          <w:szCs w:val="18"/>
          <w:lang w:val="es-EC"/>
        </w:rPr>
      </w:pPr>
      <w:r w:rsidRPr="00BF04D4">
        <w:rPr>
          <w:rFonts w:asciiTheme="minorHAnsi" w:hAnsiTheme="minorHAnsi" w:cstheme="minorHAnsi"/>
          <w:sz w:val="18"/>
          <w:szCs w:val="18"/>
          <w:lang w:val="es-EC"/>
        </w:rPr>
        <w:t xml:space="preserve">Los Bosques y Vegetación Protectores (BVP) están bajo la jurisdicción del </w:t>
      </w:r>
      <w:r>
        <w:rPr>
          <w:rFonts w:asciiTheme="minorHAnsi" w:hAnsiTheme="minorHAnsi" w:cstheme="minorHAnsi"/>
          <w:sz w:val="18"/>
          <w:szCs w:val="18"/>
          <w:lang w:val="es-EC"/>
        </w:rPr>
        <w:t>MAE</w:t>
      </w:r>
      <w:r w:rsidRPr="00BF04D4">
        <w:rPr>
          <w:rFonts w:asciiTheme="minorHAnsi" w:hAnsiTheme="minorHAnsi" w:cstheme="minorHAnsi"/>
          <w:sz w:val="18"/>
          <w:szCs w:val="18"/>
          <w:lang w:val="es-EC"/>
        </w:rPr>
        <w:t xml:space="preserve"> y forman parte del Patrimonio Forestal del Estado (PFE). No obstante, no se incluyen en el SNAP a menos que sean reclasificados formalmente como áreas protegidas. Las Áreas de Protección Hídrica (APH) son una figura emergente de conservación creada mediante resoluciones administrativas, enfocada en resguardar fuentes y sistemas hídricos estratégicos. Estas áreas tampoco forman parte del SNAP, aunque su valor ecológico y climático es reconocido a nivel nacional.</w:t>
      </w:r>
    </w:p>
    <w:p w14:paraId="705A57C0" w14:textId="77777777" w:rsidR="00B93334" w:rsidRPr="00BF04D4" w:rsidRDefault="00B93334" w:rsidP="00B93334">
      <w:pPr>
        <w:pStyle w:val="Textonotapie"/>
        <w:jc w:val="both"/>
        <w:rPr>
          <w:lang w:val="es-EC"/>
        </w:rPr>
      </w:pPr>
      <w:r w:rsidRPr="00BF04D4">
        <w:rPr>
          <w:rFonts w:asciiTheme="minorHAnsi" w:hAnsiTheme="minorHAnsi" w:cstheme="minorHAnsi"/>
          <w:sz w:val="18"/>
          <w:szCs w:val="18"/>
          <w:lang w:val="es-EC"/>
        </w:rPr>
        <w:t>Las Zonas de Amortiguamiento y los Corredores Biológicos o Ecológicos son herramientas complementarias de conservación in situ. Si bien no constituyen categorías legales autónomas ni forman parte del SNAP o del PFE, su designación en planes de manejo y ordenamiento territorial contribuye a mantener la conectividad ecológica, reducir la presión sobre las áreas núcleo y apoyar la conservación participativa y la producción sostenible en los paisajes circundantes.</w:t>
      </w:r>
    </w:p>
    <w:p w14:paraId="2C385B8E" w14:textId="54E55C4E" w:rsidR="00B93334" w:rsidRPr="00B93334" w:rsidRDefault="00B93334">
      <w:pPr>
        <w:pStyle w:val="Textonotapie"/>
        <w:rPr>
          <w:lang w:val="es-EC"/>
        </w:rPr>
      </w:pPr>
    </w:p>
  </w:footnote>
  <w:footnote w:id="3">
    <w:p w14:paraId="113B64A0" w14:textId="7E4BC182" w:rsidR="00C43E4C" w:rsidRPr="00C43E4C" w:rsidRDefault="00C43E4C" w:rsidP="00C43E4C">
      <w:pPr>
        <w:pStyle w:val="NormalWeb"/>
        <w:rPr>
          <w:rFonts w:asciiTheme="minorHAnsi" w:hAnsiTheme="minorHAnsi" w:cstheme="minorHAnsi"/>
          <w:color w:val="000000"/>
          <w:sz w:val="18"/>
          <w:szCs w:val="18"/>
          <w:lang w:val="es-EC" w:eastAsia="es-ES_tradnl"/>
        </w:rPr>
      </w:pPr>
      <w:r>
        <w:rPr>
          <w:rStyle w:val="Refdenotaalpie"/>
        </w:rPr>
        <w:footnoteRef/>
      </w:r>
      <w:r>
        <w:t xml:space="preserve"> </w:t>
      </w:r>
      <w:r w:rsidRPr="00C43E4C">
        <w:rPr>
          <w:rFonts w:asciiTheme="minorHAnsi" w:hAnsiTheme="minorHAnsi" w:cstheme="minorHAnsi"/>
          <w:color w:val="000000"/>
          <w:sz w:val="18"/>
          <w:szCs w:val="18"/>
          <w:lang w:val="es-EC" w:eastAsia="es-ES_tradnl"/>
        </w:rPr>
        <w:t>En este contexto, los “clubes” se refieren a grupos comunitarios informales de personas con intereses compartidos en la producción, la nutrición y el Manejo Sostenible de Tierras (MST). No son entidades escolares, sino espacios liderados por la comunidad, diseñados para:</w:t>
      </w:r>
      <w:r>
        <w:rPr>
          <w:rFonts w:asciiTheme="minorHAnsi" w:hAnsiTheme="minorHAnsi" w:cstheme="minorHAnsi"/>
          <w:color w:val="000000"/>
          <w:sz w:val="18"/>
          <w:szCs w:val="18"/>
          <w:lang w:val="es-EC" w:eastAsia="es-ES_tradnl"/>
        </w:rPr>
        <w:t xml:space="preserve"> </w:t>
      </w:r>
      <w:r w:rsidRPr="00C43E4C">
        <w:rPr>
          <w:rFonts w:asciiTheme="minorHAnsi" w:hAnsiTheme="minorHAnsi" w:cstheme="minorHAnsi"/>
          <w:color w:val="000000"/>
          <w:sz w:val="18"/>
          <w:szCs w:val="18"/>
          <w:lang w:val="es-EC" w:eastAsia="es-ES_tradnl"/>
        </w:rPr>
        <w:t>i. recibir formación sobre Manejo Sostenible de Tierras (MST) y Manejo Sostenible de Bosques (MSB);</w:t>
      </w:r>
      <w:r>
        <w:rPr>
          <w:rFonts w:asciiTheme="minorHAnsi" w:hAnsiTheme="minorHAnsi" w:cstheme="minorHAnsi"/>
          <w:color w:val="000000"/>
          <w:sz w:val="18"/>
          <w:szCs w:val="18"/>
          <w:lang w:val="es-EC" w:eastAsia="es-ES_tradnl"/>
        </w:rPr>
        <w:t xml:space="preserve"> </w:t>
      </w:r>
      <w:r w:rsidRPr="00C43E4C">
        <w:rPr>
          <w:rFonts w:asciiTheme="minorHAnsi" w:hAnsiTheme="minorHAnsi" w:cstheme="minorHAnsi"/>
          <w:color w:val="000000"/>
          <w:sz w:val="18"/>
          <w:szCs w:val="18"/>
          <w:lang w:val="es-EC" w:eastAsia="es-ES_tradnl"/>
        </w:rPr>
        <w:t>ii. mantener las prácticas y conocimientos adquiridos más allá de los talleres;</w:t>
      </w:r>
      <w:r>
        <w:rPr>
          <w:rFonts w:asciiTheme="minorHAnsi" w:hAnsiTheme="minorHAnsi" w:cstheme="minorHAnsi"/>
          <w:color w:val="000000"/>
          <w:sz w:val="18"/>
          <w:szCs w:val="18"/>
          <w:lang w:val="es-EC" w:eastAsia="es-ES_tradnl"/>
        </w:rPr>
        <w:t xml:space="preserve"> </w:t>
      </w:r>
      <w:r w:rsidRPr="00C43E4C">
        <w:rPr>
          <w:rFonts w:asciiTheme="minorHAnsi" w:hAnsiTheme="minorHAnsi" w:cstheme="minorHAnsi"/>
          <w:color w:val="000000"/>
          <w:sz w:val="18"/>
          <w:szCs w:val="18"/>
          <w:lang w:val="es-EC" w:eastAsia="es-ES_tradnl"/>
        </w:rPr>
        <w:t>iii. promover el aprendizaje entre pares y el intercambio de experiencias;</w:t>
      </w:r>
      <w:r>
        <w:rPr>
          <w:rFonts w:asciiTheme="minorHAnsi" w:hAnsiTheme="minorHAnsi" w:cstheme="minorHAnsi"/>
          <w:color w:val="000000"/>
          <w:sz w:val="18"/>
          <w:szCs w:val="18"/>
          <w:lang w:val="es-EC" w:eastAsia="es-ES_tradnl"/>
        </w:rPr>
        <w:t xml:space="preserve"> </w:t>
      </w:r>
      <w:r w:rsidRPr="00C43E4C">
        <w:rPr>
          <w:rFonts w:asciiTheme="minorHAnsi" w:hAnsiTheme="minorHAnsi" w:cstheme="minorHAnsi"/>
          <w:color w:val="000000"/>
          <w:sz w:val="18"/>
          <w:szCs w:val="18"/>
          <w:lang w:val="es-EC" w:eastAsia="es-ES_tradnl"/>
        </w:rPr>
        <w:t>iv. integrar conocimientos de agroecología y nutrición orientados al bienestar familiar;</w:t>
      </w:r>
      <w:r>
        <w:rPr>
          <w:rFonts w:asciiTheme="minorHAnsi" w:hAnsiTheme="minorHAnsi" w:cstheme="minorHAnsi"/>
          <w:color w:val="000000"/>
          <w:sz w:val="18"/>
          <w:szCs w:val="18"/>
          <w:lang w:val="es-EC" w:eastAsia="es-ES_tradnl"/>
        </w:rPr>
        <w:t xml:space="preserve"> </w:t>
      </w:r>
      <w:r w:rsidRPr="00C43E4C">
        <w:rPr>
          <w:rFonts w:asciiTheme="minorHAnsi" w:hAnsiTheme="minorHAnsi" w:cstheme="minorHAnsi"/>
          <w:color w:val="000000"/>
          <w:sz w:val="18"/>
          <w:szCs w:val="18"/>
          <w:lang w:val="es-EC" w:eastAsia="es-ES_tradnl"/>
        </w:rPr>
        <w:t>v. fomentar la participación de jóvenes y mujeres mediante normas inclusivas y actividades atractivas; y</w:t>
      </w:r>
      <w:r>
        <w:rPr>
          <w:rFonts w:asciiTheme="minorHAnsi" w:hAnsiTheme="minorHAnsi" w:cstheme="minorHAnsi"/>
          <w:color w:val="000000"/>
          <w:sz w:val="18"/>
          <w:szCs w:val="18"/>
          <w:lang w:val="es-EC" w:eastAsia="es-ES_tradnl"/>
        </w:rPr>
        <w:t xml:space="preserve"> </w:t>
      </w:r>
      <w:r w:rsidRPr="00C43E4C">
        <w:rPr>
          <w:rFonts w:asciiTheme="minorHAnsi" w:hAnsiTheme="minorHAnsi" w:cstheme="minorHAnsi"/>
          <w:color w:val="000000"/>
          <w:sz w:val="18"/>
          <w:szCs w:val="18"/>
          <w:lang w:val="es-EC" w:eastAsia="es-ES_tradnl"/>
        </w:rPr>
        <w:t>vi. movilizar apoyo adicional, potencialmente, a través de alianzas con Centros de Innovación Agroecológica y otros actores clave.</w:t>
      </w:r>
    </w:p>
    <w:p w14:paraId="482D25C0" w14:textId="2E8FFC95" w:rsidR="00C43E4C" w:rsidRPr="00C43E4C" w:rsidRDefault="00C43E4C">
      <w:pPr>
        <w:pStyle w:val="Textonotapie"/>
        <w:rPr>
          <w:lang w:val="es-EC"/>
        </w:rPr>
      </w:pPr>
    </w:p>
  </w:footnote>
  <w:footnote w:id="4">
    <w:p w14:paraId="4C99B9EA" w14:textId="3B542CFC" w:rsidR="00041873" w:rsidRPr="00041873" w:rsidRDefault="00041873">
      <w:pPr>
        <w:pStyle w:val="Textonotapie"/>
        <w:rPr>
          <w:lang w:val="es-EC"/>
        </w:rPr>
      </w:pPr>
      <w:r>
        <w:rPr>
          <w:rStyle w:val="Refdenotaalpie"/>
        </w:rPr>
        <w:footnoteRef/>
      </w:r>
      <w:r>
        <w:t xml:space="preserve"> </w:t>
      </w:r>
      <w:r w:rsidRPr="00041873">
        <w:rPr>
          <w:rFonts w:ascii="Calibri" w:hAnsi="Calibri" w:cs="Calibri"/>
          <w:color w:val="000000"/>
          <w:sz w:val="18"/>
          <w:szCs w:val="18"/>
        </w:rPr>
        <w:t xml:space="preserve">La inclusión explícita de la conservación de la biodiversidad en el título del Componente 3 responde a la necesidad de reflejar de manera más clara la alineación estratégica del proyecto con las tres áreas focales prioritarias del </w:t>
      </w:r>
      <w:r>
        <w:rPr>
          <w:rFonts w:ascii="Calibri" w:hAnsi="Calibri" w:cs="Calibri"/>
          <w:color w:val="000000"/>
          <w:sz w:val="18"/>
          <w:szCs w:val="18"/>
        </w:rPr>
        <w:t>FMAM</w:t>
      </w:r>
      <w:r w:rsidRPr="00041873">
        <w:rPr>
          <w:rFonts w:ascii="Calibri" w:hAnsi="Calibri" w:cs="Calibri"/>
          <w:color w:val="000000"/>
          <w:sz w:val="18"/>
          <w:szCs w:val="18"/>
        </w:rPr>
        <w:t>-8: biodiversidad, cambio climático y degradación de tierras. Aunque el componente ya incluye acciones que contribuyen a la conservación y uso sostenible de la biodiversidad, esta modificación busca fortalecer su visibilidad y garantizar la coherencia con el enfoque de gestión integrada del paisaje del proyecto.</w:t>
      </w:r>
    </w:p>
  </w:footnote>
  <w:footnote w:id="5">
    <w:p w14:paraId="08A39620" w14:textId="32EA9C3B" w:rsidR="00DE7F57" w:rsidRPr="00DE7F57" w:rsidRDefault="00DE7F57">
      <w:pPr>
        <w:pStyle w:val="Textonotapie"/>
        <w:rPr>
          <w:rFonts w:asciiTheme="minorHAnsi" w:hAnsiTheme="minorHAnsi" w:cstheme="minorHAnsi"/>
          <w:sz w:val="18"/>
          <w:szCs w:val="18"/>
          <w:lang w:val="es-EC"/>
        </w:rPr>
      </w:pPr>
      <w:r>
        <w:rPr>
          <w:rStyle w:val="Refdenotaalpie"/>
        </w:rPr>
        <w:footnoteRef/>
      </w:r>
      <w:r>
        <w:t xml:space="preserve"> </w:t>
      </w:r>
      <w:r w:rsidRPr="00DE7F57">
        <w:rPr>
          <w:rFonts w:asciiTheme="minorHAnsi" w:hAnsiTheme="minorHAnsi" w:cstheme="minorHAnsi"/>
          <w:color w:val="000000"/>
          <w:sz w:val="18"/>
          <w:szCs w:val="18"/>
        </w:rPr>
        <w:t xml:space="preserve">La sostenibilidad financiera del proyecto se desarrollará </w:t>
      </w:r>
      <w:proofErr w:type="gramStart"/>
      <w:r w:rsidRPr="00DE7F57">
        <w:rPr>
          <w:rFonts w:asciiTheme="minorHAnsi" w:hAnsiTheme="minorHAnsi" w:cstheme="minorHAnsi"/>
          <w:color w:val="000000"/>
          <w:sz w:val="18"/>
          <w:szCs w:val="18"/>
        </w:rPr>
        <w:t>conjuntamente con</w:t>
      </w:r>
      <w:proofErr w:type="gramEnd"/>
      <w:r w:rsidRPr="00DE7F57">
        <w:rPr>
          <w:rFonts w:asciiTheme="minorHAnsi" w:hAnsiTheme="minorHAnsi" w:cstheme="minorHAnsi"/>
          <w:color w:val="000000"/>
          <w:sz w:val="18"/>
          <w:szCs w:val="18"/>
        </w:rPr>
        <w:t xml:space="preserve"> actores institucionales y territoriales, tomando en cuenta posibles sinergias con mecanismos existentes, sin que ello implique una definición fija o exclusiva.</w:t>
      </w:r>
      <w:r>
        <w:rPr>
          <w:rFonts w:asciiTheme="minorHAnsi" w:hAnsiTheme="minorHAnsi" w:cstheme="minorHAnsi"/>
          <w:color w:val="000000"/>
          <w:sz w:val="18"/>
          <w:szCs w:val="18"/>
        </w:rPr>
        <w:t xml:space="preserve"> </w:t>
      </w:r>
    </w:p>
  </w:footnote>
  <w:footnote w:id="6">
    <w:p w14:paraId="3BAAEE9B" w14:textId="1DFFED0E" w:rsidR="00DE7F57" w:rsidRPr="00DE7F57" w:rsidRDefault="00DE7F57">
      <w:pPr>
        <w:pStyle w:val="Textonotapie"/>
        <w:rPr>
          <w:lang w:val="es-EC"/>
        </w:rPr>
      </w:pPr>
      <w:r>
        <w:rPr>
          <w:rStyle w:val="Refdenotaalpie"/>
        </w:rPr>
        <w:footnoteRef/>
      </w:r>
      <w:r>
        <w:t xml:space="preserve"> </w:t>
      </w:r>
      <w:r w:rsidRPr="00DE7F57">
        <w:rPr>
          <w:rFonts w:asciiTheme="minorHAnsi" w:hAnsiTheme="minorHAnsi" w:cstheme="minorHAnsi"/>
          <w:color w:val="000000"/>
          <w:sz w:val="18"/>
          <w:szCs w:val="18"/>
        </w:rPr>
        <w:t>El modelo FONAFIFO de Costa Rica es un esquema nacional de PSA que compensa a los propietarios de tierras por la conservación de bosques y la protección de los recursos hídricos, financiado a través de impuestos y contribuciones de los usuarios del agua.</w:t>
      </w:r>
    </w:p>
  </w:footnote>
  <w:footnote w:id="7">
    <w:p w14:paraId="0D8899F4" w14:textId="17FFBB2B" w:rsidR="00DE7F57" w:rsidRPr="00DE7F57" w:rsidRDefault="00DE7F57">
      <w:pPr>
        <w:pStyle w:val="Textonotapie"/>
        <w:rPr>
          <w:lang w:val="es-EC"/>
        </w:rPr>
      </w:pPr>
      <w:r>
        <w:rPr>
          <w:rStyle w:val="Refdenotaalpie"/>
        </w:rPr>
        <w:footnoteRef/>
      </w:r>
      <w:r>
        <w:t xml:space="preserve"> </w:t>
      </w:r>
      <w:r w:rsidRPr="00DE7F57">
        <w:rPr>
          <w:rFonts w:asciiTheme="minorHAnsi" w:hAnsiTheme="minorHAnsi" w:cstheme="minorHAnsi"/>
          <w:sz w:val="18"/>
          <w:szCs w:val="18"/>
          <w:lang w:val="es-EC"/>
        </w:rPr>
        <w:t>Sistemas agroforestales ancestrales que tienen gran importancia para la conservación de la biodiversidad y la transmisión del conocimiento tradicional.</w:t>
      </w:r>
    </w:p>
  </w:footnote>
  <w:footnote w:id="8">
    <w:p w14:paraId="28A97157" w14:textId="619C0CCA" w:rsidR="00D34005" w:rsidRPr="00D34005" w:rsidRDefault="00D34005" w:rsidP="00D34005">
      <w:pPr>
        <w:pStyle w:val="NormalWeb"/>
        <w:rPr>
          <w:rFonts w:ascii="Calibri" w:hAnsi="Calibri" w:cs="Calibri"/>
          <w:color w:val="000000"/>
          <w:sz w:val="18"/>
          <w:szCs w:val="18"/>
          <w:lang w:val="es-EC" w:eastAsia="es-ES_tradnl"/>
        </w:rPr>
      </w:pPr>
      <w:r>
        <w:rPr>
          <w:rStyle w:val="Refdenotaalpie"/>
        </w:rPr>
        <w:footnoteRef/>
      </w:r>
      <w:r>
        <w:t xml:space="preserve"> </w:t>
      </w:r>
      <w:r w:rsidRPr="00D34005">
        <w:rPr>
          <w:rFonts w:ascii="Calibri" w:hAnsi="Calibri" w:cs="Calibri"/>
          <w:b/>
          <w:bCs/>
          <w:sz w:val="18"/>
          <w:szCs w:val="18"/>
        </w:rPr>
        <w:t>Nota sobre el ajuste en la secuencia de productos del Componente 4:</w:t>
      </w:r>
      <w:r>
        <w:t xml:space="preserve"> </w:t>
      </w:r>
      <w:r w:rsidRPr="00D34005">
        <w:rPr>
          <w:rFonts w:ascii="Calibri" w:hAnsi="Calibri" w:cs="Calibri"/>
          <w:color w:val="000000"/>
          <w:sz w:val="18"/>
          <w:szCs w:val="18"/>
          <w:lang w:val="es-EC" w:eastAsia="es-ES_tradnl"/>
        </w:rPr>
        <w:t>Para mejorar la lógica y efectividad del Componente 4 sobre gestión del conocimiento, se realizó un ajuste menor en la secuencia de los productos en comparación con el Documento de Concepto del Proyecto (PIF, por sus siglas en inglés) aprobado. La plataforma de capacitación y aprendizaje virtual —originalmente listada como Producto 4.1.2— ha sido trasladada al Producto 4.1.1. Por su parte, el Sistema de Alerta Temprana (SAT), que inicialmente figuraba como Producto 4.1.1, pasa ahora a ser el Producto 4.1.2.</w:t>
      </w:r>
      <w:r>
        <w:rPr>
          <w:rFonts w:ascii="Calibri" w:hAnsi="Calibri" w:cs="Calibri"/>
          <w:color w:val="000000"/>
          <w:sz w:val="18"/>
          <w:szCs w:val="18"/>
          <w:lang w:val="es-EC" w:eastAsia="es-ES_tradnl"/>
        </w:rPr>
        <w:t xml:space="preserve">  </w:t>
      </w:r>
      <w:r w:rsidRPr="00D34005">
        <w:rPr>
          <w:rFonts w:ascii="Calibri" w:hAnsi="Calibri" w:cs="Calibri"/>
          <w:color w:val="000000"/>
          <w:sz w:val="18"/>
          <w:szCs w:val="18"/>
          <w:lang w:val="es-EC" w:eastAsia="es-ES_tradnl"/>
        </w:rPr>
        <w:t>Este reordenamiento refleja el rol de la plataforma de formación como mecanismo central para la difusión y aplicación de los datos generados por el SAT y otras herramientas del proyecto. El cambio no afecta el contenido sustantivo de los productos y es coherente con la estrategia del proyecto de gestión del conocimiento y empoderamiento de actores.</w:t>
      </w:r>
    </w:p>
    <w:p w14:paraId="195AEACB" w14:textId="076DE37C" w:rsidR="00D34005" w:rsidRPr="00D34005" w:rsidRDefault="00D34005">
      <w:pPr>
        <w:pStyle w:val="Textonotapie"/>
        <w:rPr>
          <w:lang w:val="es-EC"/>
        </w:rPr>
      </w:pPr>
    </w:p>
  </w:footnote>
  <w:footnote w:id="9">
    <w:p w14:paraId="71422E48" w14:textId="634B38FE" w:rsidR="001409D9" w:rsidRPr="007E49E0" w:rsidRDefault="001409D9">
      <w:pPr>
        <w:pStyle w:val="Textonotapie"/>
        <w:rPr>
          <w:lang w:val="es-EC"/>
        </w:rPr>
      </w:pPr>
      <w:r>
        <w:rPr>
          <w:rStyle w:val="Refdenotaalpie"/>
        </w:rPr>
        <w:footnoteRef/>
      </w:r>
      <w:r w:rsidRPr="007E49E0">
        <w:rPr>
          <w:lang w:val="es-EC"/>
        </w:rPr>
        <w:t xml:space="preserve"> </w:t>
      </w:r>
      <w:hyperlink r:id="rId1" w:history="1">
        <w:r w:rsidRPr="007E49E0">
          <w:rPr>
            <w:rFonts w:cs="Calibri"/>
            <w:color w:val="000000"/>
            <w:lang w:val="es-EC"/>
          </w:rPr>
          <w:t>https://panorama.solutions/en</w:t>
        </w:r>
      </w:hyperlink>
      <w:r w:rsidRPr="007E49E0">
        <w:rPr>
          <w:rFonts w:cs="Calibri"/>
          <w:color w:val="000000"/>
          <w:lang w:val="es-EC"/>
        </w:rPr>
        <w:t xml:space="preserve"> </w:t>
      </w:r>
    </w:p>
  </w:footnote>
  <w:footnote w:id="10">
    <w:p w14:paraId="71C7F181" w14:textId="178179E6" w:rsidR="00AF6ED3" w:rsidRPr="00AF6ED3" w:rsidRDefault="001409D9">
      <w:pPr>
        <w:pStyle w:val="Textonotapie"/>
      </w:pPr>
      <w:r>
        <w:rPr>
          <w:rStyle w:val="Refdenotaalpie"/>
        </w:rPr>
        <w:footnoteRef/>
      </w:r>
      <w:r w:rsidRPr="007E49E0">
        <w:rPr>
          <w:lang w:val="es-EC"/>
        </w:rPr>
        <w:t xml:space="preserve"> </w:t>
      </w:r>
      <w:r w:rsidR="00AF6ED3" w:rsidRPr="00AF6ED3">
        <w:rPr>
          <w:rFonts w:ascii="Calibri" w:hAnsi="Calibri"/>
          <w:i/>
        </w:rPr>
        <w:t>Por favor, consulte la guía titulada “Incorporación de lo Digital en el Diseño de Proyectos”.</w:t>
      </w:r>
    </w:p>
  </w:footnote>
  <w:footnote w:id="11">
    <w:p w14:paraId="7C8AE753" w14:textId="3237DA31" w:rsidR="00414574" w:rsidRPr="00414574" w:rsidRDefault="004C7896" w:rsidP="004C7896">
      <w:pPr>
        <w:rPr>
          <w:rFonts w:asciiTheme="minorHAnsi" w:hAnsiTheme="minorHAnsi" w:cstheme="minorBidi"/>
          <w:sz w:val="20"/>
          <w:szCs w:val="20"/>
        </w:rPr>
      </w:pPr>
      <w:r w:rsidRPr="00BA1E5D">
        <w:rPr>
          <w:rStyle w:val="Refdenotaalpie"/>
        </w:rPr>
        <w:footnoteRef/>
      </w:r>
      <w:r w:rsidRPr="00414574">
        <w:rPr>
          <w:lang w:val="es-EC"/>
        </w:rPr>
        <w:t xml:space="preserve"> </w:t>
      </w:r>
      <w:r w:rsidR="00414574" w:rsidRPr="00414574">
        <w:rPr>
          <w:rFonts w:asciiTheme="minorHAnsi" w:hAnsiTheme="minorHAnsi" w:cstheme="minorBidi"/>
          <w:sz w:val="20"/>
          <w:szCs w:val="20"/>
        </w:rPr>
        <w:t>Las 25.000–40.000 hectáreas de nuevas áreas protegidas se refieren a unidades forestales priorizadas por el MAE (Ministerio de Ambiente y Energía) para su futura declaración como B</w:t>
      </w:r>
      <w:r w:rsidR="00522AE2">
        <w:rPr>
          <w:rFonts w:asciiTheme="minorHAnsi" w:hAnsiTheme="minorHAnsi" w:cstheme="minorBidi"/>
          <w:sz w:val="20"/>
          <w:szCs w:val="20"/>
        </w:rPr>
        <w:t>V</w:t>
      </w:r>
      <w:r w:rsidR="00414574" w:rsidRPr="00414574">
        <w:rPr>
          <w:rFonts w:asciiTheme="minorHAnsi" w:hAnsiTheme="minorHAnsi" w:cstheme="minorBidi"/>
          <w:sz w:val="20"/>
          <w:szCs w:val="20"/>
        </w:rPr>
        <w:t xml:space="preserve">P. Estas unidades están siendo actualmente definidas en coordinación con la Dirección Nacional de Bosques e incluyen unidades prioritarias dentro de la cuenca del río Napo (por ejemplo, Unidades </w:t>
      </w:r>
      <w:r w:rsidR="00B20369">
        <w:rPr>
          <w:rFonts w:asciiTheme="minorHAnsi" w:hAnsiTheme="minorHAnsi" w:cstheme="minorBidi"/>
          <w:sz w:val="20"/>
          <w:szCs w:val="20"/>
        </w:rPr>
        <w:t>del Patrimonio Forestal del Estado (</w:t>
      </w:r>
      <w:r w:rsidR="00414574" w:rsidRPr="00414574">
        <w:rPr>
          <w:rFonts w:asciiTheme="minorHAnsi" w:hAnsiTheme="minorHAnsi" w:cstheme="minorBidi"/>
          <w:sz w:val="20"/>
          <w:szCs w:val="20"/>
        </w:rPr>
        <w:t>PFE</w:t>
      </w:r>
      <w:r w:rsidR="00B20369">
        <w:rPr>
          <w:rFonts w:asciiTheme="minorHAnsi" w:hAnsiTheme="minorHAnsi" w:cstheme="minorBidi"/>
          <w:sz w:val="20"/>
          <w:szCs w:val="20"/>
        </w:rPr>
        <w:t>)</w:t>
      </w:r>
      <w:r w:rsidR="00414574" w:rsidRPr="00414574">
        <w:rPr>
          <w:rFonts w:asciiTheme="minorHAnsi" w:hAnsiTheme="minorHAnsi" w:cstheme="minorBidi"/>
          <w:sz w:val="20"/>
          <w:szCs w:val="20"/>
        </w:rPr>
        <w:t xml:space="preserve"> 1 y 2).</w:t>
      </w:r>
    </w:p>
    <w:p w14:paraId="785505DE" w14:textId="16A4C43F" w:rsidR="004C7896" w:rsidRPr="00414574" w:rsidRDefault="004C7896">
      <w:pPr>
        <w:pStyle w:val="Textonotapie"/>
        <w:rPr>
          <w:lang w:val="es-EC"/>
        </w:rPr>
      </w:pPr>
    </w:p>
  </w:footnote>
  <w:footnote w:id="12">
    <w:p w14:paraId="062310BE" w14:textId="53FC4063" w:rsidR="00B20369" w:rsidRPr="004C7896" w:rsidRDefault="004C7896" w:rsidP="00B20369">
      <w:pPr>
        <w:rPr>
          <w:rFonts w:ascii="Calibri" w:hAnsi="Calibri" w:cs="Calibri"/>
          <w:color w:val="000000"/>
          <w:sz w:val="18"/>
          <w:szCs w:val="18"/>
        </w:rPr>
      </w:pPr>
      <w:r w:rsidRPr="00BA1E5D">
        <w:rPr>
          <w:rStyle w:val="Refdenotaalpie"/>
        </w:rPr>
        <w:footnoteRef/>
      </w:r>
      <w:r w:rsidRPr="00B20369">
        <w:rPr>
          <w:lang w:val="es-EC"/>
        </w:rPr>
        <w:t xml:space="preserve"> </w:t>
      </w:r>
      <w:r w:rsidR="00B20369" w:rsidRPr="00B20369">
        <w:rPr>
          <w:rFonts w:ascii="Calibri" w:hAnsi="Calibri" w:cs="Calibri"/>
          <w:color w:val="000000"/>
          <w:sz w:val="18"/>
          <w:szCs w:val="18"/>
        </w:rPr>
        <w:t>La meta de 85.000 hectáreas con mejora en la efectividad de manejo incluye áreas en las que el proyecto apoyará la implementación de planes de manejo actualizados, desarrollados con contribuciones de las contrapartes. Estas áreas incluyen:</w:t>
      </w:r>
      <w:r w:rsidR="00B20369">
        <w:rPr>
          <w:rFonts w:ascii="Calibri" w:hAnsi="Calibri" w:cs="Calibri"/>
          <w:color w:val="000000"/>
          <w:sz w:val="18"/>
          <w:szCs w:val="18"/>
        </w:rPr>
        <w:t xml:space="preserve"> </w:t>
      </w:r>
      <w:r w:rsidR="00B20369" w:rsidRPr="00B20369">
        <w:rPr>
          <w:rFonts w:ascii="Calibri" w:hAnsi="Calibri" w:cs="Calibri"/>
          <w:color w:val="000000"/>
          <w:sz w:val="18"/>
          <w:szCs w:val="18"/>
        </w:rPr>
        <w:t>Bermejo (Z1): 9.755 ha</w:t>
      </w:r>
      <w:r w:rsidR="00B20369">
        <w:rPr>
          <w:rFonts w:ascii="Calibri" w:hAnsi="Calibri" w:cs="Calibri"/>
          <w:color w:val="000000"/>
          <w:sz w:val="18"/>
          <w:szCs w:val="18"/>
        </w:rPr>
        <w:t xml:space="preserve">; </w:t>
      </w:r>
      <w:r w:rsidR="00B20369" w:rsidRPr="00B20369">
        <w:rPr>
          <w:rFonts w:ascii="Calibri" w:hAnsi="Calibri" w:cs="Calibri"/>
          <w:color w:val="000000"/>
          <w:sz w:val="18"/>
          <w:szCs w:val="18"/>
        </w:rPr>
        <w:t>Cerro Sumaco y Cuenca alta del río Suno (Z3): 98.830 ha</w:t>
      </w:r>
      <w:r w:rsidR="00B20369">
        <w:rPr>
          <w:rFonts w:ascii="Calibri" w:hAnsi="Calibri" w:cs="Calibri"/>
          <w:color w:val="000000"/>
          <w:sz w:val="18"/>
          <w:szCs w:val="18"/>
        </w:rPr>
        <w:t xml:space="preserve">; </w:t>
      </w:r>
      <w:r w:rsidR="00B20369" w:rsidRPr="00B20369">
        <w:rPr>
          <w:rFonts w:ascii="Calibri" w:hAnsi="Calibri" w:cs="Calibri"/>
          <w:color w:val="000000"/>
          <w:sz w:val="18"/>
          <w:szCs w:val="18"/>
        </w:rPr>
        <w:t>Estación Científica Payamino (Z3): 952 ha</w:t>
      </w:r>
      <w:r w:rsidR="00B20369">
        <w:rPr>
          <w:rFonts w:ascii="Calibri" w:hAnsi="Calibri" w:cs="Calibri"/>
          <w:color w:val="000000"/>
          <w:sz w:val="18"/>
          <w:szCs w:val="18"/>
        </w:rPr>
        <w:t xml:space="preserve">; </w:t>
      </w:r>
      <w:r w:rsidR="00B20369" w:rsidRPr="00B20369">
        <w:rPr>
          <w:rFonts w:ascii="Calibri" w:hAnsi="Calibri" w:cs="Calibri"/>
          <w:color w:val="000000"/>
          <w:sz w:val="18"/>
          <w:szCs w:val="18"/>
        </w:rPr>
        <w:t>Parte media y alta del Río Tigre (Z3): 5.368 ha</w:t>
      </w:r>
      <w:r w:rsidR="00B20369">
        <w:rPr>
          <w:rFonts w:ascii="Calibri" w:hAnsi="Calibri" w:cs="Calibri"/>
          <w:color w:val="000000"/>
          <w:sz w:val="18"/>
          <w:szCs w:val="18"/>
        </w:rPr>
        <w:t>; BVP</w:t>
      </w:r>
      <w:r w:rsidR="00B20369" w:rsidRPr="00B20369">
        <w:rPr>
          <w:rFonts w:ascii="Calibri" w:hAnsi="Calibri" w:cs="Calibri"/>
          <w:color w:val="000000"/>
          <w:sz w:val="18"/>
          <w:szCs w:val="18"/>
        </w:rPr>
        <w:t xml:space="preserve"> Habitagua (Z4): 4.422 ha</w:t>
      </w:r>
      <w:r w:rsidR="00B20369">
        <w:rPr>
          <w:rFonts w:ascii="Calibri" w:hAnsi="Calibri" w:cs="Calibri"/>
          <w:color w:val="000000"/>
          <w:sz w:val="18"/>
          <w:szCs w:val="18"/>
        </w:rPr>
        <w:t>; BVP</w:t>
      </w:r>
      <w:r w:rsidR="00B20369" w:rsidRPr="00B20369">
        <w:rPr>
          <w:rFonts w:ascii="Calibri" w:hAnsi="Calibri" w:cs="Calibri"/>
          <w:color w:val="000000"/>
          <w:sz w:val="18"/>
          <w:szCs w:val="18"/>
        </w:rPr>
        <w:t xml:space="preserve"> Pañacocha (Z5): 11.918 ha</w:t>
      </w:r>
      <w:r w:rsidR="00B20369">
        <w:rPr>
          <w:rFonts w:ascii="Calibri" w:hAnsi="Calibri" w:cs="Calibri"/>
          <w:color w:val="000000"/>
          <w:sz w:val="18"/>
          <w:szCs w:val="18"/>
        </w:rPr>
        <w:t>; BVP</w:t>
      </w:r>
      <w:r w:rsidR="00B20369" w:rsidRPr="00B20369">
        <w:rPr>
          <w:rFonts w:ascii="Calibri" w:hAnsi="Calibri" w:cs="Calibri"/>
          <w:color w:val="000000"/>
          <w:sz w:val="18"/>
          <w:szCs w:val="18"/>
        </w:rPr>
        <w:t xml:space="preserve"> Bajo Napo: 11.105 ha</w:t>
      </w:r>
      <w:r w:rsidR="00B20369">
        <w:rPr>
          <w:rFonts w:ascii="Calibri" w:hAnsi="Calibri" w:cs="Calibri"/>
          <w:color w:val="000000"/>
          <w:sz w:val="18"/>
          <w:szCs w:val="18"/>
        </w:rPr>
        <w:t>; APH</w:t>
      </w:r>
      <w:r w:rsidR="00B20369" w:rsidRPr="00B20369">
        <w:rPr>
          <w:rFonts w:ascii="Calibri" w:hAnsi="Calibri" w:cs="Calibri"/>
          <w:color w:val="000000"/>
          <w:sz w:val="18"/>
          <w:szCs w:val="18"/>
        </w:rPr>
        <w:t xml:space="preserve"> Aguarico, Chingual y Cofanes (Z1): 101.018 ha</w:t>
      </w:r>
    </w:p>
    <w:p w14:paraId="4BA0D9CA" w14:textId="6EA76095" w:rsidR="004C7896" w:rsidRPr="004C7896" w:rsidRDefault="004C7896">
      <w:pPr>
        <w:pStyle w:val="Textonotapie"/>
      </w:pPr>
    </w:p>
  </w:footnote>
  <w:footnote w:id="13">
    <w:p w14:paraId="07E7633B" w14:textId="01286EBC" w:rsidR="008C2674" w:rsidRPr="008C2674" w:rsidRDefault="0071587F" w:rsidP="008C2674">
      <w:pPr>
        <w:pStyle w:val="Textonotapie"/>
        <w:rPr>
          <w:rFonts w:asciiTheme="minorHAnsi" w:hAnsiTheme="minorHAnsi" w:cstheme="minorHAnsi"/>
          <w:sz w:val="18"/>
          <w:szCs w:val="18"/>
        </w:rPr>
      </w:pPr>
      <w:r>
        <w:rPr>
          <w:rStyle w:val="Refdenotaalpie"/>
        </w:rPr>
        <w:footnoteRef/>
      </w:r>
      <w:r w:rsidRPr="006E4DDA">
        <w:rPr>
          <w:lang w:val="en-US"/>
        </w:rPr>
        <w:t xml:space="preserve"> </w:t>
      </w:r>
      <w:r w:rsidR="008C2674" w:rsidRPr="008C2674">
        <w:rPr>
          <w:rFonts w:asciiTheme="minorHAnsi" w:hAnsiTheme="minorHAnsi" w:cstheme="minorHAnsi"/>
          <w:sz w:val="18"/>
          <w:szCs w:val="18"/>
        </w:rPr>
        <w:t>Este indicador incluye:</w:t>
      </w:r>
    </w:p>
    <w:p w14:paraId="52D67D56" w14:textId="77777777" w:rsidR="008C2674" w:rsidRPr="008C2674" w:rsidRDefault="008C2674" w:rsidP="00EC2CBE">
      <w:pPr>
        <w:pStyle w:val="Textonotapie"/>
        <w:numPr>
          <w:ilvl w:val="0"/>
          <w:numId w:val="95"/>
        </w:numPr>
        <w:rPr>
          <w:rFonts w:asciiTheme="minorHAnsi" w:hAnsiTheme="minorHAnsi" w:cstheme="minorHAnsi"/>
          <w:sz w:val="18"/>
          <w:szCs w:val="18"/>
        </w:rPr>
      </w:pPr>
      <w:r w:rsidRPr="008C2674">
        <w:rPr>
          <w:rFonts w:asciiTheme="minorHAnsi" w:hAnsiTheme="minorHAnsi" w:cstheme="minorHAnsi"/>
          <w:sz w:val="18"/>
          <w:szCs w:val="18"/>
        </w:rPr>
        <w:t>Mecanismos de gobernanza: plataformas multisectoriales nuevas o fortalecidas para la coordinación y planificación, alineadas con los objetivos del proyecto.</w:t>
      </w:r>
    </w:p>
    <w:p w14:paraId="39BB5AD1" w14:textId="09934135" w:rsidR="008C2674" w:rsidRPr="008C2674" w:rsidRDefault="008C2674" w:rsidP="00EC2CBE">
      <w:pPr>
        <w:pStyle w:val="Textonotapie"/>
        <w:numPr>
          <w:ilvl w:val="0"/>
          <w:numId w:val="95"/>
        </w:numPr>
        <w:rPr>
          <w:rFonts w:asciiTheme="minorHAnsi" w:hAnsiTheme="minorHAnsi" w:cstheme="minorHAnsi"/>
          <w:sz w:val="18"/>
          <w:szCs w:val="18"/>
        </w:rPr>
      </w:pPr>
      <w:r w:rsidRPr="008C2674">
        <w:rPr>
          <w:rFonts w:asciiTheme="minorHAnsi" w:hAnsiTheme="minorHAnsi" w:cstheme="minorHAnsi"/>
          <w:sz w:val="18"/>
          <w:szCs w:val="18"/>
        </w:rPr>
        <w:t>Acuerdos interinstitucionales: acuerdos formales para la gestión territorial y de los recursos hídricos, que promueven responsabilidades compartidas entre instituciones públicas, organizaciones indígenas y actores locales.</w:t>
      </w:r>
    </w:p>
    <w:p w14:paraId="679D863B" w14:textId="621D77AD" w:rsidR="0071587F" w:rsidRPr="007E49E0" w:rsidRDefault="0071587F">
      <w:pPr>
        <w:pStyle w:val="Textonotapie"/>
        <w:rPr>
          <w:lang w:val="es-EC"/>
        </w:rPr>
      </w:pPr>
    </w:p>
  </w:footnote>
  <w:footnote w:id="14">
    <w:p w14:paraId="260E3634" w14:textId="06AC0234" w:rsidR="00DB71AF" w:rsidRPr="00DF5605" w:rsidRDefault="00DB71AF" w:rsidP="008A34CA">
      <w:pPr>
        <w:rPr>
          <w:sz w:val="18"/>
          <w:szCs w:val="18"/>
          <w:highlight w:val="green"/>
          <w:lang w:val="en-US"/>
        </w:rPr>
      </w:pPr>
      <w:r>
        <w:rPr>
          <w:vertAlign w:val="superscript"/>
        </w:rPr>
        <w:footnoteRef/>
      </w:r>
      <w:r w:rsidRPr="00DF5605">
        <w:rPr>
          <w:sz w:val="18"/>
          <w:szCs w:val="18"/>
          <w:lang w:val="en-US"/>
        </w:rPr>
        <w:t xml:space="preserve"> "Life Plans" are instruments for planning and financing the development of Indigenous peoples and nationalities. Life Plans are a key provision of the "Organic Law for the Integrated Planning of the Amazon Special Territorial District." These Life Plans address the following elements of great importance to Indigenous communities: Indigenous worldview, territory, diversity, bioeconomy, sacred watersheds, autonomy, and governance.</w:t>
      </w:r>
    </w:p>
  </w:footnote>
  <w:footnote w:id="15">
    <w:p w14:paraId="0BC22F3F" w14:textId="7990EB62" w:rsidR="00DB71AF" w:rsidRPr="006E4DDA" w:rsidRDefault="00DB71AF">
      <w:pPr>
        <w:pStyle w:val="Textonotapie"/>
        <w:rPr>
          <w:lang w:val="en-US"/>
        </w:rPr>
      </w:pPr>
      <w:r>
        <w:rPr>
          <w:rStyle w:val="Refdenotaalpie"/>
        </w:rPr>
        <w:footnoteRef/>
      </w:r>
      <w:r w:rsidRPr="006E4DDA">
        <w:rPr>
          <w:lang w:val="en-US"/>
        </w:rPr>
        <w:t xml:space="preserve"> This indicator reflects the cumulative budget execution rate over the entire implementation period, not the annual delivery rate.</w:t>
      </w:r>
    </w:p>
  </w:footnote>
  <w:footnote w:id="16">
    <w:p w14:paraId="3EAC8542" w14:textId="3F57C973" w:rsidR="4D0299E8" w:rsidRPr="008C71D8" w:rsidRDefault="4D0299E8">
      <w:pPr>
        <w:rPr>
          <w:rFonts w:asciiTheme="minorHAnsi" w:hAnsiTheme="minorHAnsi" w:cstheme="minorHAnsi"/>
          <w:sz w:val="18"/>
          <w:szCs w:val="18"/>
          <w:lang w:val="es-EC"/>
        </w:rPr>
      </w:pPr>
      <w:r w:rsidRPr="00332BEC">
        <w:rPr>
          <w:rFonts w:asciiTheme="minorHAnsi" w:hAnsiTheme="minorHAnsi" w:cstheme="minorHAnsi"/>
          <w:sz w:val="18"/>
          <w:szCs w:val="18"/>
        </w:rPr>
        <w:footnoteRef/>
      </w:r>
      <w:r w:rsidR="008C71D8">
        <w:rPr>
          <w:rFonts w:asciiTheme="minorHAnsi" w:hAnsiTheme="minorHAnsi" w:cstheme="minorHAnsi"/>
          <w:sz w:val="18"/>
          <w:szCs w:val="18"/>
          <w:lang w:val="es-EC"/>
        </w:rPr>
        <w:t xml:space="preserve"> </w:t>
      </w:r>
      <w:r w:rsidR="008C71D8" w:rsidRPr="008C71D8">
        <w:rPr>
          <w:rFonts w:asciiTheme="minorHAnsi" w:hAnsiTheme="minorHAnsi" w:cstheme="minorHAnsi"/>
          <w:sz w:val="18"/>
          <w:szCs w:val="18"/>
          <w:lang w:val="es-EC"/>
        </w:rPr>
        <w:t>Aprobación del FMAM para la modalidad de ejecución nacional apoyada (COS NIM</w:t>
      </w:r>
      <w:r w:rsidR="008C71D8">
        <w:rPr>
          <w:rFonts w:asciiTheme="minorHAnsi" w:hAnsiTheme="minorHAnsi" w:cstheme="minorHAnsi"/>
          <w:sz w:val="18"/>
          <w:szCs w:val="18"/>
          <w:lang w:val="es-EC"/>
        </w:rPr>
        <w:t xml:space="preserve"> por sigla en inglés</w:t>
      </w:r>
      <w:r w:rsidR="008C71D8" w:rsidRPr="008C71D8">
        <w:rPr>
          <w:rFonts w:asciiTheme="minorHAnsi" w:hAnsiTheme="minorHAnsi" w:cstheme="minorHAnsi"/>
          <w:sz w:val="18"/>
          <w:szCs w:val="18"/>
          <w:lang w:val="es-EC"/>
        </w:rPr>
        <w:t>) en la etapa del Documento de Concepto del Proyecto (PIF)</w:t>
      </w:r>
      <w:r w:rsidRPr="008C71D8">
        <w:rPr>
          <w:rFonts w:asciiTheme="minorHAnsi" w:hAnsiTheme="minorHAnsi" w:cstheme="minorHAnsi"/>
          <w:sz w:val="18"/>
          <w:szCs w:val="18"/>
          <w:lang w:val="es-EC"/>
        </w:rPr>
        <w:t>: https://drive.google.com/file/d/1rCoQnZfwsZ68iufv9eq3BN9F_Wqa6ZIL/view?usp=sharing</w:t>
      </w:r>
    </w:p>
  </w:footnote>
  <w:footnote w:id="17">
    <w:p w14:paraId="38CD309D" w14:textId="77777777" w:rsidR="0041532C" w:rsidRPr="006E4DDA" w:rsidRDefault="0041532C" w:rsidP="0041532C">
      <w:pPr>
        <w:pStyle w:val="Textonotapie"/>
        <w:rPr>
          <w:lang w:val="en-US"/>
        </w:rPr>
      </w:pPr>
      <w:r w:rsidRPr="003174B4">
        <w:rPr>
          <w:rStyle w:val="Refdenotaalpie"/>
        </w:rPr>
        <w:footnoteRef/>
      </w:r>
      <w:r w:rsidRPr="006E4DDA">
        <w:rPr>
          <w:lang w:val="en-US"/>
        </w:rPr>
        <w:t xml:space="preserve"> See </w:t>
      </w:r>
      <w:hyperlink r:id="rId2" w:history="1">
        <w:r w:rsidRPr="006E4DDA">
          <w:rPr>
            <w:rStyle w:val="Hipervnculo"/>
            <w:lang w:val="en-US"/>
          </w:rPr>
          <w:t>https://popp.undp.org/</w:t>
        </w:r>
        <w:r w:rsidRPr="006E4DDA">
          <w:rPr>
            <w:lang w:val="en-US"/>
          </w:rPr>
          <w:t xml:space="preserve"> </w:t>
        </w:r>
        <w:r w:rsidRPr="006E4DDA">
          <w:rPr>
            <w:rStyle w:val="Hipervnculo"/>
            <w:lang w:val="en-US"/>
          </w:rPr>
          <w:t>https://popp-prod.acquia.undp.org/policy-page/close-and-transition</w:t>
        </w:r>
      </w:hyperlink>
      <w:r w:rsidRPr="006E4DDA">
        <w:rPr>
          <w:lang w:val="en-US"/>
        </w:rPr>
        <w:t xml:space="preserve">. </w:t>
      </w:r>
    </w:p>
  </w:footnote>
  <w:footnote w:id="18">
    <w:p w14:paraId="3743ED33" w14:textId="131325CE" w:rsidR="004E1C04" w:rsidRPr="004E1C04" w:rsidRDefault="001E40B9" w:rsidP="001E40B9">
      <w:pPr>
        <w:pStyle w:val="Textonotapie"/>
        <w:rPr>
          <w:rFonts w:ascii="Calibri" w:hAnsi="Calibri" w:cs="Calibri"/>
          <w:sz w:val="18"/>
          <w:szCs w:val="18"/>
        </w:rPr>
      </w:pPr>
      <w:r>
        <w:rPr>
          <w:rStyle w:val="Refdenotaalpie"/>
        </w:rPr>
        <w:footnoteRef/>
      </w:r>
      <w:r w:rsidRPr="004E1C04">
        <w:rPr>
          <w:lang w:val="es-EC"/>
        </w:rPr>
        <w:t xml:space="preserve"> </w:t>
      </w:r>
      <w:r w:rsidR="004E1C04" w:rsidRPr="004E1C04">
        <w:rPr>
          <w:rFonts w:ascii="Calibri" w:hAnsi="Calibri" w:cs="Calibri"/>
          <w:sz w:val="18"/>
          <w:szCs w:val="18"/>
        </w:rPr>
        <w:t>El PNUD brindará apoyo en la ejecución al IP (MAE) para estas actividades, según lo solicitado por el Punto Focal Operativo del FMAM en Ecuador. El PNUD utilizará sus propias normas y directrices operativas para llevar a cabo dichas actividades. El Socio Implementador mantendrá la responsabilidad y rendición de cuentas finales por el uso de los recursos del FMAM y por el logro exitoso de los productos del proyecto, en coherencia con los planes de trabajo anuales aprobados.</w:t>
      </w:r>
    </w:p>
  </w:footnote>
  <w:footnote w:id="19">
    <w:p w14:paraId="1E906EB4" w14:textId="0B9AF124" w:rsidR="00EE4B8D" w:rsidRPr="00342906" w:rsidRDefault="00EE4B8D" w:rsidP="00EE4B8D">
      <w:pPr>
        <w:pStyle w:val="Textonotapie"/>
        <w:ind w:left="-142"/>
        <w:jc w:val="both"/>
        <w:rPr>
          <w:sz w:val="18"/>
          <w:szCs w:val="18"/>
        </w:rPr>
      </w:pPr>
      <w:r w:rsidRPr="00C15440">
        <w:rPr>
          <w:rStyle w:val="Refdenotaalpie"/>
        </w:rPr>
        <w:footnoteRef/>
      </w:r>
      <w:r w:rsidRPr="006C04F5">
        <w:rPr>
          <w:lang w:val="es-EC"/>
        </w:rPr>
        <w:t xml:space="preserve"> </w:t>
      </w:r>
      <w:r w:rsidR="006C04F5" w:rsidRPr="00342906">
        <w:rPr>
          <w:rFonts w:ascii="Calibri" w:hAnsi="Calibri" w:cs="Calibri"/>
          <w:sz w:val="18"/>
          <w:szCs w:val="18"/>
        </w:rPr>
        <w:t>El PNUD proporcionará apoyo a la ejecución al IP (MAE) para estas actividades, según lo solicitado por el Punto Focal Operativo del FMAM en Ecuador. El PNUD utilizará sus propias normas y directrices operativas para llevar a cabo estas actividades. El IP mantendrá la responsabilidad y rendición de cuentas última por el uso de los recursos del FMAM y por el logro exitoso de los productos del proyecto, en concordancia con los planes de trabajo anuales aprobados.</w:t>
      </w:r>
    </w:p>
  </w:footnote>
  <w:footnote w:id="20">
    <w:p w14:paraId="3C628066" w14:textId="77777777" w:rsidR="008C66C4" w:rsidRPr="008C66C4" w:rsidRDefault="008C66C4" w:rsidP="008C66C4">
      <w:pPr>
        <w:pStyle w:val="Textonotapie"/>
        <w:rPr>
          <w:rFonts w:eastAsia="Calibri" w:cs="Calibri"/>
          <w:spacing w:val="2"/>
          <w:szCs w:val="18"/>
          <w:lang w:val="en-US"/>
        </w:rPr>
      </w:pPr>
      <w:r w:rsidRPr="00E07A49">
        <w:rPr>
          <w:rStyle w:val="Refdenotaalpie"/>
        </w:rPr>
        <w:footnoteRef/>
      </w:r>
      <w:r w:rsidRPr="008C66C4">
        <w:rPr>
          <w:lang w:val="en-US"/>
        </w:rPr>
        <w:t xml:space="preserve"> </w:t>
      </w:r>
      <w:r w:rsidRPr="008C66C4">
        <w:rPr>
          <w:rFonts w:eastAsia="Calibri" w:cs="Calibri"/>
          <w:spacing w:val="2"/>
          <w:szCs w:val="18"/>
          <w:lang w:val="en-US"/>
        </w:rPr>
        <w:t>Prohibited grounds of discrimination include race, ethnicity, sex, age, language, disability, sexual orientation, gender identity, religion, political or other opinion, national, social, or geographical origin, property, birth, or other status, including indigenous or minority status. References to "women and men" or similar terms are understood to include women and men, boys and girls, and other groups discriminated against based on their gender identity, such as transsexual or transgender people.</w:t>
      </w:r>
    </w:p>
  </w:footnote>
  <w:footnote w:id="21">
    <w:p w14:paraId="29E49B8D" w14:textId="77777777" w:rsidR="008C66C4" w:rsidRPr="008C66C4" w:rsidRDefault="008C66C4" w:rsidP="008C66C4">
      <w:pPr>
        <w:pStyle w:val="Textonotapie"/>
        <w:rPr>
          <w:rFonts w:eastAsia="Calibri" w:cs="Calibri"/>
          <w:spacing w:val="2"/>
          <w:szCs w:val="18"/>
          <w:lang w:val="en-US"/>
        </w:rPr>
      </w:pPr>
      <w:r w:rsidRPr="00E07A49">
        <w:rPr>
          <w:rStyle w:val="Refdenotaalpie"/>
        </w:rPr>
        <w:footnoteRef/>
      </w:r>
      <w:r w:rsidRPr="008C66C4">
        <w:rPr>
          <w:lang w:val="en-US"/>
        </w:rPr>
        <w:t xml:space="preserve"> </w:t>
      </w:r>
      <w:r w:rsidRPr="008C66C4">
        <w:rPr>
          <w:rFonts w:eastAsia="Calibri" w:cs="Calibri"/>
          <w:spacing w:val="2"/>
          <w:szCs w:val="18"/>
          <w:lang w:val="en-US"/>
        </w:rPr>
        <w:t xml:space="preserve">See </w:t>
      </w:r>
      <w:r w:rsidRPr="008C66C4">
        <w:rPr>
          <w:rStyle w:val="Hipervnculo"/>
          <w:rFonts w:eastAsia="Calibri" w:cs="Calibri"/>
          <w:spacing w:val="2"/>
          <w:szCs w:val="18"/>
          <w:lang w:val="en-US"/>
        </w:rPr>
        <w:t>Convention on Biological Diversity</w:t>
      </w:r>
      <w:r w:rsidRPr="008C66C4">
        <w:rPr>
          <w:rFonts w:eastAsia="Calibri" w:cs="Calibri"/>
          <w:spacing w:val="2"/>
          <w:szCs w:val="18"/>
          <w:lang w:val="en-US"/>
        </w:rPr>
        <w:t xml:space="preserve"> and its </w:t>
      </w:r>
      <w:r w:rsidRPr="008C66C4">
        <w:rPr>
          <w:rStyle w:val="Hipervnculo"/>
          <w:rFonts w:eastAsia="Calibri" w:cs="Calibri"/>
          <w:spacing w:val="2"/>
          <w:szCs w:val="18"/>
          <w:lang w:val="en-US"/>
        </w:rPr>
        <w:t>Cartagena Protocol on Biosafety</w:t>
      </w:r>
      <w:r w:rsidRPr="008C66C4">
        <w:rPr>
          <w:rFonts w:eastAsia="Calibri" w:cs="Calibri"/>
          <w:spacing w:val="2"/>
          <w:szCs w:val="18"/>
          <w:lang w:val="en-US"/>
        </w:rPr>
        <w:t>.</w:t>
      </w:r>
    </w:p>
  </w:footnote>
  <w:footnote w:id="22">
    <w:p w14:paraId="4230498A" w14:textId="77777777" w:rsidR="008C66C4" w:rsidRPr="008C66C4" w:rsidRDefault="008C66C4" w:rsidP="008C66C4">
      <w:pPr>
        <w:pStyle w:val="Textonotapie"/>
        <w:rPr>
          <w:rFonts w:eastAsia="Calibri" w:cs="Calibri"/>
          <w:spacing w:val="2"/>
          <w:position w:val="1"/>
          <w:szCs w:val="18"/>
          <w:lang w:val="en-US"/>
        </w:rPr>
      </w:pPr>
      <w:r w:rsidRPr="00E07A49">
        <w:rPr>
          <w:rStyle w:val="Refdenotaalpie"/>
        </w:rPr>
        <w:footnoteRef/>
      </w:r>
      <w:r w:rsidRPr="008C66C4">
        <w:rPr>
          <w:lang w:val="en-US"/>
        </w:rPr>
        <w:t xml:space="preserve"> </w:t>
      </w:r>
      <w:r w:rsidRPr="008C66C4">
        <w:rPr>
          <w:rFonts w:eastAsia="Calibri" w:cs="Calibri"/>
          <w:spacing w:val="2"/>
          <w:position w:val="1"/>
          <w:szCs w:val="18"/>
          <w:lang w:val="en-US"/>
        </w:rPr>
        <w:t xml:space="preserve">See </w:t>
      </w:r>
      <w:r w:rsidRPr="008C66C4">
        <w:rPr>
          <w:rStyle w:val="Hipervnculo"/>
          <w:rFonts w:eastAsia="Calibri" w:cs="Calibri"/>
          <w:spacing w:val="2"/>
          <w:position w:val="1"/>
          <w:szCs w:val="18"/>
          <w:lang w:val="en-US"/>
        </w:rPr>
        <w:t>Convention on Biological Diversity</w:t>
      </w:r>
      <w:r w:rsidRPr="008C66C4">
        <w:rPr>
          <w:rFonts w:eastAsia="Calibri" w:cs="Calibri"/>
          <w:spacing w:val="2"/>
          <w:position w:val="1"/>
          <w:szCs w:val="18"/>
          <w:lang w:val="en-US"/>
        </w:rPr>
        <w:t xml:space="preserve"> and its </w:t>
      </w:r>
      <w:hyperlink r:id="rId3" w:history="1">
        <w:r w:rsidRPr="008C66C4">
          <w:rPr>
            <w:rStyle w:val="Hipervnculo"/>
            <w:rFonts w:eastAsia="Calibri" w:cs="Calibri"/>
            <w:spacing w:val="2"/>
            <w:position w:val="1"/>
            <w:szCs w:val="18"/>
            <w:lang w:val="en-US"/>
          </w:rPr>
          <w:t>Nagoya</w:t>
        </w:r>
      </w:hyperlink>
      <w:r w:rsidRPr="008C66C4">
        <w:rPr>
          <w:rStyle w:val="Hipervnculo"/>
          <w:rFonts w:eastAsia="Calibri" w:cs="Calibri"/>
          <w:spacing w:val="2"/>
          <w:position w:val="1"/>
          <w:szCs w:val="18"/>
          <w:lang w:val="en-US"/>
        </w:rPr>
        <w:t xml:space="preserve"> Protocol</w:t>
      </w:r>
      <w:r w:rsidRPr="008C66C4">
        <w:rPr>
          <w:rFonts w:eastAsia="Calibri" w:cs="Calibri"/>
          <w:spacing w:val="2"/>
          <w:position w:val="1"/>
          <w:szCs w:val="18"/>
          <w:lang w:val="en-US"/>
        </w:rPr>
        <w:t xml:space="preserve"> on access to and benefit-sharing arising from the use of genetic resources</w:t>
      </w:r>
    </w:p>
  </w:footnote>
  <w:footnote w:id="23">
    <w:p w14:paraId="5181FA64" w14:textId="77777777" w:rsidR="008C66C4" w:rsidRPr="008C66C4" w:rsidRDefault="008C66C4" w:rsidP="008C66C4">
      <w:pPr>
        <w:pStyle w:val="Textonotapie"/>
        <w:rPr>
          <w:rFonts w:eastAsia="Calibri" w:cs="Calibri"/>
          <w:spacing w:val="2"/>
          <w:szCs w:val="18"/>
          <w:lang w:val="en-US"/>
        </w:rPr>
      </w:pPr>
      <w:r w:rsidRPr="00E07A49">
        <w:rPr>
          <w:rStyle w:val="Refdenotaalpie"/>
        </w:rPr>
        <w:footnoteRef/>
      </w:r>
      <w:r w:rsidRPr="008C66C4">
        <w:rPr>
          <w:lang w:val="en-US"/>
        </w:rPr>
        <w:t xml:space="preserve"> </w:t>
      </w:r>
      <w:r w:rsidRPr="008C66C4">
        <w:rPr>
          <w:rFonts w:eastAsia="Calibri" w:cs="Calibri"/>
          <w:spacing w:val="2"/>
          <w:szCs w:val="18"/>
          <w:lang w:val="en-US"/>
        </w:rPr>
        <w:t>Forced eviction is defined here as the permanent or temporary removal, against their will, of individuals, families, or communities from their homes or lands, without providing them with or giving them access to adequate legal or other protections. Forced evictions constitute serious violations of several internationally recognized human rights.</w:t>
      </w:r>
    </w:p>
  </w:footnote>
  <w:footnote w:id="24">
    <w:p w14:paraId="026F9E35" w14:textId="77777777" w:rsidR="008C66C4" w:rsidRPr="008C66C4" w:rsidRDefault="008C66C4" w:rsidP="008C66C4">
      <w:pPr>
        <w:pStyle w:val="Textonotapie"/>
        <w:rPr>
          <w:rFonts w:eastAsia="Calibri" w:cs="Calibri"/>
          <w:spacing w:val="-1"/>
          <w:szCs w:val="18"/>
          <w:lang w:val="en-US"/>
        </w:rPr>
      </w:pPr>
      <w:r w:rsidRPr="00E07A49">
        <w:rPr>
          <w:rStyle w:val="Refdenotaalpie"/>
        </w:rPr>
        <w:footnoteRef/>
      </w:r>
      <w:r w:rsidRPr="008C66C4">
        <w:rPr>
          <w:lang w:val="en-US"/>
        </w:rPr>
        <w:t xml:space="preserve"> </w:t>
      </w:r>
      <w:r w:rsidRPr="008C66C4">
        <w:rPr>
          <w:rFonts w:eastAsia="Calibri" w:cs="Calibri"/>
          <w:position w:val="5"/>
          <w:sz w:val="12"/>
          <w:szCs w:val="12"/>
          <w:lang w:val="en-US"/>
        </w:rPr>
        <w:t>*</w:t>
      </w:r>
      <w:r w:rsidRPr="008C66C4">
        <w:rPr>
          <w:rFonts w:eastAsia="Calibri" w:cs="Calibri"/>
          <w:spacing w:val="13"/>
          <w:position w:val="5"/>
          <w:sz w:val="12"/>
          <w:szCs w:val="12"/>
          <w:lang w:val="en-US"/>
        </w:rPr>
        <w:t xml:space="preserve"> </w:t>
      </w:r>
      <w:r w:rsidRPr="008C66C4">
        <w:rPr>
          <w:rFonts w:eastAsia="Calibri" w:cs="Calibri"/>
          <w:spacing w:val="-1"/>
          <w:szCs w:val="18"/>
          <w:lang w:val="en-US"/>
        </w:rPr>
        <w:t>Note: Revised in July 2022 by changing the presumption of risk significance from Substantial or greater to Moderate or greater.</w:t>
      </w:r>
    </w:p>
  </w:footnote>
  <w:footnote w:id="25">
    <w:p w14:paraId="5C2E19C3" w14:textId="4CB703DD" w:rsidR="008658BE" w:rsidRPr="008658BE" w:rsidRDefault="008658BE" w:rsidP="008658BE">
      <w:pPr>
        <w:pStyle w:val="Textonotapie"/>
        <w:rPr>
          <w:lang w:val="es-EC"/>
        </w:rPr>
      </w:pPr>
      <w:r>
        <w:rPr>
          <w:rStyle w:val="Refdenotaalpie"/>
        </w:rPr>
        <w:footnoteRef/>
      </w:r>
      <w:r w:rsidRPr="008658BE">
        <w:rPr>
          <w:lang w:val="es-EC"/>
        </w:rPr>
        <w:t xml:space="preserve"> El PNUD tiene este derecho especial debido a que la responsabilidad legal y fiduciaria última de un proyecto del PNUD, independientemente de la modalidad, recae en el PNUD, y este debe (de acuerdo con sus obligaciones hacia los donantes y la Junta Ejecutiva) poder asegurar que ningún organismo dentro de un proyecto del PNUD tome una acción que contravenga las normas y reglamentos del PNUD.</w:t>
      </w:r>
    </w:p>
  </w:footnote>
  <w:footnote w:id="26">
    <w:p w14:paraId="5A0D910A" w14:textId="54923159" w:rsidR="008658BE" w:rsidRPr="008658BE" w:rsidRDefault="008658BE">
      <w:pPr>
        <w:pStyle w:val="Textonotapie"/>
        <w:rPr>
          <w:lang w:val="es-EC"/>
        </w:rPr>
      </w:pPr>
      <w:r>
        <w:rPr>
          <w:rStyle w:val="Refdenotaalpie"/>
        </w:rPr>
        <w:footnoteRef/>
      </w:r>
      <w:r>
        <w:t xml:space="preserve"> </w:t>
      </w:r>
      <w:r w:rsidRPr="008658BE">
        <w:t>Incluyendo informes de auditoría y verificaciones puntuales.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FFC2" w14:textId="77777777" w:rsidR="00121D02" w:rsidRPr="00424365" w:rsidRDefault="00121D02" w:rsidP="008B6F84">
    <w:pP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D0F9" w14:textId="77777777" w:rsidR="00F1446C" w:rsidRDefault="00F1446C">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A43B" w14:textId="77777777" w:rsidR="00FC5ACA" w:rsidRPr="00424365" w:rsidRDefault="00FC5ACA">
    <w:pPr>
      <w:pStyle w:val="Encabezado"/>
      <w:rPr>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5C09" w14:textId="77777777" w:rsidR="00121D02" w:rsidRPr="00424365" w:rsidRDefault="00121D02" w:rsidP="008B6F84">
    <w:pPr>
      <w:rPr>
        <w:szCs w:val="16"/>
      </w:rPr>
    </w:pPr>
  </w:p>
</w:hdr>
</file>

<file path=word/intelligence2.xml><?xml version="1.0" encoding="utf-8"?>
<int2:intelligence xmlns:int2="http://schemas.microsoft.com/office/intelligence/2020/intelligence" xmlns:oel="http://schemas.microsoft.com/office/2019/extlst">
  <int2:observations>
    <int2:textHash int2:hashCode="u8zfLvsztS5snQ" int2:id="SkAkuay9">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3AD"/>
    <w:multiLevelType w:val="hybridMultilevel"/>
    <w:tmpl w:val="6BD0666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1E862C4"/>
    <w:multiLevelType w:val="hybridMultilevel"/>
    <w:tmpl w:val="9EDE2E0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04AB4E9F"/>
    <w:multiLevelType w:val="hybridMultilevel"/>
    <w:tmpl w:val="CCEC2B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5007385"/>
    <w:multiLevelType w:val="multilevel"/>
    <w:tmpl w:val="116A73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54733D6"/>
    <w:multiLevelType w:val="multilevel"/>
    <w:tmpl w:val="B2BEAD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730A04"/>
    <w:multiLevelType w:val="multilevel"/>
    <w:tmpl w:val="EC50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BA2C44"/>
    <w:multiLevelType w:val="hybridMultilevel"/>
    <w:tmpl w:val="67883C1C"/>
    <w:lvl w:ilvl="0" w:tplc="3B0A43DE">
      <w:start w:val="1"/>
      <w:numFmt w:val="bullet"/>
      <w:lvlText w:val=""/>
      <w:lvlJc w:val="left"/>
      <w:pPr>
        <w:ind w:left="720" w:hanging="360"/>
      </w:pPr>
      <w:rPr>
        <w:rFonts w:ascii="Symbol" w:hAnsi="Symbol" w:hint="default"/>
      </w:rPr>
    </w:lvl>
    <w:lvl w:ilvl="1" w:tplc="22BCCBB6" w:tentative="1">
      <w:start w:val="1"/>
      <w:numFmt w:val="bullet"/>
      <w:lvlText w:val="o"/>
      <w:lvlJc w:val="left"/>
      <w:pPr>
        <w:ind w:left="1440" w:hanging="360"/>
      </w:pPr>
      <w:rPr>
        <w:rFonts w:ascii="Courier New" w:hAnsi="Courier New" w:cs="Courier New" w:hint="default"/>
      </w:rPr>
    </w:lvl>
    <w:lvl w:ilvl="2" w:tplc="BF9E8E1E" w:tentative="1">
      <w:start w:val="1"/>
      <w:numFmt w:val="bullet"/>
      <w:lvlText w:val=""/>
      <w:lvlJc w:val="left"/>
      <w:pPr>
        <w:ind w:left="2160" w:hanging="360"/>
      </w:pPr>
      <w:rPr>
        <w:rFonts w:ascii="Wingdings" w:hAnsi="Wingdings" w:hint="default"/>
      </w:rPr>
    </w:lvl>
    <w:lvl w:ilvl="3" w:tplc="B9044C94" w:tentative="1">
      <w:start w:val="1"/>
      <w:numFmt w:val="bullet"/>
      <w:lvlText w:val=""/>
      <w:lvlJc w:val="left"/>
      <w:pPr>
        <w:ind w:left="2880" w:hanging="360"/>
      </w:pPr>
      <w:rPr>
        <w:rFonts w:ascii="Symbol" w:hAnsi="Symbol" w:hint="default"/>
      </w:rPr>
    </w:lvl>
    <w:lvl w:ilvl="4" w:tplc="5836664C" w:tentative="1">
      <w:start w:val="1"/>
      <w:numFmt w:val="bullet"/>
      <w:lvlText w:val="o"/>
      <w:lvlJc w:val="left"/>
      <w:pPr>
        <w:ind w:left="3600" w:hanging="360"/>
      </w:pPr>
      <w:rPr>
        <w:rFonts w:ascii="Courier New" w:hAnsi="Courier New" w:cs="Courier New" w:hint="default"/>
      </w:rPr>
    </w:lvl>
    <w:lvl w:ilvl="5" w:tplc="DD663B94" w:tentative="1">
      <w:start w:val="1"/>
      <w:numFmt w:val="bullet"/>
      <w:lvlText w:val=""/>
      <w:lvlJc w:val="left"/>
      <w:pPr>
        <w:ind w:left="4320" w:hanging="360"/>
      </w:pPr>
      <w:rPr>
        <w:rFonts w:ascii="Wingdings" w:hAnsi="Wingdings" w:hint="default"/>
      </w:rPr>
    </w:lvl>
    <w:lvl w:ilvl="6" w:tplc="275ECC34" w:tentative="1">
      <w:start w:val="1"/>
      <w:numFmt w:val="bullet"/>
      <w:lvlText w:val=""/>
      <w:lvlJc w:val="left"/>
      <w:pPr>
        <w:ind w:left="5040" w:hanging="360"/>
      </w:pPr>
      <w:rPr>
        <w:rFonts w:ascii="Symbol" w:hAnsi="Symbol" w:hint="default"/>
      </w:rPr>
    </w:lvl>
    <w:lvl w:ilvl="7" w:tplc="7056FA6E" w:tentative="1">
      <w:start w:val="1"/>
      <w:numFmt w:val="bullet"/>
      <w:lvlText w:val="o"/>
      <w:lvlJc w:val="left"/>
      <w:pPr>
        <w:ind w:left="5760" w:hanging="360"/>
      </w:pPr>
      <w:rPr>
        <w:rFonts w:ascii="Courier New" w:hAnsi="Courier New" w:cs="Courier New" w:hint="default"/>
      </w:rPr>
    </w:lvl>
    <w:lvl w:ilvl="8" w:tplc="D7B85172" w:tentative="1">
      <w:start w:val="1"/>
      <w:numFmt w:val="bullet"/>
      <w:lvlText w:val=""/>
      <w:lvlJc w:val="left"/>
      <w:pPr>
        <w:ind w:left="6480" w:hanging="360"/>
      </w:pPr>
      <w:rPr>
        <w:rFonts w:ascii="Wingdings" w:hAnsi="Wingdings" w:hint="default"/>
      </w:rPr>
    </w:lvl>
  </w:abstractNum>
  <w:abstractNum w:abstractNumId="7" w15:restartNumberingAfterBreak="0">
    <w:nsid w:val="08AF5C7C"/>
    <w:multiLevelType w:val="hybridMultilevel"/>
    <w:tmpl w:val="E4C2A66A"/>
    <w:lvl w:ilvl="0" w:tplc="08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092D3064"/>
    <w:multiLevelType w:val="multilevel"/>
    <w:tmpl w:val="6BE47FD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09314B2E"/>
    <w:multiLevelType w:val="hybridMultilevel"/>
    <w:tmpl w:val="E7600AC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93579A3"/>
    <w:multiLevelType w:val="multilevel"/>
    <w:tmpl w:val="1EFA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9F56C2"/>
    <w:multiLevelType w:val="hybridMultilevel"/>
    <w:tmpl w:val="2C24AFB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0AA466E8"/>
    <w:multiLevelType w:val="multilevel"/>
    <w:tmpl w:val="353A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101F9D"/>
    <w:multiLevelType w:val="hybridMultilevel"/>
    <w:tmpl w:val="1E7860B2"/>
    <w:lvl w:ilvl="0" w:tplc="50AE8FF0">
      <w:start w:val="1"/>
      <w:numFmt w:val="bullet"/>
      <w:lvlText w:val=""/>
      <w:lvlJc w:val="left"/>
      <w:pPr>
        <w:ind w:left="720" w:hanging="360"/>
      </w:pPr>
      <w:rPr>
        <w:rFonts w:ascii="Symbol" w:hAnsi="Symbol" w:hint="default"/>
      </w:rPr>
    </w:lvl>
    <w:lvl w:ilvl="1" w:tplc="769CA59E" w:tentative="1">
      <w:start w:val="1"/>
      <w:numFmt w:val="bullet"/>
      <w:lvlText w:val="o"/>
      <w:lvlJc w:val="left"/>
      <w:pPr>
        <w:ind w:left="1440" w:hanging="360"/>
      </w:pPr>
      <w:rPr>
        <w:rFonts w:ascii="Courier New" w:hAnsi="Courier New" w:cs="Courier New" w:hint="default"/>
      </w:rPr>
    </w:lvl>
    <w:lvl w:ilvl="2" w:tplc="33C43CAE" w:tentative="1">
      <w:start w:val="1"/>
      <w:numFmt w:val="bullet"/>
      <w:lvlText w:val=""/>
      <w:lvlJc w:val="left"/>
      <w:pPr>
        <w:ind w:left="2160" w:hanging="360"/>
      </w:pPr>
      <w:rPr>
        <w:rFonts w:ascii="Wingdings" w:hAnsi="Wingdings" w:hint="default"/>
      </w:rPr>
    </w:lvl>
    <w:lvl w:ilvl="3" w:tplc="698461E2" w:tentative="1">
      <w:start w:val="1"/>
      <w:numFmt w:val="bullet"/>
      <w:lvlText w:val=""/>
      <w:lvlJc w:val="left"/>
      <w:pPr>
        <w:ind w:left="2880" w:hanging="360"/>
      </w:pPr>
      <w:rPr>
        <w:rFonts w:ascii="Symbol" w:hAnsi="Symbol" w:hint="default"/>
      </w:rPr>
    </w:lvl>
    <w:lvl w:ilvl="4" w:tplc="AB1AAE78" w:tentative="1">
      <w:start w:val="1"/>
      <w:numFmt w:val="bullet"/>
      <w:lvlText w:val="o"/>
      <w:lvlJc w:val="left"/>
      <w:pPr>
        <w:ind w:left="3600" w:hanging="360"/>
      </w:pPr>
      <w:rPr>
        <w:rFonts w:ascii="Courier New" w:hAnsi="Courier New" w:cs="Courier New" w:hint="default"/>
      </w:rPr>
    </w:lvl>
    <w:lvl w:ilvl="5" w:tplc="D9004DE0" w:tentative="1">
      <w:start w:val="1"/>
      <w:numFmt w:val="bullet"/>
      <w:lvlText w:val=""/>
      <w:lvlJc w:val="left"/>
      <w:pPr>
        <w:ind w:left="4320" w:hanging="360"/>
      </w:pPr>
      <w:rPr>
        <w:rFonts w:ascii="Wingdings" w:hAnsi="Wingdings" w:hint="default"/>
      </w:rPr>
    </w:lvl>
    <w:lvl w:ilvl="6" w:tplc="206C1854" w:tentative="1">
      <w:start w:val="1"/>
      <w:numFmt w:val="bullet"/>
      <w:lvlText w:val=""/>
      <w:lvlJc w:val="left"/>
      <w:pPr>
        <w:ind w:left="5040" w:hanging="360"/>
      </w:pPr>
      <w:rPr>
        <w:rFonts w:ascii="Symbol" w:hAnsi="Symbol" w:hint="default"/>
      </w:rPr>
    </w:lvl>
    <w:lvl w:ilvl="7" w:tplc="96CEDA96" w:tentative="1">
      <w:start w:val="1"/>
      <w:numFmt w:val="bullet"/>
      <w:lvlText w:val="o"/>
      <w:lvlJc w:val="left"/>
      <w:pPr>
        <w:ind w:left="5760" w:hanging="360"/>
      </w:pPr>
      <w:rPr>
        <w:rFonts w:ascii="Courier New" w:hAnsi="Courier New" w:cs="Courier New" w:hint="default"/>
      </w:rPr>
    </w:lvl>
    <w:lvl w:ilvl="8" w:tplc="5FF00200" w:tentative="1">
      <w:start w:val="1"/>
      <w:numFmt w:val="bullet"/>
      <w:lvlText w:val=""/>
      <w:lvlJc w:val="left"/>
      <w:pPr>
        <w:ind w:left="6480" w:hanging="360"/>
      </w:pPr>
      <w:rPr>
        <w:rFonts w:ascii="Wingdings" w:hAnsi="Wingdings" w:hint="default"/>
      </w:rPr>
    </w:lvl>
  </w:abstractNum>
  <w:abstractNum w:abstractNumId="15" w15:restartNumberingAfterBreak="0">
    <w:nsid w:val="0B737910"/>
    <w:multiLevelType w:val="multilevel"/>
    <w:tmpl w:val="5C78C2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C067510"/>
    <w:multiLevelType w:val="hybridMultilevel"/>
    <w:tmpl w:val="91FCDF6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0E5344DE"/>
    <w:multiLevelType w:val="hybridMultilevel"/>
    <w:tmpl w:val="5D7AA24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0FE5793F"/>
    <w:multiLevelType w:val="hybridMultilevel"/>
    <w:tmpl w:val="794CD98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10720820"/>
    <w:multiLevelType w:val="multilevel"/>
    <w:tmpl w:val="CDFE1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3CF2DBD"/>
    <w:multiLevelType w:val="multilevel"/>
    <w:tmpl w:val="D76AB7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4511005"/>
    <w:multiLevelType w:val="hybridMultilevel"/>
    <w:tmpl w:val="ADB6ABEA"/>
    <w:lvl w:ilvl="0" w:tplc="26E0DC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5A742E"/>
    <w:multiLevelType w:val="multilevel"/>
    <w:tmpl w:val="CD9E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C74B2C"/>
    <w:multiLevelType w:val="hybridMultilevel"/>
    <w:tmpl w:val="2A624E1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176F3A76"/>
    <w:multiLevelType w:val="multilevel"/>
    <w:tmpl w:val="E8B2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784538D"/>
    <w:multiLevelType w:val="multilevel"/>
    <w:tmpl w:val="D720754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83D1021"/>
    <w:multiLevelType w:val="multilevel"/>
    <w:tmpl w:val="E6609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196277B9"/>
    <w:multiLevelType w:val="multilevel"/>
    <w:tmpl w:val="956CEE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9B14A7B"/>
    <w:multiLevelType w:val="multilevel"/>
    <w:tmpl w:val="3EBE80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CF508E5"/>
    <w:multiLevelType w:val="hybridMultilevel"/>
    <w:tmpl w:val="9FB206A2"/>
    <w:lvl w:ilvl="0" w:tplc="544698C6">
      <w:start w:val="1"/>
      <w:numFmt w:val="lowerRoman"/>
      <w:lvlText w:val="%1."/>
      <w:lvlJc w:val="left"/>
      <w:pPr>
        <w:ind w:left="1080" w:hanging="720"/>
      </w:pPr>
      <w:rPr>
        <w:rFonts w:hint="default"/>
      </w:rPr>
    </w:lvl>
    <w:lvl w:ilvl="1" w:tplc="86D40EE4" w:tentative="1">
      <w:start w:val="1"/>
      <w:numFmt w:val="lowerLetter"/>
      <w:lvlText w:val="%2."/>
      <w:lvlJc w:val="left"/>
      <w:pPr>
        <w:ind w:left="1440" w:hanging="360"/>
      </w:pPr>
    </w:lvl>
    <w:lvl w:ilvl="2" w:tplc="B91A9A0E" w:tentative="1">
      <w:start w:val="1"/>
      <w:numFmt w:val="lowerRoman"/>
      <w:lvlText w:val="%3."/>
      <w:lvlJc w:val="right"/>
      <w:pPr>
        <w:ind w:left="2160" w:hanging="180"/>
      </w:pPr>
    </w:lvl>
    <w:lvl w:ilvl="3" w:tplc="A34C01E0" w:tentative="1">
      <w:start w:val="1"/>
      <w:numFmt w:val="decimal"/>
      <w:lvlText w:val="%4."/>
      <w:lvlJc w:val="left"/>
      <w:pPr>
        <w:ind w:left="2880" w:hanging="360"/>
      </w:pPr>
    </w:lvl>
    <w:lvl w:ilvl="4" w:tplc="5AC473A6" w:tentative="1">
      <w:start w:val="1"/>
      <w:numFmt w:val="lowerLetter"/>
      <w:lvlText w:val="%5."/>
      <w:lvlJc w:val="left"/>
      <w:pPr>
        <w:ind w:left="3600" w:hanging="360"/>
      </w:pPr>
    </w:lvl>
    <w:lvl w:ilvl="5" w:tplc="111A64F6" w:tentative="1">
      <w:start w:val="1"/>
      <w:numFmt w:val="lowerRoman"/>
      <w:lvlText w:val="%6."/>
      <w:lvlJc w:val="right"/>
      <w:pPr>
        <w:ind w:left="4320" w:hanging="180"/>
      </w:pPr>
    </w:lvl>
    <w:lvl w:ilvl="6" w:tplc="BDCA78F2" w:tentative="1">
      <w:start w:val="1"/>
      <w:numFmt w:val="decimal"/>
      <w:lvlText w:val="%7."/>
      <w:lvlJc w:val="left"/>
      <w:pPr>
        <w:ind w:left="5040" w:hanging="360"/>
      </w:pPr>
    </w:lvl>
    <w:lvl w:ilvl="7" w:tplc="6D5A6E26" w:tentative="1">
      <w:start w:val="1"/>
      <w:numFmt w:val="lowerLetter"/>
      <w:lvlText w:val="%8."/>
      <w:lvlJc w:val="left"/>
      <w:pPr>
        <w:ind w:left="5760" w:hanging="360"/>
      </w:pPr>
    </w:lvl>
    <w:lvl w:ilvl="8" w:tplc="28FE228E" w:tentative="1">
      <w:start w:val="1"/>
      <w:numFmt w:val="lowerRoman"/>
      <w:lvlText w:val="%9."/>
      <w:lvlJc w:val="right"/>
      <w:pPr>
        <w:ind w:left="6480" w:hanging="180"/>
      </w:pPr>
    </w:lvl>
  </w:abstractNum>
  <w:abstractNum w:abstractNumId="31" w15:restartNumberingAfterBreak="0">
    <w:nsid w:val="22AA7BA5"/>
    <w:multiLevelType w:val="hybridMultilevel"/>
    <w:tmpl w:val="6FBAAE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2" w15:restartNumberingAfterBreak="0">
    <w:nsid w:val="24201A29"/>
    <w:multiLevelType w:val="multilevel"/>
    <w:tmpl w:val="9D6495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E65649"/>
    <w:multiLevelType w:val="multilevel"/>
    <w:tmpl w:val="F34A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7D66D9D"/>
    <w:multiLevelType w:val="hybridMultilevel"/>
    <w:tmpl w:val="D8AE4690"/>
    <w:lvl w:ilvl="0" w:tplc="B0121A4C">
      <w:start w:val="1"/>
      <w:numFmt w:val="bullet"/>
      <w:lvlText w:val=""/>
      <w:lvlJc w:val="left"/>
      <w:pPr>
        <w:ind w:left="720" w:hanging="360"/>
      </w:pPr>
      <w:rPr>
        <w:rFonts w:ascii="Symbol" w:hAnsi="Symbol" w:hint="default"/>
      </w:rPr>
    </w:lvl>
    <w:lvl w:ilvl="1" w:tplc="3E3E339E" w:tentative="1">
      <w:start w:val="1"/>
      <w:numFmt w:val="bullet"/>
      <w:lvlText w:val="o"/>
      <w:lvlJc w:val="left"/>
      <w:pPr>
        <w:ind w:left="1440" w:hanging="360"/>
      </w:pPr>
      <w:rPr>
        <w:rFonts w:ascii="Courier New" w:hAnsi="Courier New" w:cs="Courier New" w:hint="default"/>
      </w:rPr>
    </w:lvl>
    <w:lvl w:ilvl="2" w:tplc="865868CC" w:tentative="1">
      <w:start w:val="1"/>
      <w:numFmt w:val="bullet"/>
      <w:lvlText w:val=""/>
      <w:lvlJc w:val="left"/>
      <w:pPr>
        <w:ind w:left="2160" w:hanging="360"/>
      </w:pPr>
      <w:rPr>
        <w:rFonts w:ascii="Wingdings" w:hAnsi="Wingdings" w:hint="default"/>
      </w:rPr>
    </w:lvl>
    <w:lvl w:ilvl="3" w:tplc="B74C6FF2" w:tentative="1">
      <w:start w:val="1"/>
      <w:numFmt w:val="bullet"/>
      <w:lvlText w:val=""/>
      <w:lvlJc w:val="left"/>
      <w:pPr>
        <w:ind w:left="2880" w:hanging="360"/>
      </w:pPr>
      <w:rPr>
        <w:rFonts w:ascii="Symbol" w:hAnsi="Symbol" w:hint="default"/>
      </w:rPr>
    </w:lvl>
    <w:lvl w:ilvl="4" w:tplc="38DE03B8" w:tentative="1">
      <w:start w:val="1"/>
      <w:numFmt w:val="bullet"/>
      <w:lvlText w:val="o"/>
      <w:lvlJc w:val="left"/>
      <w:pPr>
        <w:ind w:left="3600" w:hanging="360"/>
      </w:pPr>
      <w:rPr>
        <w:rFonts w:ascii="Courier New" w:hAnsi="Courier New" w:cs="Courier New" w:hint="default"/>
      </w:rPr>
    </w:lvl>
    <w:lvl w:ilvl="5" w:tplc="24AC55DE" w:tentative="1">
      <w:start w:val="1"/>
      <w:numFmt w:val="bullet"/>
      <w:lvlText w:val=""/>
      <w:lvlJc w:val="left"/>
      <w:pPr>
        <w:ind w:left="4320" w:hanging="360"/>
      </w:pPr>
      <w:rPr>
        <w:rFonts w:ascii="Wingdings" w:hAnsi="Wingdings" w:hint="default"/>
      </w:rPr>
    </w:lvl>
    <w:lvl w:ilvl="6" w:tplc="A66E4E68" w:tentative="1">
      <w:start w:val="1"/>
      <w:numFmt w:val="bullet"/>
      <w:lvlText w:val=""/>
      <w:lvlJc w:val="left"/>
      <w:pPr>
        <w:ind w:left="5040" w:hanging="360"/>
      </w:pPr>
      <w:rPr>
        <w:rFonts w:ascii="Symbol" w:hAnsi="Symbol" w:hint="default"/>
      </w:rPr>
    </w:lvl>
    <w:lvl w:ilvl="7" w:tplc="69B48B6E" w:tentative="1">
      <w:start w:val="1"/>
      <w:numFmt w:val="bullet"/>
      <w:lvlText w:val="o"/>
      <w:lvlJc w:val="left"/>
      <w:pPr>
        <w:ind w:left="5760" w:hanging="360"/>
      </w:pPr>
      <w:rPr>
        <w:rFonts w:ascii="Courier New" w:hAnsi="Courier New" w:cs="Courier New" w:hint="default"/>
      </w:rPr>
    </w:lvl>
    <w:lvl w:ilvl="8" w:tplc="782EDE12" w:tentative="1">
      <w:start w:val="1"/>
      <w:numFmt w:val="bullet"/>
      <w:lvlText w:val=""/>
      <w:lvlJc w:val="left"/>
      <w:pPr>
        <w:ind w:left="6480" w:hanging="360"/>
      </w:pPr>
      <w:rPr>
        <w:rFonts w:ascii="Wingdings" w:hAnsi="Wingdings" w:hint="default"/>
      </w:rPr>
    </w:lvl>
  </w:abstractNum>
  <w:abstractNum w:abstractNumId="35" w15:restartNumberingAfterBreak="0">
    <w:nsid w:val="28034022"/>
    <w:multiLevelType w:val="multilevel"/>
    <w:tmpl w:val="4DF28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447FFC"/>
    <w:multiLevelType w:val="multilevel"/>
    <w:tmpl w:val="87147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D47E69"/>
    <w:multiLevelType w:val="multilevel"/>
    <w:tmpl w:val="D284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3518B5"/>
    <w:multiLevelType w:val="multilevel"/>
    <w:tmpl w:val="F8C6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8A5450"/>
    <w:multiLevelType w:val="hybridMultilevel"/>
    <w:tmpl w:val="A1106A8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0" w15:restartNumberingAfterBreak="0">
    <w:nsid w:val="2A4F5BF3"/>
    <w:multiLevelType w:val="hybridMultilevel"/>
    <w:tmpl w:val="475E5E9E"/>
    <w:lvl w:ilvl="0" w:tplc="ADECB08A">
      <w:start w:val="3"/>
      <w:numFmt w:val="decimal"/>
      <w:lvlText w:val="%1."/>
      <w:lvlJc w:val="left"/>
      <w:pPr>
        <w:ind w:left="720" w:hanging="360"/>
      </w:pPr>
      <w:rPr>
        <w:rFonts w:hint="default"/>
      </w:rPr>
    </w:lvl>
    <w:lvl w:ilvl="1" w:tplc="40BE248E" w:tentative="1">
      <w:start w:val="1"/>
      <w:numFmt w:val="lowerLetter"/>
      <w:lvlText w:val="%2."/>
      <w:lvlJc w:val="left"/>
      <w:pPr>
        <w:ind w:left="1440" w:hanging="360"/>
      </w:pPr>
    </w:lvl>
    <w:lvl w:ilvl="2" w:tplc="C66227BE" w:tentative="1">
      <w:start w:val="1"/>
      <w:numFmt w:val="lowerRoman"/>
      <w:lvlText w:val="%3."/>
      <w:lvlJc w:val="right"/>
      <w:pPr>
        <w:ind w:left="2160" w:hanging="180"/>
      </w:pPr>
    </w:lvl>
    <w:lvl w:ilvl="3" w:tplc="EDFC69AC" w:tentative="1">
      <w:start w:val="1"/>
      <w:numFmt w:val="decimal"/>
      <w:lvlText w:val="%4."/>
      <w:lvlJc w:val="left"/>
      <w:pPr>
        <w:ind w:left="2880" w:hanging="360"/>
      </w:pPr>
    </w:lvl>
    <w:lvl w:ilvl="4" w:tplc="85520B04" w:tentative="1">
      <w:start w:val="1"/>
      <w:numFmt w:val="lowerLetter"/>
      <w:lvlText w:val="%5."/>
      <w:lvlJc w:val="left"/>
      <w:pPr>
        <w:ind w:left="3600" w:hanging="360"/>
      </w:pPr>
    </w:lvl>
    <w:lvl w:ilvl="5" w:tplc="1B32C520" w:tentative="1">
      <w:start w:val="1"/>
      <w:numFmt w:val="lowerRoman"/>
      <w:lvlText w:val="%6."/>
      <w:lvlJc w:val="right"/>
      <w:pPr>
        <w:ind w:left="4320" w:hanging="180"/>
      </w:pPr>
    </w:lvl>
    <w:lvl w:ilvl="6" w:tplc="0ECACF58" w:tentative="1">
      <w:start w:val="1"/>
      <w:numFmt w:val="decimal"/>
      <w:lvlText w:val="%7."/>
      <w:lvlJc w:val="left"/>
      <w:pPr>
        <w:ind w:left="5040" w:hanging="360"/>
      </w:pPr>
    </w:lvl>
    <w:lvl w:ilvl="7" w:tplc="18DAA74A" w:tentative="1">
      <w:start w:val="1"/>
      <w:numFmt w:val="lowerLetter"/>
      <w:lvlText w:val="%8."/>
      <w:lvlJc w:val="left"/>
      <w:pPr>
        <w:ind w:left="5760" w:hanging="360"/>
      </w:pPr>
    </w:lvl>
    <w:lvl w:ilvl="8" w:tplc="3E768940" w:tentative="1">
      <w:start w:val="1"/>
      <w:numFmt w:val="lowerRoman"/>
      <w:lvlText w:val="%9."/>
      <w:lvlJc w:val="right"/>
      <w:pPr>
        <w:ind w:left="6480" w:hanging="180"/>
      </w:pPr>
    </w:lvl>
  </w:abstractNum>
  <w:abstractNum w:abstractNumId="41" w15:restartNumberingAfterBreak="0">
    <w:nsid w:val="2E3618A8"/>
    <w:multiLevelType w:val="hybridMultilevel"/>
    <w:tmpl w:val="22BA9ACC"/>
    <w:lvl w:ilvl="0" w:tplc="080A0015">
      <w:start w:val="1"/>
      <w:numFmt w:val="upp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F161732"/>
    <w:multiLevelType w:val="multilevel"/>
    <w:tmpl w:val="12A0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825C40"/>
    <w:multiLevelType w:val="multilevel"/>
    <w:tmpl w:val="7CB4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350D30"/>
    <w:multiLevelType w:val="hybridMultilevel"/>
    <w:tmpl w:val="3776F20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5" w15:restartNumberingAfterBreak="0">
    <w:nsid w:val="319A56F4"/>
    <w:multiLevelType w:val="hybridMultilevel"/>
    <w:tmpl w:val="FFFFFFFF"/>
    <w:lvl w:ilvl="0" w:tplc="05420220">
      <w:start w:val="1"/>
      <w:numFmt w:val="bullet"/>
      <w:lvlText w:val=""/>
      <w:lvlJc w:val="left"/>
      <w:pPr>
        <w:ind w:left="720" w:hanging="360"/>
      </w:pPr>
      <w:rPr>
        <w:rFonts w:ascii="Symbol" w:hAnsi="Symbol" w:hint="default"/>
      </w:rPr>
    </w:lvl>
    <w:lvl w:ilvl="1" w:tplc="CA3C1A40">
      <w:start w:val="1"/>
      <w:numFmt w:val="bullet"/>
      <w:lvlText w:val="o"/>
      <w:lvlJc w:val="left"/>
      <w:pPr>
        <w:ind w:left="1440" w:hanging="360"/>
      </w:pPr>
      <w:rPr>
        <w:rFonts w:ascii="Courier New" w:hAnsi="Courier New" w:hint="default"/>
      </w:rPr>
    </w:lvl>
    <w:lvl w:ilvl="2" w:tplc="7CE0403A">
      <w:start w:val="1"/>
      <w:numFmt w:val="bullet"/>
      <w:lvlText w:val=""/>
      <w:lvlJc w:val="left"/>
      <w:pPr>
        <w:ind w:left="2160" w:hanging="360"/>
      </w:pPr>
      <w:rPr>
        <w:rFonts w:ascii="Wingdings" w:hAnsi="Wingdings" w:hint="default"/>
      </w:rPr>
    </w:lvl>
    <w:lvl w:ilvl="3" w:tplc="704ECF0A">
      <w:start w:val="1"/>
      <w:numFmt w:val="bullet"/>
      <w:lvlText w:val=""/>
      <w:lvlJc w:val="left"/>
      <w:pPr>
        <w:ind w:left="2880" w:hanging="360"/>
      </w:pPr>
      <w:rPr>
        <w:rFonts w:ascii="Symbol" w:hAnsi="Symbol" w:hint="default"/>
      </w:rPr>
    </w:lvl>
    <w:lvl w:ilvl="4" w:tplc="39165180">
      <w:start w:val="1"/>
      <w:numFmt w:val="bullet"/>
      <w:lvlText w:val="o"/>
      <w:lvlJc w:val="left"/>
      <w:pPr>
        <w:ind w:left="3600" w:hanging="360"/>
      </w:pPr>
      <w:rPr>
        <w:rFonts w:ascii="Courier New" w:hAnsi="Courier New" w:hint="default"/>
      </w:rPr>
    </w:lvl>
    <w:lvl w:ilvl="5" w:tplc="0400E2DC">
      <w:start w:val="1"/>
      <w:numFmt w:val="bullet"/>
      <w:lvlText w:val=""/>
      <w:lvlJc w:val="left"/>
      <w:pPr>
        <w:ind w:left="4320" w:hanging="360"/>
      </w:pPr>
      <w:rPr>
        <w:rFonts w:ascii="Wingdings" w:hAnsi="Wingdings" w:hint="default"/>
      </w:rPr>
    </w:lvl>
    <w:lvl w:ilvl="6" w:tplc="A354564E">
      <w:start w:val="1"/>
      <w:numFmt w:val="bullet"/>
      <w:lvlText w:val=""/>
      <w:lvlJc w:val="left"/>
      <w:pPr>
        <w:ind w:left="5040" w:hanging="360"/>
      </w:pPr>
      <w:rPr>
        <w:rFonts w:ascii="Symbol" w:hAnsi="Symbol" w:hint="default"/>
      </w:rPr>
    </w:lvl>
    <w:lvl w:ilvl="7" w:tplc="7B8890DA">
      <w:start w:val="1"/>
      <w:numFmt w:val="bullet"/>
      <w:lvlText w:val="o"/>
      <w:lvlJc w:val="left"/>
      <w:pPr>
        <w:ind w:left="5760" w:hanging="360"/>
      </w:pPr>
      <w:rPr>
        <w:rFonts w:ascii="Courier New" w:hAnsi="Courier New" w:hint="default"/>
      </w:rPr>
    </w:lvl>
    <w:lvl w:ilvl="8" w:tplc="9E32945E">
      <w:start w:val="1"/>
      <w:numFmt w:val="bullet"/>
      <w:lvlText w:val=""/>
      <w:lvlJc w:val="left"/>
      <w:pPr>
        <w:ind w:left="6480" w:hanging="360"/>
      </w:pPr>
      <w:rPr>
        <w:rFonts w:ascii="Wingdings" w:hAnsi="Wingdings" w:hint="default"/>
      </w:rPr>
    </w:lvl>
  </w:abstractNum>
  <w:abstractNum w:abstractNumId="46" w15:restartNumberingAfterBreak="0">
    <w:nsid w:val="31CF21F3"/>
    <w:multiLevelType w:val="hybridMultilevel"/>
    <w:tmpl w:val="3C6C544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15:restartNumberingAfterBreak="0">
    <w:nsid w:val="31FF2F81"/>
    <w:multiLevelType w:val="hybridMultilevel"/>
    <w:tmpl w:val="65E6883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8" w15:restartNumberingAfterBreak="0">
    <w:nsid w:val="32104132"/>
    <w:multiLevelType w:val="multilevel"/>
    <w:tmpl w:val="993C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B773C4"/>
    <w:multiLevelType w:val="multilevel"/>
    <w:tmpl w:val="FC700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6871862"/>
    <w:multiLevelType w:val="multilevel"/>
    <w:tmpl w:val="5A38829E"/>
    <w:lvl w:ilvl="0">
      <w:start w:val="1"/>
      <w:numFmt w:val="decimal"/>
      <w:lvlText w:val="%1."/>
      <w:lvlJc w:val="left"/>
      <w:pPr>
        <w:ind w:left="720" w:hanging="360"/>
      </w:pPr>
      <w:rPr>
        <w:color w:val="00000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1" w15:restartNumberingAfterBreak="0">
    <w:nsid w:val="3710277A"/>
    <w:multiLevelType w:val="hybridMultilevel"/>
    <w:tmpl w:val="7C7C34D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2" w15:restartNumberingAfterBreak="0">
    <w:nsid w:val="37E75232"/>
    <w:multiLevelType w:val="multilevel"/>
    <w:tmpl w:val="FB20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86C57B8"/>
    <w:multiLevelType w:val="multilevel"/>
    <w:tmpl w:val="3550B3A4"/>
    <w:lvl w:ilvl="0">
      <w:start w:val="1"/>
      <w:numFmt w:val="decimal"/>
      <w:lvlText w:val="%1."/>
      <w:lvlJc w:val="left"/>
      <w:pPr>
        <w:tabs>
          <w:tab w:val="num" w:pos="360"/>
        </w:tabs>
        <w:ind w:left="360" w:hanging="360"/>
      </w:pPr>
      <w:rPr>
        <w:rFonts w:asciiTheme="minorHAnsi" w:eastAsia="SimSun" w:hAnsiTheme="minorHAnsi" w:cstheme="minorHAnsi"/>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38751490"/>
    <w:multiLevelType w:val="hybridMultilevel"/>
    <w:tmpl w:val="34D05B7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5" w15:restartNumberingAfterBreak="0">
    <w:nsid w:val="3A7903C2"/>
    <w:multiLevelType w:val="hybridMultilevel"/>
    <w:tmpl w:val="BF3A916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6" w15:restartNumberingAfterBreak="0">
    <w:nsid w:val="3A796A2F"/>
    <w:multiLevelType w:val="hybridMultilevel"/>
    <w:tmpl w:val="A8683DC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7" w15:restartNumberingAfterBreak="0">
    <w:nsid w:val="3AB451D6"/>
    <w:multiLevelType w:val="hybridMultilevel"/>
    <w:tmpl w:val="AA5C29C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8" w15:restartNumberingAfterBreak="0">
    <w:nsid w:val="3C3D1FBF"/>
    <w:multiLevelType w:val="hybridMultilevel"/>
    <w:tmpl w:val="4E4AD7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3C8C7D26"/>
    <w:multiLevelType w:val="multilevel"/>
    <w:tmpl w:val="00342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CBC3D52"/>
    <w:multiLevelType w:val="multilevel"/>
    <w:tmpl w:val="5D90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CDA3C5C"/>
    <w:multiLevelType w:val="hybridMultilevel"/>
    <w:tmpl w:val="D0FAC41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2" w15:restartNumberingAfterBreak="0">
    <w:nsid w:val="3D3B3A90"/>
    <w:multiLevelType w:val="hybridMultilevel"/>
    <w:tmpl w:val="C794FF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D8436C9"/>
    <w:multiLevelType w:val="multilevel"/>
    <w:tmpl w:val="EE980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E1E3705"/>
    <w:multiLevelType w:val="hybridMultilevel"/>
    <w:tmpl w:val="36E2CC08"/>
    <w:lvl w:ilvl="0" w:tplc="56C88D2C">
      <w:start w:val="1"/>
      <w:numFmt w:val="decimal"/>
      <w:lvlText w:val="%1."/>
      <w:lvlJc w:val="left"/>
      <w:pPr>
        <w:ind w:left="720" w:hanging="360"/>
      </w:pPr>
      <w:rPr>
        <w:rFonts w:hint="default"/>
      </w:rPr>
    </w:lvl>
    <w:lvl w:ilvl="1" w:tplc="489AD0BE" w:tentative="1">
      <w:start w:val="1"/>
      <w:numFmt w:val="lowerLetter"/>
      <w:lvlText w:val="%2."/>
      <w:lvlJc w:val="left"/>
      <w:pPr>
        <w:ind w:left="1440" w:hanging="360"/>
      </w:pPr>
    </w:lvl>
    <w:lvl w:ilvl="2" w:tplc="982E91BC" w:tentative="1">
      <w:start w:val="1"/>
      <w:numFmt w:val="lowerRoman"/>
      <w:lvlText w:val="%3."/>
      <w:lvlJc w:val="right"/>
      <w:pPr>
        <w:ind w:left="2160" w:hanging="180"/>
      </w:pPr>
    </w:lvl>
    <w:lvl w:ilvl="3" w:tplc="6B96E5B8" w:tentative="1">
      <w:start w:val="1"/>
      <w:numFmt w:val="decimal"/>
      <w:lvlText w:val="%4."/>
      <w:lvlJc w:val="left"/>
      <w:pPr>
        <w:ind w:left="2880" w:hanging="360"/>
      </w:pPr>
    </w:lvl>
    <w:lvl w:ilvl="4" w:tplc="5E1CB3A6" w:tentative="1">
      <w:start w:val="1"/>
      <w:numFmt w:val="lowerLetter"/>
      <w:lvlText w:val="%5."/>
      <w:lvlJc w:val="left"/>
      <w:pPr>
        <w:ind w:left="3600" w:hanging="360"/>
      </w:pPr>
    </w:lvl>
    <w:lvl w:ilvl="5" w:tplc="6358A06A" w:tentative="1">
      <w:start w:val="1"/>
      <w:numFmt w:val="lowerRoman"/>
      <w:lvlText w:val="%6."/>
      <w:lvlJc w:val="right"/>
      <w:pPr>
        <w:ind w:left="4320" w:hanging="180"/>
      </w:pPr>
    </w:lvl>
    <w:lvl w:ilvl="6" w:tplc="B454A3B0" w:tentative="1">
      <w:start w:val="1"/>
      <w:numFmt w:val="decimal"/>
      <w:lvlText w:val="%7."/>
      <w:lvlJc w:val="left"/>
      <w:pPr>
        <w:ind w:left="5040" w:hanging="360"/>
      </w:pPr>
    </w:lvl>
    <w:lvl w:ilvl="7" w:tplc="42FC08B6" w:tentative="1">
      <w:start w:val="1"/>
      <w:numFmt w:val="lowerLetter"/>
      <w:lvlText w:val="%8."/>
      <w:lvlJc w:val="left"/>
      <w:pPr>
        <w:ind w:left="5760" w:hanging="360"/>
      </w:pPr>
    </w:lvl>
    <w:lvl w:ilvl="8" w:tplc="AA3C42F4" w:tentative="1">
      <w:start w:val="1"/>
      <w:numFmt w:val="lowerRoman"/>
      <w:lvlText w:val="%9."/>
      <w:lvlJc w:val="right"/>
      <w:pPr>
        <w:ind w:left="6480" w:hanging="180"/>
      </w:pPr>
    </w:lvl>
  </w:abstractNum>
  <w:abstractNum w:abstractNumId="66" w15:restartNumberingAfterBreak="0">
    <w:nsid w:val="3F0A11EA"/>
    <w:multiLevelType w:val="hybridMultilevel"/>
    <w:tmpl w:val="C05AF81C"/>
    <w:lvl w:ilvl="0" w:tplc="E780DCCA">
      <w:start w:val="1"/>
      <w:numFmt w:val="bullet"/>
      <w:lvlText w:val=""/>
      <w:lvlJc w:val="left"/>
      <w:pPr>
        <w:ind w:left="720" w:hanging="360"/>
      </w:pPr>
      <w:rPr>
        <w:rFonts w:ascii="Symbol" w:hAnsi="Symbol" w:hint="default"/>
      </w:rPr>
    </w:lvl>
    <w:lvl w:ilvl="1" w:tplc="D9AC39B0" w:tentative="1">
      <w:start w:val="1"/>
      <w:numFmt w:val="bullet"/>
      <w:lvlText w:val="o"/>
      <w:lvlJc w:val="left"/>
      <w:pPr>
        <w:ind w:left="1440" w:hanging="360"/>
      </w:pPr>
      <w:rPr>
        <w:rFonts w:ascii="Courier New" w:hAnsi="Courier New" w:cs="Courier New" w:hint="default"/>
      </w:rPr>
    </w:lvl>
    <w:lvl w:ilvl="2" w:tplc="A13E604E" w:tentative="1">
      <w:start w:val="1"/>
      <w:numFmt w:val="bullet"/>
      <w:lvlText w:val=""/>
      <w:lvlJc w:val="left"/>
      <w:pPr>
        <w:ind w:left="2160" w:hanging="360"/>
      </w:pPr>
      <w:rPr>
        <w:rFonts w:ascii="Wingdings" w:hAnsi="Wingdings" w:hint="default"/>
      </w:rPr>
    </w:lvl>
    <w:lvl w:ilvl="3" w:tplc="00CABEDC" w:tentative="1">
      <w:start w:val="1"/>
      <w:numFmt w:val="bullet"/>
      <w:lvlText w:val=""/>
      <w:lvlJc w:val="left"/>
      <w:pPr>
        <w:ind w:left="2880" w:hanging="360"/>
      </w:pPr>
      <w:rPr>
        <w:rFonts w:ascii="Symbol" w:hAnsi="Symbol" w:hint="default"/>
      </w:rPr>
    </w:lvl>
    <w:lvl w:ilvl="4" w:tplc="9E8292BE" w:tentative="1">
      <w:start w:val="1"/>
      <w:numFmt w:val="bullet"/>
      <w:lvlText w:val="o"/>
      <w:lvlJc w:val="left"/>
      <w:pPr>
        <w:ind w:left="3600" w:hanging="360"/>
      </w:pPr>
      <w:rPr>
        <w:rFonts w:ascii="Courier New" w:hAnsi="Courier New" w:cs="Courier New" w:hint="default"/>
      </w:rPr>
    </w:lvl>
    <w:lvl w:ilvl="5" w:tplc="0BB8E166" w:tentative="1">
      <w:start w:val="1"/>
      <w:numFmt w:val="bullet"/>
      <w:lvlText w:val=""/>
      <w:lvlJc w:val="left"/>
      <w:pPr>
        <w:ind w:left="4320" w:hanging="360"/>
      </w:pPr>
      <w:rPr>
        <w:rFonts w:ascii="Wingdings" w:hAnsi="Wingdings" w:hint="default"/>
      </w:rPr>
    </w:lvl>
    <w:lvl w:ilvl="6" w:tplc="8E1099AC" w:tentative="1">
      <w:start w:val="1"/>
      <w:numFmt w:val="bullet"/>
      <w:lvlText w:val=""/>
      <w:lvlJc w:val="left"/>
      <w:pPr>
        <w:ind w:left="5040" w:hanging="360"/>
      </w:pPr>
      <w:rPr>
        <w:rFonts w:ascii="Symbol" w:hAnsi="Symbol" w:hint="default"/>
      </w:rPr>
    </w:lvl>
    <w:lvl w:ilvl="7" w:tplc="DA022AF4" w:tentative="1">
      <w:start w:val="1"/>
      <w:numFmt w:val="bullet"/>
      <w:lvlText w:val="o"/>
      <w:lvlJc w:val="left"/>
      <w:pPr>
        <w:ind w:left="5760" w:hanging="360"/>
      </w:pPr>
      <w:rPr>
        <w:rFonts w:ascii="Courier New" w:hAnsi="Courier New" w:cs="Courier New" w:hint="default"/>
      </w:rPr>
    </w:lvl>
    <w:lvl w:ilvl="8" w:tplc="5D6EC0C8" w:tentative="1">
      <w:start w:val="1"/>
      <w:numFmt w:val="bullet"/>
      <w:lvlText w:val=""/>
      <w:lvlJc w:val="left"/>
      <w:pPr>
        <w:ind w:left="6480" w:hanging="360"/>
      </w:pPr>
      <w:rPr>
        <w:rFonts w:ascii="Wingdings" w:hAnsi="Wingdings" w:hint="default"/>
      </w:rPr>
    </w:lvl>
  </w:abstractNum>
  <w:abstractNum w:abstractNumId="67" w15:restartNumberingAfterBreak="0">
    <w:nsid w:val="3F915341"/>
    <w:multiLevelType w:val="multilevel"/>
    <w:tmpl w:val="534293F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68" w15:restartNumberingAfterBreak="0">
    <w:nsid w:val="400F2DD4"/>
    <w:multiLevelType w:val="hybridMultilevel"/>
    <w:tmpl w:val="A1DE6FB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9" w15:restartNumberingAfterBreak="0">
    <w:nsid w:val="404A13C9"/>
    <w:multiLevelType w:val="hybridMultilevel"/>
    <w:tmpl w:val="50541B6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0" w15:restartNumberingAfterBreak="0">
    <w:nsid w:val="40AD65A3"/>
    <w:multiLevelType w:val="hybridMultilevel"/>
    <w:tmpl w:val="FFD899A6"/>
    <w:lvl w:ilvl="0" w:tplc="055C18F8">
      <w:start w:val="1"/>
      <w:numFmt w:val="decimal"/>
      <w:pStyle w:val="Estilo5"/>
      <w:lvlText w:val="%1."/>
      <w:lvlJc w:val="left"/>
      <w:pPr>
        <w:ind w:left="720" w:hanging="360"/>
      </w:pPr>
      <w:rPr>
        <w:rFonts w:hint="default"/>
      </w:rPr>
    </w:lvl>
    <w:lvl w:ilvl="1" w:tplc="F9561974" w:tentative="1">
      <w:start w:val="1"/>
      <w:numFmt w:val="lowerLetter"/>
      <w:lvlText w:val="%2."/>
      <w:lvlJc w:val="left"/>
      <w:pPr>
        <w:ind w:left="1440" w:hanging="360"/>
      </w:pPr>
    </w:lvl>
    <w:lvl w:ilvl="2" w:tplc="CFBE697A" w:tentative="1">
      <w:start w:val="1"/>
      <w:numFmt w:val="lowerRoman"/>
      <w:lvlText w:val="%3."/>
      <w:lvlJc w:val="right"/>
      <w:pPr>
        <w:ind w:left="2160" w:hanging="180"/>
      </w:pPr>
    </w:lvl>
    <w:lvl w:ilvl="3" w:tplc="F5B6CB4C" w:tentative="1">
      <w:start w:val="1"/>
      <w:numFmt w:val="decimal"/>
      <w:lvlText w:val="%4."/>
      <w:lvlJc w:val="left"/>
      <w:pPr>
        <w:ind w:left="2880" w:hanging="360"/>
      </w:pPr>
    </w:lvl>
    <w:lvl w:ilvl="4" w:tplc="B498A082" w:tentative="1">
      <w:start w:val="1"/>
      <w:numFmt w:val="lowerLetter"/>
      <w:lvlText w:val="%5."/>
      <w:lvlJc w:val="left"/>
      <w:pPr>
        <w:ind w:left="3600" w:hanging="360"/>
      </w:pPr>
    </w:lvl>
    <w:lvl w:ilvl="5" w:tplc="0BAC015C" w:tentative="1">
      <w:start w:val="1"/>
      <w:numFmt w:val="lowerRoman"/>
      <w:lvlText w:val="%6."/>
      <w:lvlJc w:val="right"/>
      <w:pPr>
        <w:ind w:left="4320" w:hanging="180"/>
      </w:pPr>
    </w:lvl>
    <w:lvl w:ilvl="6" w:tplc="82E0309E" w:tentative="1">
      <w:start w:val="1"/>
      <w:numFmt w:val="decimal"/>
      <w:lvlText w:val="%7."/>
      <w:lvlJc w:val="left"/>
      <w:pPr>
        <w:ind w:left="5040" w:hanging="360"/>
      </w:pPr>
    </w:lvl>
    <w:lvl w:ilvl="7" w:tplc="AB0EC6F6" w:tentative="1">
      <w:start w:val="1"/>
      <w:numFmt w:val="lowerLetter"/>
      <w:lvlText w:val="%8."/>
      <w:lvlJc w:val="left"/>
      <w:pPr>
        <w:ind w:left="5760" w:hanging="360"/>
      </w:pPr>
    </w:lvl>
    <w:lvl w:ilvl="8" w:tplc="756887F2" w:tentative="1">
      <w:start w:val="1"/>
      <w:numFmt w:val="lowerRoman"/>
      <w:lvlText w:val="%9."/>
      <w:lvlJc w:val="right"/>
      <w:pPr>
        <w:ind w:left="6480" w:hanging="180"/>
      </w:pPr>
    </w:lvl>
  </w:abstractNum>
  <w:abstractNum w:abstractNumId="71" w15:restartNumberingAfterBreak="0">
    <w:nsid w:val="428C39CA"/>
    <w:multiLevelType w:val="hybridMultilevel"/>
    <w:tmpl w:val="BFF83FF6"/>
    <w:lvl w:ilvl="0" w:tplc="87FA1E4A">
      <w:start w:val="1"/>
      <w:numFmt w:val="lowerLetter"/>
      <w:lvlText w:val="(%1)"/>
      <w:lvlJc w:val="left"/>
      <w:pPr>
        <w:ind w:left="720" w:hanging="360"/>
      </w:pPr>
      <w:rPr>
        <w:rFonts w:hint="default"/>
      </w:rPr>
    </w:lvl>
    <w:lvl w:ilvl="1" w:tplc="B4468710">
      <w:start w:val="1"/>
      <w:numFmt w:val="decimal"/>
      <w:lvlText w:val="%2)"/>
      <w:lvlJc w:val="left"/>
      <w:pPr>
        <w:ind w:left="1440" w:hanging="360"/>
      </w:pPr>
      <w:rPr>
        <w:rFonts w:hint="default"/>
      </w:rPr>
    </w:lvl>
    <w:lvl w:ilvl="2" w:tplc="15025620">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5A75653"/>
    <w:multiLevelType w:val="hybridMultilevel"/>
    <w:tmpl w:val="DA2EB09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3" w15:restartNumberingAfterBreak="0">
    <w:nsid w:val="468E761A"/>
    <w:multiLevelType w:val="hybridMultilevel"/>
    <w:tmpl w:val="46640064"/>
    <w:lvl w:ilvl="0" w:tplc="A776D39E">
      <w:start w:val="1"/>
      <w:numFmt w:val="lowerLetter"/>
      <w:lvlText w:val="%1)"/>
      <w:lvlJc w:val="left"/>
      <w:pPr>
        <w:ind w:left="1440" w:hanging="360"/>
      </w:pPr>
      <w:rPr>
        <w:rFonts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48B33827"/>
    <w:multiLevelType w:val="hybridMultilevel"/>
    <w:tmpl w:val="31FCF436"/>
    <w:lvl w:ilvl="0" w:tplc="7482385E">
      <w:start w:val="1"/>
      <w:numFmt w:val="decimal"/>
      <w:pStyle w:val="SESPbodynumbered"/>
      <w:lvlText w:val="%1."/>
      <w:lvlJc w:val="left"/>
      <w:pPr>
        <w:ind w:left="720" w:hanging="360"/>
      </w:pPr>
      <w:rPr>
        <w:lang w:val="es-CL"/>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9404EEB"/>
    <w:multiLevelType w:val="hybridMultilevel"/>
    <w:tmpl w:val="B6C064E0"/>
    <w:lvl w:ilvl="0" w:tplc="397E1DC6">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49865D4B"/>
    <w:multiLevelType w:val="hybridMultilevel"/>
    <w:tmpl w:val="AEC0A0A8"/>
    <w:lvl w:ilvl="0" w:tplc="0C66ED84">
      <w:start w:val="1"/>
      <w:numFmt w:val="bullet"/>
      <w:lvlText w:val=""/>
      <w:lvlJc w:val="left"/>
      <w:pPr>
        <w:ind w:left="720" w:hanging="360"/>
      </w:pPr>
      <w:rPr>
        <w:rFonts w:ascii="Symbol" w:hAnsi="Symbol" w:hint="default"/>
      </w:rPr>
    </w:lvl>
    <w:lvl w:ilvl="1" w:tplc="6770C70A" w:tentative="1">
      <w:start w:val="1"/>
      <w:numFmt w:val="bullet"/>
      <w:lvlText w:val="o"/>
      <w:lvlJc w:val="left"/>
      <w:pPr>
        <w:ind w:left="1440" w:hanging="360"/>
      </w:pPr>
      <w:rPr>
        <w:rFonts w:ascii="Courier New" w:hAnsi="Courier New" w:cs="Courier New" w:hint="default"/>
      </w:rPr>
    </w:lvl>
    <w:lvl w:ilvl="2" w:tplc="43DA6814" w:tentative="1">
      <w:start w:val="1"/>
      <w:numFmt w:val="bullet"/>
      <w:lvlText w:val=""/>
      <w:lvlJc w:val="left"/>
      <w:pPr>
        <w:ind w:left="2160" w:hanging="360"/>
      </w:pPr>
      <w:rPr>
        <w:rFonts w:ascii="Wingdings" w:hAnsi="Wingdings" w:hint="default"/>
      </w:rPr>
    </w:lvl>
    <w:lvl w:ilvl="3" w:tplc="549A2B1C" w:tentative="1">
      <w:start w:val="1"/>
      <w:numFmt w:val="bullet"/>
      <w:lvlText w:val=""/>
      <w:lvlJc w:val="left"/>
      <w:pPr>
        <w:ind w:left="2880" w:hanging="360"/>
      </w:pPr>
      <w:rPr>
        <w:rFonts w:ascii="Symbol" w:hAnsi="Symbol" w:hint="default"/>
      </w:rPr>
    </w:lvl>
    <w:lvl w:ilvl="4" w:tplc="2850D334" w:tentative="1">
      <w:start w:val="1"/>
      <w:numFmt w:val="bullet"/>
      <w:lvlText w:val="o"/>
      <w:lvlJc w:val="left"/>
      <w:pPr>
        <w:ind w:left="3600" w:hanging="360"/>
      </w:pPr>
      <w:rPr>
        <w:rFonts w:ascii="Courier New" w:hAnsi="Courier New" w:cs="Courier New" w:hint="default"/>
      </w:rPr>
    </w:lvl>
    <w:lvl w:ilvl="5" w:tplc="F1DAD312" w:tentative="1">
      <w:start w:val="1"/>
      <w:numFmt w:val="bullet"/>
      <w:lvlText w:val=""/>
      <w:lvlJc w:val="left"/>
      <w:pPr>
        <w:ind w:left="4320" w:hanging="360"/>
      </w:pPr>
      <w:rPr>
        <w:rFonts w:ascii="Wingdings" w:hAnsi="Wingdings" w:hint="default"/>
      </w:rPr>
    </w:lvl>
    <w:lvl w:ilvl="6" w:tplc="0F14B28C" w:tentative="1">
      <w:start w:val="1"/>
      <w:numFmt w:val="bullet"/>
      <w:lvlText w:val=""/>
      <w:lvlJc w:val="left"/>
      <w:pPr>
        <w:ind w:left="5040" w:hanging="360"/>
      </w:pPr>
      <w:rPr>
        <w:rFonts w:ascii="Symbol" w:hAnsi="Symbol" w:hint="default"/>
      </w:rPr>
    </w:lvl>
    <w:lvl w:ilvl="7" w:tplc="4A0E925E" w:tentative="1">
      <w:start w:val="1"/>
      <w:numFmt w:val="bullet"/>
      <w:lvlText w:val="o"/>
      <w:lvlJc w:val="left"/>
      <w:pPr>
        <w:ind w:left="5760" w:hanging="360"/>
      </w:pPr>
      <w:rPr>
        <w:rFonts w:ascii="Courier New" w:hAnsi="Courier New" w:cs="Courier New" w:hint="default"/>
      </w:rPr>
    </w:lvl>
    <w:lvl w:ilvl="8" w:tplc="A4C0E1A4" w:tentative="1">
      <w:start w:val="1"/>
      <w:numFmt w:val="bullet"/>
      <w:lvlText w:val=""/>
      <w:lvlJc w:val="left"/>
      <w:pPr>
        <w:ind w:left="6480" w:hanging="360"/>
      </w:pPr>
      <w:rPr>
        <w:rFonts w:ascii="Wingdings" w:hAnsi="Wingdings" w:hint="default"/>
      </w:rPr>
    </w:lvl>
  </w:abstractNum>
  <w:abstractNum w:abstractNumId="77" w15:restartNumberingAfterBreak="0">
    <w:nsid w:val="50064F6B"/>
    <w:multiLevelType w:val="multilevel"/>
    <w:tmpl w:val="E83A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111358B"/>
    <w:multiLevelType w:val="hybridMultilevel"/>
    <w:tmpl w:val="A6AA4D2A"/>
    <w:lvl w:ilvl="0" w:tplc="FD683674">
      <w:start w:val="1"/>
      <w:numFmt w:val="bullet"/>
      <w:lvlText w:val=""/>
      <w:lvlJc w:val="left"/>
      <w:pPr>
        <w:ind w:left="720" w:hanging="360"/>
      </w:pPr>
      <w:rPr>
        <w:rFonts w:ascii="Symbol" w:hAnsi="Symbol" w:hint="default"/>
      </w:rPr>
    </w:lvl>
    <w:lvl w:ilvl="1" w:tplc="56C08686" w:tentative="1">
      <w:start w:val="1"/>
      <w:numFmt w:val="bullet"/>
      <w:lvlText w:val="o"/>
      <w:lvlJc w:val="left"/>
      <w:pPr>
        <w:ind w:left="1440" w:hanging="360"/>
      </w:pPr>
      <w:rPr>
        <w:rFonts w:ascii="Courier New" w:hAnsi="Courier New" w:cs="Courier New" w:hint="default"/>
      </w:rPr>
    </w:lvl>
    <w:lvl w:ilvl="2" w:tplc="5A549B6A" w:tentative="1">
      <w:start w:val="1"/>
      <w:numFmt w:val="bullet"/>
      <w:lvlText w:val=""/>
      <w:lvlJc w:val="left"/>
      <w:pPr>
        <w:ind w:left="2160" w:hanging="360"/>
      </w:pPr>
      <w:rPr>
        <w:rFonts w:ascii="Wingdings" w:hAnsi="Wingdings" w:hint="default"/>
      </w:rPr>
    </w:lvl>
    <w:lvl w:ilvl="3" w:tplc="C2B4033E" w:tentative="1">
      <w:start w:val="1"/>
      <w:numFmt w:val="bullet"/>
      <w:lvlText w:val=""/>
      <w:lvlJc w:val="left"/>
      <w:pPr>
        <w:ind w:left="2880" w:hanging="360"/>
      </w:pPr>
      <w:rPr>
        <w:rFonts w:ascii="Symbol" w:hAnsi="Symbol" w:hint="default"/>
      </w:rPr>
    </w:lvl>
    <w:lvl w:ilvl="4" w:tplc="A9EA1314" w:tentative="1">
      <w:start w:val="1"/>
      <w:numFmt w:val="bullet"/>
      <w:lvlText w:val="o"/>
      <w:lvlJc w:val="left"/>
      <w:pPr>
        <w:ind w:left="3600" w:hanging="360"/>
      </w:pPr>
      <w:rPr>
        <w:rFonts w:ascii="Courier New" w:hAnsi="Courier New" w:cs="Courier New" w:hint="default"/>
      </w:rPr>
    </w:lvl>
    <w:lvl w:ilvl="5" w:tplc="2EE45048" w:tentative="1">
      <w:start w:val="1"/>
      <w:numFmt w:val="bullet"/>
      <w:lvlText w:val=""/>
      <w:lvlJc w:val="left"/>
      <w:pPr>
        <w:ind w:left="4320" w:hanging="360"/>
      </w:pPr>
      <w:rPr>
        <w:rFonts w:ascii="Wingdings" w:hAnsi="Wingdings" w:hint="default"/>
      </w:rPr>
    </w:lvl>
    <w:lvl w:ilvl="6" w:tplc="65A000BE" w:tentative="1">
      <w:start w:val="1"/>
      <w:numFmt w:val="bullet"/>
      <w:lvlText w:val=""/>
      <w:lvlJc w:val="left"/>
      <w:pPr>
        <w:ind w:left="5040" w:hanging="360"/>
      </w:pPr>
      <w:rPr>
        <w:rFonts w:ascii="Symbol" w:hAnsi="Symbol" w:hint="default"/>
      </w:rPr>
    </w:lvl>
    <w:lvl w:ilvl="7" w:tplc="EEA4B432" w:tentative="1">
      <w:start w:val="1"/>
      <w:numFmt w:val="bullet"/>
      <w:lvlText w:val="o"/>
      <w:lvlJc w:val="left"/>
      <w:pPr>
        <w:ind w:left="5760" w:hanging="360"/>
      </w:pPr>
      <w:rPr>
        <w:rFonts w:ascii="Courier New" w:hAnsi="Courier New" w:cs="Courier New" w:hint="default"/>
      </w:rPr>
    </w:lvl>
    <w:lvl w:ilvl="8" w:tplc="7A10258C" w:tentative="1">
      <w:start w:val="1"/>
      <w:numFmt w:val="bullet"/>
      <w:lvlText w:val=""/>
      <w:lvlJc w:val="left"/>
      <w:pPr>
        <w:ind w:left="6480" w:hanging="360"/>
      </w:pPr>
      <w:rPr>
        <w:rFonts w:ascii="Wingdings" w:hAnsi="Wingdings" w:hint="default"/>
      </w:rPr>
    </w:lvl>
  </w:abstractNum>
  <w:abstractNum w:abstractNumId="79" w15:restartNumberingAfterBreak="0">
    <w:nsid w:val="517B1886"/>
    <w:multiLevelType w:val="multilevel"/>
    <w:tmpl w:val="2A5A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4382992"/>
    <w:multiLevelType w:val="hybridMultilevel"/>
    <w:tmpl w:val="04F44AB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1" w15:restartNumberingAfterBreak="0">
    <w:nsid w:val="56F06E53"/>
    <w:multiLevelType w:val="hybridMultilevel"/>
    <w:tmpl w:val="69BE114A"/>
    <w:lvl w:ilvl="0" w:tplc="D01C663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7CA1CA6"/>
    <w:multiLevelType w:val="hybridMultilevel"/>
    <w:tmpl w:val="9B20811C"/>
    <w:lvl w:ilvl="0" w:tplc="7E96DB9E">
      <w:start w:val="1"/>
      <w:numFmt w:val="bullet"/>
      <w:lvlText w:val=""/>
      <w:lvlJc w:val="left"/>
      <w:pPr>
        <w:ind w:left="720" w:hanging="360"/>
      </w:pPr>
      <w:rPr>
        <w:rFonts w:ascii="Symbol" w:hAnsi="Symbol" w:hint="default"/>
      </w:rPr>
    </w:lvl>
    <w:lvl w:ilvl="1" w:tplc="CFB29F88" w:tentative="1">
      <w:start w:val="1"/>
      <w:numFmt w:val="bullet"/>
      <w:lvlText w:val="o"/>
      <w:lvlJc w:val="left"/>
      <w:pPr>
        <w:ind w:left="1440" w:hanging="360"/>
      </w:pPr>
      <w:rPr>
        <w:rFonts w:ascii="Courier New" w:hAnsi="Courier New" w:cs="Courier New" w:hint="default"/>
      </w:rPr>
    </w:lvl>
    <w:lvl w:ilvl="2" w:tplc="C34A61B0" w:tentative="1">
      <w:start w:val="1"/>
      <w:numFmt w:val="bullet"/>
      <w:lvlText w:val=""/>
      <w:lvlJc w:val="left"/>
      <w:pPr>
        <w:ind w:left="2160" w:hanging="360"/>
      </w:pPr>
      <w:rPr>
        <w:rFonts w:ascii="Wingdings" w:hAnsi="Wingdings" w:hint="default"/>
      </w:rPr>
    </w:lvl>
    <w:lvl w:ilvl="3" w:tplc="FD46FC8C" w:tentative="1">
      <w:start w:val="1"/>
      <w:numFmt w:val="bullet"/>
      <w:lvlText w:val=""/>
      <w:lvlJc w:val="left"/>
      <w:pPr>
        <w:ind w:left="2880" w:hanging="360"/>
      </w:pPr>
      <w:rPr>
        <w:rFonts w:ascii="Symbol" w:hAnsi="Symbol" w:hint="default"/>
      </w:rPr>
    </w:lvl>
    <w:lvl w:ilvl="4" w:tplc="4AAAED60" w:tentative="1">
      <w:start w:val="1"/>
      <w:numFmt w:val="bullet"/>
      <w:lvlText w:val="o"/>
      <w:lvlJc w:val="left"/>
      <w:pPr>
        <w:ind w:left="3600" w:hanging="360"/>
      </w:pPr>
      <w:rPr>
        <w:rFonts w:ascii="Courier New" w:hAnsi="Courier New" w:cs="Courier New" w:hint="default"/>
      </w:rPr>
    </w:lvl>
    <w:lvl w:ilvl="5" w:tplc="0E24D608" w:tentative="1">
      <w:start w:val="1"/>
      <w:numFmt w:val="bullet"/>
      <w:lvlText w:val=""/>
      <w:lvlJc w:val="left"/>
      <w:pPr>
        <w:ind w:left="4320" w:hanging="360"/>
      </w:pPr>
      <w:rPr>
        <w:rFonts w:ascii="Wingdings" w:hAnsi="Wingdings" w:hint="default"/>
      </w:rPr>
    </w:lvl>
    <w:lvl w:ilvl="6" w:tplc="7AC8DD74" w:tentative="1">
      <w:start w:val="1"/>
      <w:numFmt w:val="bullet"/>
      <w:lvlText w:val=""/>
      <w:lvlJc w:val="left"/>
      <w:pPr>
        <w:ind w:left="5040" w:hanging="360"/>
      </w:pPr>
      <w:rPr>
        <w:rFonts w:ascii="Symbol" w:hAnsi="Symbol" w:hint="default"/>
      </w:rPr>
    </w:lvl>
    <w:lvl w:ilvl="7" w:tplc="45623DB8" w:tentative="1">
      <w:start w:val="1"/>
      <w:numFmt w:val="bullet"/>
      <w:lvlText w:val="o"/>
      <w:lvlJc w:val="left"/>
      <w:pPr>
        <w:ind w:left="5760" w:hanging="360"/>
      </w:pPr>
      <w:rPr>
        <w:rFonts w:ascii="Courier New" w:hAnsi="Courier New" w:cs="Courier New" w:hint="default"/>
      </w:rPr>
    </w:lvl>
    <w:lvl w:ilvl="8" w:tplc="0B7C02FC" w:tentative="1">
      <w:start w:val="1"/>
      <w:numFmt w:val="bullet"/>
      <w:lvlText w:val=""/>
      <w:lvlJc w:val="left"/>
      <w:pPr>
        <w:ind w:left="6480" w:hanging="360"/>
      </w:pPr>
      <w:rPr>
        <w:rFonts w:ascii="Wingdings" w:hAnsi="Wingdings" w:hint="default"/>
      </w:rPr>
    </w:lvl>
  </w:abstractNum>
  <w:abstractNum w:abstractNumId="83" w15:restartNumberingAfterBreak="0">
    <w:nsid w:val="57ED6D94"/>
    <w:multiLevelType w:val="multilevel"/>
    <w:tmpl w:val="43C2BE5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4" w15:restartNumberingAfterBreak="0">
    <w:nsid w:val="5B807624"/>
    <w:multiLevelType w:val="multilevel"/>
    <w:tmpl w:val="3E48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BA47CB3"/>
    <w:multiLevelType w:val="hybridMultilevel"/>
    <w:tmpl w:val="775A436C"/>
    <w:lvl w:ilvl="0" w:tplc="080A0011">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6" w15:restartNumberingAfterBreak="0">
    <w:nsid w:val="5C2B1F47"/>
    <w:multiLevelType w:val="hybridMultilevel"/>
    <w:tmpl w:val="33D62686"/>
    <w:lvl w:ilvl="0" w:tplc="B62A1316">
      <w:start w:val="1"/>
      <w:numFmt w:val="bullet"/>
      <w:lvlText w:val=""/>
      <w:lvlJc w:val="left"/>
      <w:pPr>
        <w:ind w:left="720" w:hanging="360"/>
      </w:pPr>
      <w:rPr>
        <w:rFonts w:ascii="Symbol" w:hAnsi="Symbol" w:hint="default"/>
      </w:rPr>
    </w:lvl>
    <w:lvl w:ilvl="1" w:tplc="ACD4EDAC" w:tentative="1">
      <w:start w:val="1"/>
      <w:numFmt w:val="bullet"/>
      <w:lvlText w:val="o"/>
      <w:lvlJc w:val="left"/>
      <w:pPr>
        <w:ind w:left="1440" w:hanging="360"/>
      </w:pPr>
      <w:rPr>
        <w:rFonts w:ascii="Courier New" w:hAnsi="Courier New" w:cs="Courier New" w:hint="default"/>
      </w:rPr>
    </w:lvl>
    <w:lvl w:ilvl="2" w:tplc="7A94EE66" w:tentative="1">
      <w:start w:val="1"/>
      <w:numFmt w:val="bullet"/>
      <w:lvlText w:val=""/>
      <w:lvlJc w:val="left"/>
      <w:pPr>
        <w:ind w:left="2160" w:hanging="360"/>
      </w:pPr>
      <w:rPr>
        <w:rFonts w:ascii="Wingdings" w:hAnsi="Wingdings" w:hint="default"/>
      </w:rPr>
    </w:lvl>
    <w:lvl w:ilvl="3" w:tplc="86E8F78C" w:tentative="1">
      <w:start w:val="1"/>
      <w:numFmt w:val="bullet"/>
      <w:lvlText w:val=""/>
      <w:lvlJc w:val="left"/>
      <w:pPr>
        <w:ind w:left="2880" w:hanging="360"/>
      </w:pPr>
      <w:rPr>
        <w:rFonts w:ascii="Symbol" w:hAnsi="Symbol" w:hint="default"/>
      </w:rPr>
    </w:lvl>
    <w:lvl w:ilvl="4" w:tplc="4ED80790" w:tentative="1">
      <w:start w:val="1"/>
      <w:numFmt w:val="bullet"/>
      <w:lvlText w:val="o"/>
      <w:lvlJc w:val="left"/>
      <w:pPr>
        <w:ind w:left="3600" w:hanging="360"/>
      </w:pPr>
      <w:rPr>
        <w:rFonts w:ascii="Courier New" w:hAnsi="Courier New" w:cs="Courier New" w:hint="default"/>
      </w:rPr>
    </w:lvl>
    <w:lvl w:ilvl="5" w:tplc="61F45CE4" w:tentative="1">
      <w:start w:val="1"/>
      <w:numFmt w:val="bullet"/>
      <w:lvlText w:val=""/>
      <w:lvlJc w:val="left"/>
      <w:pPr>
        <w:ind w:left="4320" w:hanging="360"/>
      </w:pPr>
      <w:rPr>
        <w:rFonts w:ascii="Wingdings" w:hAnsi="Wingdings" w:hint="default"/>
      </w:rPr>
    </w:lvl>
    <w:lvl w:ilvl="6" w:tplc="1A6853EE" w:tentative="1">
      <w:start w:val="1"/>
      <w:numFmt w:val="bullet"/>
      <w:lvlText w:val=""/>
      <w:lvlJc w:val="left"/>
      <w:pPr>
        <w:ind w:left="5040" w:hanging="360"/>
      </w:pPr>
      <w:rPr>
        <w:rFonts w:ascii="Symbol" w:hAnsi="Symbol" w:hint="default"/>
      </w:rPr>
    </w:lvl>
    <w:lvl w:ilvl="7" w:tplc="44A61594" w:tentative="1">
      <w:start w:val="1"/>
      <w:numFmt w:val="bullet"/>
      <w:lvlText w:val="o"/>
      <w:lvlJc w:val="left"/>
      <w:pPr>
        <w:ind w:left="5760" w:hanging="360"/>
      </w:pPr>
      <w:rPr>
        <w:rFonts w:ascii="Courier New" w:hAnsi="Courier New" w:cs="Courier New" w:hint="default"/>
      </w:rPr>
    </w:lvl>
    <w:lvl w:ilvl="8" w:tplc="2A6A804C" w:tentative="1">
      <w:start w:val="1"/>
      <w:numFmt w:val="bullet"/>
      <w:lvlText w:val=""/>
      <w:lvlJc w:val="left"/>
      <w:pPr>
        <w:ind w:left="6480" w:hanging="360"/>
      </w:pPr>
      <w:rPr>
        <w:rFonts w:ascii="Wingdings" w:hAnsi="Wingdings" w:hint="default"/>
      </w:rPr>
    </w:lvl>
  </w:abstractNum>
  <w:abstractNum w:abstractNumId="87" w15:restartNumberingAfterBreak="0">
    <w:nsid w:val="5C7E0EF9"/>
    <w:multiLevelType w:val="multilevel"/>
    <w:tmpl w:val="53A07BFC"/>
    <w:lvl w:ilvl="0">
      <w:start w:val="1"/>
      <w:numFmt w:val="decimal"/>
      <w:lvlText w:val="%1."/>
      <w:lvlJc w:val="left"/>
      <w:pPr>
        <w:ind w:left="720" w:hanging="360"/>
      </w:pPr>
      <w:rPr>
        <w:rFonts w:ascii="Calibri" w:eastAsia="Calibri" w:hAnsi="Calibri" w:cs="Calibri"/>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DB831F8"/>
    <w:multiLevelType w:val="hybridMultilevel"/>
    <w:tmpl w:val="7564DE7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9" w15:restartNumberingAfterBreak="0">
    <w:nsid w:val="5FC726CA"/>
    <w:multiLevelType w:val="hybridMultilevel"/>
    <w:tmpl w:val="74B0FF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0542F5E"/>
    <w:multiLevelType w:val="multilevel"/>
    <w:tmpl w:val="B73A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0544878"/>
    <w:multiLevelType w:val="hybridMultilevel"/>
    <w:tmpl w:val="C7B29CF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2" w15:restartNumberingAfterBreak="0">
    <w:nsid w:val="623B2E7C"/>
    <w:multiLevelType w:val="hybridMultilevel"/>
    <w:tmpl w:val="00E8031E"/>
    <w:lvl w:ilvl="0" w:tplc="C0028A5A">
      <w:start w:val="1"/>
      <w:numFmt w:val="bullet"/>
      <w:lvlText w:val=""/>
      <w:lvlJc w:val="left"/>
      <w:pPr>
        <w:ind w:left="720" w:hanging="360"/>
      </w:pPr>
      <w:rPr>
        <w:rFonts w:ascii="Symbol" w:hAnsi="Symbol" w:hint="default"/>
      </w:rPr>
    </w:lvl>
    <w:lvl w:ilvl="1" w:tplc="217873CE" w:tentative="1">
      <w:start w:val="1"/>
      <w:numFmt w:val="bullet"/>
      <w:lvlText w:val="o"/>
      <w:lvlJc w:val="left"/>
      <w:pPr>
        <w:ind w:left="1440" w:hanging="360"/>
      </w:pPr>
      <w:rPr>
        <w:rFonts w:ascii="Courier New" w:hAnsi="Courier New" w:cs="Courier New" w:hint="default"/>
      </w:rPr>
    </w:lvl>
    <w:lvl w:ilvl="2" w:tplc="3CFE3AA6" w:tentative="1">
      <w:start w:val="1"/>
      <w:numFmt w:val="bullet"/>
      <w:lvlText w:val=""/>
      <w:lvlJc w:val="left"/>
      <w:pPr>
        <w:ind w:left="2160" w:hanging="360"/>
      </w:pPr>
      <w:rPr>
        <w:rFonts w:ascii="Wingdings" w:hAnsi="Wingdings" w:hint="default"/>
      </w:rPr>
    </w:lvl>
    <w:lvl w:ilvl="3" w:tplc="51FCC086" w:tentative="1">
      <w:start w:val="1"/>
      <w:numFmt w:val="bullet"/>
      <w:lvlText w:val=""/>
      <w:lvlJc w:val="left"/>
      <w:pPr>
        <w:ind w:left="2880" w:hanging="360"/>
      </w:pPr>
      <w:rPr>
        <w:rFonts w:ascii="Symbol" w:hAnsi="Symbol" w:hint="default"/>
      </w:rPr>
    </w:lvl>
    <w:lvl w:ilvl="4" w:tplc="7B782BB4" w:tentative="1">
      <w:start w:val="1"/>
      <w:numFmt w:val="bullet"/>
      <w:lvlText w:val="o"/>
      <w:lvlJc w:val="left"/>
      <w:pPr>
        <w:ind w:left="3600" w:hanging="360"/>
      </w:pPr>
      <w:rPr>
        <w:rFonts w:ascii="Courier New" w:hAnsi="Courier New" w:cs="Courier New" w:hint="default"/>
      </w:rPr>
    </w:lvl>
    <w:lvl w:ilvl="5" w:tplc="F83843AC" w:tentative="1">
      <w:start w:val="1"/>
      <w:numFmt w:val="bullet"/>
      <w:lvlText w:val=""/>
      <w:lvlJc w:val="left"/>
      <w:pPr>
        <w:ind w:left="4320" w:hanging="360"/>
      </w:pPr>
      <w:rPr>
        <w:rFonts w:ascii="Wingdings" w:hAnsi="Wingdings" w:hint="default"/>
      </w:rPr>
    </w:lvl>
    <w:lvl w:ilvl="6" w:tplc="9AECBDF2" w:tentative="1">
      <w:start w:val="1"/>
      <w:numFmt w:val="bullet"/>
      <w:lvlText w:val=""/>
      <w:lvlJc w:val="left"/>
      <w:pPr>
        <w:ind w:left="5040" w:hanging="360"/>
      </w:pPr>
      <w:rPr>
        <w:rFonts w:ascii="Symbol" w:hAnsi="Symbol" w:hint="default"/>
      </w:rPr>
    </w:lvl>
    <w:lvl w:ilvl="7" w:tplc="7298BBA6" w:tentative="1">
      <w:start w:val="1"/>
      <w:numFmt w:val="bullet"/>
      <w:lvlText w:val="o"/>
      <w:lvlJc w:val="left"/>
      <w:pPr>
        <w:ind w:left="5760" w:hanging="360"/>
      </w:pPr>
      <w:rPr>
        <w:rFonts w:ascii="Courier New" w:hAnsi="Courier New" w:cs="Courier New" w:hint="default"/>
      </w:rPr>
    </w:lvl>
    <w:lvl w:ilvl="8" w:tplc="63926C32" w:tentative="1">
      <w:start w:val="1"/>
      <w:numFmt w:val="bullet"/>
      <w:lvlText w:val=""/>
      <w:lvlJc w:val="left"/>
      <w:pPr>
        <w:ind w:left="6480" w:hanging="360"/>
      </w:pPr>
      <w:rPr>
        <w:rFonts w:ascii="Wingdings" w:hAnsi="Wingdings" w:hint="default"/>
      </w:rPr>
    </w:lvl>
  </w:abstractNum>
  <w:abstractNum w:abstractNumId="93" w15:restartNumberingAfterBreak="0">
    <w:nsid w:val="6277355C"/>
    <w:multiLevelType w:val="multilevel"/>
    <w:tmpl w:val="7B668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295322F"/>
    <w:multiLevelType w:val="hybridMultilevel"/>
    <w:tmpl w:val="D0AC12E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5" w15:restartNumberingAfterBreak="0">
    <w:nsid w:val="6613379A"/>
    <w:multiLevelType w:val="multilevel"/>
    <w:tmpl w:val="7F78C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69B050D"/>
    <w:multiLevelType w:val="multilevel"/>
    <w:tmpl w:val="F4FAA9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67712D79"/>
    <w:multiLevelType w:val="hybridMultilevel"/>
    <w:tmpl w:val="5C56D6D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8" w15:restartNumberingAfterBreak="0">
    <w:nsid w:val="686B11EC"/>
    <w:multiLevelType w:val="multilevel"/>
    <w:tmpl w:val="51989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B23A8A"/>
    <w:multiLevelType w:val="multilevel"/>
    <w:tmpl w:val="E5405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90530BD"/>
    <w:multiLevelType w:val="hybridMultilevel"/>
    <w:tmpl w:val="F1F4BA0E"/>
    <w:lvl w:ilvl="0" w:tplc="64AC7926">
      <w:start w:val="1"/>
      <w:numFmt w:val="bullet"/>
      <w:lvlText w:val=""/>
      <w:lvlJc w:val="left"/>
      <w:pPr>
        <w:ind w:left="720" w:hanging="360"/>
      </w:pPr>
      <w:rPr>
        <w:rFonts w:ascii="Symbol" w:hAnsi="Symbol" w:hint="default"/>
      </w:rPr>
    </w:lvl>
    <w:lvl w:ilvl="1" w:tplc="15AA87F6" w:tentative="1">
      <w:start w:val="1"/>
      <w:numFmt w:val="bullet"/>
      <w:lvlText w:val="o"/>
      <w:lvlJc w:val="left"/>
      <w:pPr>
        <w:ind w:left="1440" w:hanging="360"/>
      </w:pPr>
      <w:rPr>
        <w:rFonts w:ascii="Courier New" w:hAnsi="Courier New" w:cs="Courier New" w:hint="default"/>
      </w:rPr>
    </w:lvl>
    <w:lvl w:ilvl="2" w:tplc="8946D996" w:tentative="1">
      <w:start w:val="1"/>
      <w:numFmt w:val="bullet"/>
      <w:lvlText w:val=""/>
      <w:lvlJc w:val="left"/>
      <w:pPr>
        <w:ind w:left="2160" w:hanging="360"/>
      </w:pPr>
      <w:rPr>
        <w:rFonts w:ascii="Wingdings" w:hAnsi="Wingdings" w:hint="default"/>
      </w:rPr>
    </w:lvl>
    <w:lvl w:ilvl="3" w:tplc="F68E3E06" w:tentative="1">
      <w:start w:val="1"/>
      <w:numFmt w:val="bullet"/>
      <w:lvlText w:val=""/>
      <w:lvlJc w:val="left"/>
      <w:pPr>
        <w:ind w:left="2880" w:hanging="360"/>
      </w:pPr>
      <w:rPr>
        <w:rFonts w:ascii="Symbol" w:hAnsi="Symbol" w:hint="default"/>
      </w:rPr>
    </w:lvl>
    <w:lvl w:ilvl="4" w:tplc="F7621B1C" w:tentative="1">
      <w:start w:val="1"/>
      <w:numFmt w:val="bullet"/>
      <w:lvlText w:val="o"/>
      <w:lvlJc w:val="left"/>
      <w:pPr>
        <w:ind w:left="3600" w:hanging="360"/>
      </w:pPr>
      <w:rPr>
        <w:rFonts w:ascii="Courier New" w:hAnsi="Courier New" w:cs="Courier New" w:hint="default"/>
      </w:rPr>
    </w:lvl>
    <w:lvl w:ilvl="5" w:tplc="8B10647A" w:tentative="1">
      <w:start w:val="1"/>
      <w:numFmt w:val="bullet"/>
      <w:lvlText w:val=""/>
      <w:lvlJc w:val="left"/>
      <w:pPr>
        <w:ind w:left="4320" w:hanging="360"/>
      </w:pPr>
      <w:rPr>
        <w:rFonts w:ascii="Wingdings" w:hAnsi="Wingdings" w:hint="default"/>
      </w:rPr>
    </w:lvl>
    <w:lvl w:ilvl="6" w:tplc="04EC11CE" w:tentative="1">
      <w:start w:val="1"/>
      <w:numFmt w:val="bullet"/>
      <w:lvlText w:val=""/>
      <w:lvlJc w:val="left"/>
      <w:pPr>
        <w:ind w:left="5040" w:hanging="360"/>
      </w:pPr>
      <w:rPr>
        <w:rFonts w:ascii="Symbol" w:hAnsi="Symbol" w:hint="default"/>
      </w:rPr>
    </w:lvl>
    <w:lvl w:ilvl="7" w:tplc="595228A6" w:tentative="1">
      <w:start w:val="1"/>
      <w:numFmt w:val="bullet"/>
      <w:lvlText w:val="o"/>
      <w:lvlJc w:val="left"/>
      <w:pPr>
        <w:ind w:left="5760" w:hanging="360"/>
      </w:pPr>
      <w:rPr>
        <w:rFonts w:ascii="Courier New" w:hAnsi="Courier New" w:cs="Courier New" w:hint="default"/>
      </w:rPr>
    </w:lvl>
    <w:lvl w:ilvl="8" w:tplc="BE344B74" w:tentative="1">
      <w:start w:val="1"/>
      <w:numFmt w:val="bullet"/>
      <w:lvlText w:val=""/>
      <w:lvlJc w:val="left"/>
      <w:pPr>
        <w:ind w:left="6480" w:hanging="360"/>
      </w:pPr>
      <w:rPr>
        <w:rFonts w:ascii="Wingdings" w:hAnsi="Wingdings" w:hint="default"/>
      </w:rPr>
    </w:lvl>
  </w:abstractNum>
  <w:abstractNum w:abstractNumId="101" w15:restartNumberingAfterBreak="0">
    <w:nsid w:val="69C74E13"/>
    <w:multiLevelType w:val="hybridMultilevel"/>
    <w:tmpl w:val="F354A52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2" w15:restartNumberingAfterBreak="0">
    <w:nsid w:val="69D00C7F"/>
    <w:multiLevelType w:val="multilevel"/>
    <w:tmpl w:val="51989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9F06B35"/>
    <w:multiLevelType w:val="hybridMultilevel"/>
    <w:tmpl w:val="2E502290"/>
    <w:lvl w:ilvl="0" w:tplc="1D48C4B6">
      <w:start w:val="1"/>
      <w:numFmt w:val="bullet"/>
      <w:lvlText w:val=""/>
      <w:lvlJc w:val="left"/>
      <w:pPr>
        <w:ind w:left="720" w:hanging="360"/>
      </w:pPr>
      <w:rPr>
        <w:rFonts w:ascii="Symbol" w:hAnsi="Symbol" w:hint="default"/>
      </w:rPr>
    </w:lvl>
    <w:lvl w:ilvl="1" w:tplc="FB360AC0" w:tentative="1">
      <w:start w:val="1"/>
      <w:numFmt w:val="bullet"/>
      <w:lvlText w:val="o"/>
      <w:lvlJc w:val="left"/>
      <w:pPr>
        <w:ind w:left="1440" w:hanging="360"/>
      </w:pPr>
      <w:rPr>
        <w:rFonts w:ascii="Courier New" w:hAnsi="Courier New" w:cs="Courier New" w:hint="default"/>
      </w:rPr>
    </w:lvl>
    <w:lvl w:ilvl="2" w:tplc="E7C65B5C" w:tentative="1">
      <w:start w:val="1"/>
      <w:numFmt w:val="bullet"/>
      <w:lvlText w:val=""/>
      <w:lvlJc w:val="left"/>
      <w:pPr>
        <w:ind w:left="2160" w:hanging="360"/>
      </w:pPr>
      <w:rPr>
        <w:rFonts w:ascii="Wingdings" w:hAnsi="Wingdings" w:hint="default"/>
      </w:rPr>
    </w:lvl>
    <w:lvl w:ilvl="3" w:tplc="5E9050B4" w:tentative="1">
      <w:start w:val="1"/>
      <w:numFmt w:val="bullet"/>
      <w:lvlText w:val=""/>
      <w:lvlJc w:val="left"/>
      <w:pPr>
        <w:ind w:left="2880" w:hanging="360"/>
      </w:pPr>
      <w:rPr>
        <w:rFonts w:ascii="Symbol" w:hAnsi="Symbol" w:hint="default"/>
      </w:rPr>
    </w:lvl>
    <w:lvl w:ilvl="4" w:tplc="95C6486E" w:tentative="1">
      <w:start w:val="1"/>
      <w:numFmt w:val="bullet"/>
      <w:lvlText w:val="o"/>
      <w:lvlJc w:val="left"/>
      <w:pPr>
        <w:ind w:left="3600" w:hanging="360"/>
      </w:pPr>
      <w:rPr>
        <w:rFonts w:ascii="Courier New" w:hAnsi="Courier New" w:cs="Courier New" w:hint="default"/>
      </w:rPr>
    </w:lvl>
    <w:lvl w:ilvl="5" w:tplc="F976E15E" w:tentative="1">
      <w:start w:val="1"/>
      <w:numFmt w:val="bullet"/>
      <w:lvlText w:val=""/>
      <w:lvlJc w:val="left"/>
      <w:pPr>
        <w:ind w:left="4320" w:hanging="360"/>
      </w:pPr>
      <w:rPr>
        <w:rFonts w:ascii="Wingdings" w:hAnsi="Wingdings" w:hint="default"/>
      </w:rPr>
    </w:lvl>
    <w:lvl w:ilvl="6" w:tplc="92B4802E" w:tentative="1">
      <w:start w:val="1"/>
      <w:numFmt w:val="bullet"/>
      <w:lvlText w:val=""/>
      <w:lvlJc w:val="left"/>
      <w:pPr>
        <w:ind w:left="5040" w:hanging="360"/>
      </w:pPr>
      <w:rPr>
        <w:rFonts w:ascii="Symbol" w:hAnsi="Symbol" w:hint="default"/>
      </w:rPr>
    </w:lvl>
    <w:lvl w:ilvl="7" w:tplc="0340077A" w:tentative="1">
      <w:start w:val="1"/>
      <w:numFmt w:val="bullet"/>
      <w:lvlText w:val="o"/>
      <w:lvlJc w:val="left"/>
      <w:pPr>
        <w:ind w:left="5760" w:hanging="360"/>
      </w:pPr>
      <w:rPr>
        <w:rFonts w:ascii="Courier New" w:hAnsi="Courier New" w:cs="Courier New" w:hint="default"/>
      </w:rPr>
    </w:lvl>
    <w:lvl w:ilvl="8" w:tplc="23AE35CC" w:tentative="1">
      <w:start w:val="1"/>
      <w:numFmt w:val="bullet"/>
      <w:lvlText w:val=""/>
      <w:lvlJc w:val="left"/>
      <w:pPr>
        <w:ind w:left="6480" w:hanging="360"/>
      </w:pPr>
      <w:rPr>
        <w:rFonts w:ascii="Wingdings" w:hAnsi="Wingdings" w:hint="default"/>
      </w:rPr>
    </w:lvl>
  </w:abstractNum>
  <w:abstractNum w:abstractNumId="104" w15:restartNumberingAfterBreak="0">
    <w:nsid w:val="6B212E59"/>
    <w:multiLevelType w:val="hybridMultilevel"/>
    <w:tmpl w:val="A12C83C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5" w15:restartNumberingAfterBreak="0">
    <w:nsid w:val="6BC710CA"/>
    <w:multiLevelType w:val="multilevel"/>
    <w:tmpl w:val="97DE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C5E2622"/>
    <w:multiLevelType w:val="multilevel"/>
    <w:tmpl w:val="5FA00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D4D7C42"/>
    <w:multiLevelType w:val="multilevel"/>
    <w:tmpl w:val="77B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E61460F"/>
    <w:multiLevelType w:val="hybridMultilevel"/>
    <w:tmpl w:val="ECF87D5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9" w15:restartNumberingAfterBreak="0">
    <w:nsid w:val="712F763B"/>
    <w:multiLevelType w:val="hybridMultilevel"/>
    <w:tmpl w:val="D6527EFC"/>
    <w:lvl w:ilvl="0" w:tplc="E31C2F26">
      <w:start w:val="1"/>
      <w:numFmt w:val="bullet"/>
      <w:lvlText w:val=""/>
      <w:lvlJc w:val="left"/>
      <w:pPr>
        <w:ind w:left="720" w:hanging="360"/>
      </w:pPr>
      <w:rPr>
        <w:rFonts w:ascii="Symbol" w:hAnsi="Symbol" w:hint="default"/>
      </w:rPr>
    </w:lvl>
    <w:lvl w:ilvl="1" w:tplc="4A923BE6" w:tentative="1">
      <w:start w:val="1"/>
      <w:numFmt w:val="bullet"/>
      <w:lvlText w:val="o"/>
      <w:lvlJc w:val="left"/>
      <w:pPr>
        <w:ind w:left="1440" w:hanging="360"/>
      </w:pPr>
      <w:rPr>
        <w:rFonts w:ascii="Courier New" w:hAnsi="Courier New" w:cs="Courier New" w:hint="default"/>
      </w:rPr>
    </w:lvl>
    <w:lvl w:ilvl="2" w:tplc="4D82F7B8" w:tentative="1">
      <w:start w:val="1"/>
      <w:numFmt w:val="bullet"/>
      <w:lvlText w:val=""/>
      <w:lvlJc w:val="left"/>
      <w:pPr>
        <w:ind w:left="2160" w:hanging="360"/>
      </w:pPr>
      <w:rPr>
        <w:rFonts w:ascii="Wingdings" w:hAnsi="Wingdings" w:hint="default"/>
      </w:rPr>
    </w:lvl>
    <w:lvl w:ilvl="3" w:tplc="F4F4C990" w:tentative="1">
      <w:start w:val="1"/>
      <w:numFmt w:val="bullet"/>
      <w:lvlText w:val=""/>
      <w:lvlJc w:val="left"/>
      <w:pPr>
        <w:ind w:left="2880" w:hanging="360"/>
      </w:pPr>
      <w:rPr>
        <w:rFonts w:ascii="Symbol" w:hAnsi="Symbol" w:hint="default"/>
      </w:rPr>
    </w:lvl>
    <w:lvl w:ilvl="4" w:tplc="18E469DE" w:tentative="1">
      <w:start w:val="1"/>
      <w:numFmt w:val="bullet"/>
      <w:lvlText w:val="o"/>
      <w:lvlJc w:val="left"/>
      <w:pPr>
        <w:ind w:left="3600" w:hanging="360"/>
      </w:pPr>
      <w:rPr>
        <w:rFonts w:ascii="Courier New" w:hAnsi="Courier New" w:cs="Courier New" w:hint="default"/>
      </w:rPr>
    </w:lvl>
    <w:lvl w:ilvl="5" w:tplc="DD966F60" w:tentative="1">
      <w:start w:val="1"/>
      <w:numFmt w:val="bullet"/>
      <w:lvlText w:val=""/>
      <w:lvlJc w:val="left"/>
      <w:pPr>
        <w:ind w:left="4320" w:hanging="360"/>
      </w:pPr>
      <w:rPr>
        <w:rFonts w:ascii="Wingdings" w:hAnsi="Wingdings" w:hint="default"/>
      </w:rPr>
    </w:lvl>
    <w:lvl w:ilvl="6" w:tplc="0F4C1374" w:tentative="1">
      <w:start w:val="1"/>
      <w:numFmt w:val="bullet"/>
      <w:lvlText w:val=""/>
      <w:lvlJc w:val="left"/>
      <w:pPr>
        <w:ind w:left="5040" w:hanging="360"/>
      </w:pPr>
      <w:rPr>
        <w:rFonts w:ascii="Symbol" w:hAnsi="Symbol" w:hint="default"/>
      </w:rPr>
    </w:lvl>
    <w:lvl w:ilvl="7" w:tplc="B7BAD842" w:tentative="1">
      <w:start w:val="1"/>
      <w:numFmt w:val="bullet"/>
      <w:lvlText w:val="o"/>
      <w:lvlJc w:val="left"/>
      <w:pPr>
        <w:ind w:left="5760" w:hanging="360"/>
      </w:pPr>
      <w:rPr>
        <w:rFonts w:ascii="Courier New" w:hAnsi="Courier New" w:cs="Courier New" w:hint="default"/>
      </w:rPr>
    </w:lvl>
    <w:lvl w:ilvl="8" w:tplc="F648F2F8" w:tentative="1">
      <w:start w:val="1"/>
      <w:numFmt w:val="bullet"/>
      <w:lvlText w:val=""/>
      <w:lvlJc w:val="left"/>
      <w:pPr>
        <w:ind w:left="6480" w:hanging="360"/>
      </w:pPr>
      <w:rPr>
        <w:rFonts w:ascii="Wingdings" w:hAnsi="Wingdings" w:hint="default"/>
      </w:rPr>
    </w:lvl>
  </w:abstractNum>
  <w:abstractNum w:abstractNumId="110" w15:restartNumberingAfterBreak="0">
    <w:nsid w:val="72144B29"/>
    <w:multiLevelType w:val="hybridMultilevel"/>
    <w:tmpl w:val="604849AA"/>
    <w:lvl w:ilvl="0" w:tplc="6B7C0140">
      <w:start w:val="1"/>
      <w:numFmt w:val="none"/>
      <w:lvlText w:val="i)"/>
      <w:lvlJc w:val="left"/>
      <w:pPr>
        <w:ind w:left="1800" w:hanging="360"/>
      </w:pPr>
      <w:rPr>
        <w:rFonts w:hint="default"/>
        <w:i w:val="0"/>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750A4E62"/>
    <w:multiLevelType w:val="hybridMultilevel"/>
    <w:tmpl w:val="755E2D0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2" w15:restartNumberingAfterBreak="0">
    <w:nsid w:val="758A7C56"/>
    <w:multiLevelType w:val="multilevel"/>
    <w:tmpl w:val="92843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762A07AD"/>
    <w:multiLevelType w:val="hybridMultilevel"/>
    <w:tmpl w:val="61D224B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4" w15:restartNumberingAfterBreak="0">
    <w:nsid w:val="76B002B8"/>
    <w:multiLevelType w:val="hybridMultilevel"/>
    <w:tmpl w:val="D5AA879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5" w15:restartNumberingAfterBreak="0">
    <w:nsid w:val="77485BDD"/>
    <w:multiLevelType w:val="hybridMultilevel"/>
    <w:tmpl w:val="FD4AA0F6"/>
    <w:lvl w:ilvl="0" w:tplc="313043F8">
      <w:start w:val="1"/>
      <w:numFmt w:val="bullet"/>
      <w:lvlText w:val=""/>
      <w:lvlJc w:val="left"/>
      <w:pPr>
        <w:ind w:left="644" w:hanging="360"/>
      </w:pPr>
      <w:rPr>
        <w:rFonts w:ascii="Symbol" w:hAnsi="Symbol" w:hint="default"/>
      </w:rPr>
    </w:lvl>
    <w:lvl w:ilvl="1" w:tplc="DB18BAFC" w:tentative="1">
      <w:start w:val="1"/>
      <w:numFmt w:val="bullet"/>
      <w:lvlText w:val="o"/>
      <w:lvlJc w:val="left"/>
      <w:pPr>
        <w:ind w:left="1364" w:hanging="360"/>
      </w:pPr>
      <w:rPr>
        <w:rFonts w:ascii="Courier New" w:hAnsi="Courier New" w:cs="Courier New" w:hint="default"/>
      </w:rPr>
    </w:lvl>
    <w:lvl w:ilvl="2" w:tplc="FA623496" w:tentative="1">
      <w:start w:val="1"/>
      <w:numFmt w:val="bullet"/>
      <w:lvlText w:val=""/>
      <w:lvlJc w:val="left"/>
      <w:pPr>
        <w:ind w:left="2084" w:hanging="360"/>
      </w:pPr>
      <w:rPr>
        <w:rFonts w:ascii="Wingdings" w:hAnsi="Wingdings" w:hint="default"/>
      </w:rPr>
    </w:lvl>
    <w:lvl w:ilvl="3" w:tplc="E4D4140A" w:tentative="1">
      <w:start w:val="1"/>
      <w:numFmt w:val="bullet"/>
      <w:lvlText w:val=""/>
      <w:lvlJc w:val="left"/>
      <w:pPr>
        <w:ind w:left="2804" w:hanging="360"/>
      </w:pPr>
      <w:rPr>
        <w:rFonts w:ascii="Symbol" w:hAnsi="Symbol" w:hint="default"/>
      </w:rPr>
    </w:lvl>
    <w:lvl w:ilvl="4" w:tplc="00AE6446" w:tentative="1">
      <w:start w:val="1"/>
      <w:numFmt w:val="bullet"/>
      <w:lvlText w:val="o"/>
      <w:lvlJc w:val="left"/>
      <w:pPr>
        <w:ind w:left="3524" w:hanging="360"/>
      </w:pPr>
      <w:rPr>
        <w:rFonts w:ascii="Courier New" w:hAnsi="Courier New" w:cs="Courier New" w:hint="default"/>
      </w:rPr>
    </w:lvl>
    <w:lvl w:ilvl="5" w:tplc="5BA646D6" w:tentative="1">
      <w:start w:val="1"/>
      <w:numFmt w:val="bullet"/>
      <w:lvlText w:val=""/>
      <w:lvlJc w:val="left"/>
      <w:pPr>
        <w:ind w:left="4244" w:hanging="360"/>
      </w:pPr>
      <w:rPr>
        <w:rFonts w:ascii="Wingdings" w:hAnsi="Wingdings" w:hint="default"/>
      </w:rPr>
    </w:lvl>
    <w:lvl w:ilvl="6" w:tplc="D2A477DE" w:tentative="1">
      <w:start w:val="1"/>
      <w:numFmt w:val="bullet"/>
      <w:lvlText w:val=""/>
      <w:lvlJc w:val="left"/>
      <w:pPr>
        <w:ind w:left="4964" w:hanging="360"/>
      </w:pPr>
      <w:rPr>
        <w:rFonts w:ascii="Symbol" w:hAnsi="Symbol" w:hint="default"/>
      </w:rPr>
    </w:lvl>
    <w:lvl w:ilvl="7" w:tplc="1C927D82" w:tentative="1">
      <w:start w:val="1"/>
      <w:numFmt w:val="bullet"/>
      <w:lvlText w:val="o"/>
      <w:lvlJc w:val="left"/>
      <w:pPr>
        <w:ind w:left="5684" w:hanging="360"/>
      </w:pPr>
      <w:rPr>
        <w:rFonts w:ascii="Courier New" w:hAnsi="Courier New" w:cs="Courier New" w:hint="default"/>
      </w:rPr>
    </w:lvl>
    <w:lvl w:ilvl="8" w:tplc="7856FB24" w:tentative="1">
      <w:start w:val="1"/>
      <w:numFmt w:val="bullet"/>
      <w:lvlText w:val=""/>
      <w:lvlJc w:val="left"/>
      <w:pPr>
        <w:ind w:left="6404" w:hanging="360"/>
      </w:pPr>
      <w:rPr>
        <w:rFonts w:ascii="Wingdings" w:hAnsi="Wingdings" w:hint="default"/>
      </w:rPr>
    </w:lvl>
  </w:abstractNum>
  <w:abstractNum w:abstractNumId="116" w15:restartNumberingAfterBreak="0">
    <w:nsid w:val="77665310"/>
    <w:multiLevelType w:val="multilevel"/>
    <w:tmpl w:val="9D68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849577A"/>
    <w:multiLevelType w:val="hybridMultilevel"/>
    <w:tmpl w:val="3ED00C2A"/>
    <w:lvl w:ilvl="0" w:tplc="8F1EF1AA">
      <w:start w:val="1"/>
      <w:numFmt w:val="bullet"/>
      <w:lvlText w:val=""/>
      <w:lvlJc w:val="left"/>
      <w:pPr>
        <w:ind w:left="720" w:hanging="360"/>
      </w:pPr>
      <w:rPr>
        <w:rFonts w:ascii="Symbol" w:hAnsi="Symbol" w:hint="default"/>
      </w:rPr>
    </w:lvl>
    <w:lvl w:ilvl="1" w:tplc="8A042C04" w:tentative="1">
      <w:start w:val="1"/>
      <w:numFmt w:val="bullet"/>
      <w:lvlText w:val="o"/>
      <w:lvlJc w:val="left"/>
      <w:pPr>
        <w:ind w:left="1440" w:hanging="360"/>
      </w:pPr>
      <w:rPr>
        <w:rFonts w:ascii="Courier New" w:hAnsi="Courier New" w:cs="Courier New" w:hint="default"/>
      </w:rPr>
    </w:lvl>
    <w:lvl w:ilvl="2" w:tplc="21587ADA" w:tentative="1">
      <w:start w:val="1"/>
      <w:numFmt w:val="bullet"/>
      <w:lvlText w:val=""/>
      <w:lvlJc w:val="left"/>
      <w:pPr>
        <w:ind w:left="2160" w:hanging="360"/>
      </w:pPr>
      <w:rPr>
        <w:rFonts w:ascii="Wingdings" w:hAnsi="Wingdings" w:hint="default"/>
      </w:rPr>
    </w:lvl>
    <w:lvl w:ilvl="3" w:tplc="7088ABA8" w:tentative="1">
      <w:start w:val="1"/>
      <w:numFmt w:val="bullet"/>
      <w:lvlText w:val=""/>
      <w:lvlJc w:val="left"/>
      <w:pPr>
        <w:ind w:left="2880" w:hanging="360"/>
      </w:pPr>
      <w:rPr>
        <w:rFonts w:ascii="Symbol" w:hAnsi="Symbol" w:hint="default"/>
      </w:rPr>
    </w:lvl>
    <w:lvl w:ilvl="4" w:tplc="FF7488B4" w:tentative="1">
      <w:start w:val="1"/>
      <w:numFmt w:val="bullet"/>
      <w:lvlText w:val="o"/>
      <w:lvlJc w:val="left"/>
      <w:pPr>
        <w:ind w:left="3600" w:hanging="360"/>
      </w:pPr>
      <w:rPr>
        <w:rFonts w:ascii="Courier New" w:hAnsi="Courier New" w:cs="Courier New" w:hint="default"/>
      </w:rPr>
    </w:lvl>
    <w:lvl w:ilvl="5" w:tplc="C206DC4C" w:tentative="1">
      <w:start w:val="1"/>
      <w:numFmt w:val="bullet"/>
      <w:lvlText w:val=""/>
      <w:lvlJc w:val="left"/>
      <w:pPr>
        <w:ind w:left="4320" w:hanging="360"/>
      </w:pPr>
      <w:rPr>
        <w:rFonts w:ascii="Wingdings" w:hAnsi="Wingdings" w:hint="default"/>
      </w:rPr>
    </w:lvl>
    <w:lvl w:ilvl="6" w:tplc="099AD426" w:tentative="1">
      <w:start w:val="1"/>
      <w:numFmt w:val="bullet"/>
      <w:lvlText w:val=""/>
      <w:lvlJc w:val="left"/>
      <w:pPr>
        <w:ind w:left="5040" w:hanging="360"/>
      </w:pPr>
      <w:rPr>
        <w:rFonts w:ascii="Symbol" w:hAnsi="Symbol" w:hint="default"/>
      </w:rPr>
    </w:lvl>
    <w:lvl w:ilvl="7" w:tplc="6340FDD8" w:tentative="1">
      <w:start w:val="1"/>
      <w:numFmt w:val="bullet"/>
      <w:lvlText w:val="o"/>
      <w:lvlJc w:val="left"/>
      <w:pPr>
        <w:ind w:left="5760" w:hanging="360"/>
      </w:pPr>
      <w:rPr>
        <w:rFonts w:ascii="Courier New" w:hAnsi="Courier New" w:cs="Courier New" w:hint="default"/>
      </w:rPr>
    </w:lvl>
    <w:lvl w:ilvl="8" w:tplc="0E901A14" w:tentative="1">
      <w:start w:val="1"/>
      <w:numFmt w:val="bullet"/>
      <w:lvlText w:val=""/>
      <w:lvlJc w:val="left"/>
      <w:pPr>
        <w:ind w:left="6480" w:hanging="360"/>
      </w:pPr>
      <w:rPr>
        <w:rFonts w:ascii="Wingdings" w:hAnsi="Wingdings" w:hint="default"/>
      </w:rPr>
    </w:lvl>
  </w:abstractNum>
  <w:abstractNum w:abstractNumId="118" w15:restartNumberingAfterBreak="0">
    <w:nsid w:val="78E2421A"/>
    <w:multiLevelType w:val="hybridMultilevel"/>
    <w:tmpl w:val="2646BCC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9" w15:restartNumberingAfterBreak="0">
    <w:nsid w:val="794176AD"/>
    <w:multiLevelType w:val="multilevel"/>
    <w:tmpl w:val="5A56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9CD78E2"/>
    <w:multiLevelType w:val="hybridMultilevel"/>
    <w:tmpl w:val="8CD2C56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1" w15:restartNumberingAfterBreak="0">
    <w:nsid w:val="7B4841A3"/>
    <w:multiLevelType w:val="multilevel"/>
    <w:tmpl w:val="51989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7ED16E8E"/>
    <w:multiLevelType w:val="multilevel"/>
    <w:tmpl w:val="2B6AF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5395825">
    <w:abstractNumId w:val="45"/>
  </w:num>
  <w:num w:numId="2" w16cid:durableId="177475197">
    <w:abstractNumId w:val="67"/>
  </w:num>
  <w:num w:numId="3" w16cid:durableId="1055590707">
    <w:abstractNumId w:val="53"/>
  </w:num>
  <w:num w:numId="4" w16cid:durableId="815030501">
    <w:abstractNumId w:val="12"/>
  </w:num>
  <w:num w:numId="5" w16cid:durableId="122502345">
    <w:abstractNumId w:val="42"/>
  </w:num>
  <w:num w:numId="6" w16cid:durableId="2100364143">
    <w:abstractNumId w:val="60"/>
  </w:num>
  <w:num w:numId="7" w16cid:durableId="1075006026">
    <w:abstractNumId w:val="33"/>
  </w:num>
  <w:num w:numId="8" w16cid:durableId="1345283647">
    <w:abstractNumId w:val="48"/>
  </w:num>
  <w:num w:numId="9" w16cid:durableId="1965379739">
    <w:abstractNumId w:val="105"/>
  </w:num>
  <w:num w:numId="10" w16cid:durableId="1625111890">
    <w:abstractNumId w:val="32"/>
  </w:num>
  <w:num w:numId="11" w16cid:durableId="545724921">
    <w:abstractNumId w:val="106"/>
  </w:num>
  <w:num w:numId="12" w16cid:durableId="221411974">
    <w:abstractNumId w:val="79"/>
  </w:num>
  <w:num w:numId="13" w16cid:durableId="404765568">
    <w:abstractNumId w:val="35"/>
  </w:num>
  <w:num w:numId="14" w16cid:durableId="461119538">
    <w:abstractNumId w:val="99"/>
  </w:num>
  <w:num w:numId="15" w16cid:durableId="1923250716">
    <w:abstractNumId w:val="52"/>
  </w:num>
  <w:num w:numId="16" w16cid:durableId="1160543687">
    <w:abstractNumId w:val="116"/>
  </w:num>
  <w:num w:numId="17" w16cid:durableId="2097551164">
    <w:abstractNumId w:val="5"/>
  </w:num>
  <w:num w:numId="18" w16cid:durableId="1225217352">
    <w:abstractNumId w:val="71"/>
  </w:num>
  <w:num w:numId="19" w16cid:durableId="858544888">
    <w:abstractNumId w:val="75"/>
  </w:num>
  <w:num w:numId="20" w16cid:durableId="316111734">
    <w:abstractNumId w:val="57"/>
  </w:num>
  <w:num w:numId="21" w16cid:durableId="1293441428">
    <w:abstractNumId w:val="72"/>
  </w:num>
  <w:num w:numId="22" w16cid:durableId="61564355">
    <w:abstractNumId w:val="119"/>
  </w:num>
  <w:num w:numId="23" w16cid:durableId="1734965373">
    <w:abstractNumId w:val="43"/>
  </w:num>
  <w:num w:numId="24" w16cid:durableId="157304833">
    <w:abstractNumId w:val="36"/>
  </w:num>
  <w:num w:numId="25" w16cid:durableId="260142551">
    <w:abstractNumId w:val="23"/>
  </w:num>
  <w:num w:numId="26" w16cid:durableId="2118717272">
    <w:abstractNumId w:val="25"/>
  </w:num>
  <w:num w:numId="27" w16cid:durableId="837229009">
    <w:abstractNumId w:val="84"/>
  </w:num>
  <w:num w:numId="28" w16cid:durableId="1096051255">
    <w:abstractNumId w:val="37"/>
  </w:num>
  <w:num w:numId="29" w16cid:durableId="17854066">
    <w:abstractNumId w:val="26"/>
  </w:num>
  <w:num w:numId="30" w16cid:durableId="217324911">
    <w:abstractNumId w:val="13"/>
  </w:num>
  <w:num w:numId="31" w16cid:durableId="815486166">
    <w:abstractNumId w:val="20"/>
  </w:num>
  <w:num w:numId="32" w16cid:durableId="1043093798">
    <w:abstractNumId w:val="89"/>
  </w:num>
  <w:num w:numId="33" w16cid:durableId="1461610476">
    <w:abstractNumId w:val="73"/>
  </w:num>
  <w:num w:numId="34" w16cid:durableId="1688868049">
    <w:abstractNumId w:val="110"/>
  </w:num>
  <w:num w:numId="35" w16cid:durableId="959845213">
    <w:abstractNumId w:val="10"/>
  </w:num>
  <w:num w:numId="36" w16cid:durableId="2103139223">
    <w:abstractNumId w:val="28"/>
  </w:num>
  <w:num w:numId="37" w16cid:durableId="1992177106">
    <w:abstractNumId w:val="29"/>
  </w:num>
  <w:num w:numId="38" w16cid:durableId="802620866">
    <w:abstractNumId w:val="21"/>
  </w:num>
  <w:num w:numId="39" w16cid:durableId="546338359">
    <w:abstractNumId w:val="95"/>
  </w:num>
  <w:num w:numId="40" w16cid:durableId="1993755315">
    <w:abstractNumId w:val="96"/>
  </w:num>
  <w:num w:numId="41" w16cid:durableId="2002734732">
    <w:abstractNumId w:val="83"/>
  </w:num>
  <w:num w:numId="42" w16cid:durableId="43532473">
    <w:abstractNumId w:val="8"/>
  </w:num>
  <w:num w:numId="43" w16cid:durableId="1618029475">
    <w:abstractNumId w:val="50"/>
  </w:num>
  <w:num w:numId="44" w16cid:durableId="191264626">
    <w:abstractNumId w:val="4"/>
  </w:num>
  <w:num w:numId="45" w16cid:durableId="308562634">
    <w:abstractNumId w:val="87"/>
  </w:num>
  <w:num w:numId="46" w16cid:durableId="1251113637">
    <w:abstractNumId w:val="49"/>
  </w:num>
  <w:num w:numId="47" w16cid:durableId="2132286515">
    <w:abstractNumId w:val="59"/>
  </w:num>
  <w:num w:numId="48" w16cid:durableId="876308851">
    <w:abstractNumId w:val="112"/>
  </w:num>
  <w:num w:numId="49" w16cid:durableId="1159073813">
    <w:abstractNumId w:val="27"/>
  </w:num>
  <w:num w:numId="50" w16cid:durableId="600911988">
    <w:abstractNumId w:val="3"/>
  </w:num>
  <w:num w:numId="51" w16cid:durableId="741023718">
    <w:abstractNumId w:val="64"/>
  </w:num>
  <w:num w:numId="52" w16cid:durableId="491718019">
    <w:abstractNumId w:val="15"/>
  </w:num>
  <w:num w:numId="53" w16cid:durableId="1866291202">
    <w:abstractNumId w:val="65"/>
  </w:num>
  <w:num w:numId="54" w16cid:durableId="1878155712">
    <w:abstractNumId w:val="109"/>
  </w:num>
  <w:num w:numId="55" w16cid:durableId="1307588305">
    <w:abstractNumId w:val="40"/>
  </w:num>
  <w:num w:numId="56" w16cid:durableId="576020379">
    <w:abstractNumId w:val="115"/>
  </w:num>
  <w:num w:numId="57" w16cid:durableId="1806966860">
    <w:abstractNumId w:val="100"/>
  </w:num>
  <w:num w:numId="58" w16cid:durableId="129173980">
    <w:abstractNumId w:val="34"/>
  </w:num>
  <w:num w:numId="59" w16cid:durableId="1245608712">
    <w:abstractNumId w:val="70"/>
  </w:num>
  <w:num w:numId="60" w16cid:durableId="1824277164">
    <w:abstractNumId w:val="6"/>
  </w:num>
  <w:num w:numId="61" w16cid:durableId="1351680820">
    <w:abstractNumId w:val="117"/>
  </w:num>
  <w:num w:numId="62" w16cid:durableId="1475097296">
    <w:abstractNumId w:val="30"/>
  </w:num>
  <w:num w:numId="63" w16cid:durableId="671949860">
    <w:abstractNumId w:val="82"/>
  </w:num>
  <w:num w:numId="64" w16cid:durableId="1765031725">
    <w:abstractNumId w:val="81"/>
  </w:num>
  <w:num w:numId="65" w16cid:durableId="198317780">
    <w:abstractNumId w:val="9"/>
  </w:num>
  <w:num w:numId="66" w16cid:durableId="1053771941">
    <w:abstractNumId w:val="76"/>
  </w:num>
  <w:num w:numId="67" w16cid:durableId="1669749131">
    <w:abstractNumId w:val="78"/>
  </w:num>
  <w:num w:numId="68" w16cid:durableId="646013237">
    <w:abstractNumId w:val="92"/>
  </w:num>
  <w:num w:numId="69" w16cid:durableId="76295925">
    <w:abstractNumId w:val="103"/>
  </w:num>
  <w:num w:numId="70" w16cid:durableId="203565111">
    <w:abstractNumId w:val="86"/>
  </w:num>
  <w:num w:numId="71" w16cid:durableId="1978677136">
    <w:abstractNumId w:val="14"/>
  </w:num>
  <w:num w:numId="72" w16cid:durableId="525875532">
    <w:abstractNumId w:val="66"/>
  </w:num>
  <w:num w:numId="73" w16cid:durableId="1028681624">
    <w:abstractNumId w:val="107"/>
  </w:num>
  <w:num w:numId="74" w16cid:durableId="308556010">
    <w:abstractNumId w:val="90"/>
  </w:num>
  <w:num w:numId="75" w16cid:durableId="1967420241">
    <w:abstractNumId w:val="19"/>
  </w:num>
  <w:num w:numId="76" w16cid:durableId="1889535044">
    <w:abstractNumId w:val="77"/>
  </w:num>
  <w:num w:numId="77" w16cid:durableId="1138455746">
    <w:abstractNumId w:val="123"/>
  </w:num>
  <w:num w:numId="78" w16cid:durableId="482892413">
    <w:abstractNumId w:val="93"/>
  </w:num>
  <w:num w:numId="79" w16cid:durableId="732505094">
    <w:abstractNumId w:val="62"/>
  </w:num>
  <w:num w:numId="80" w16cid:durableId="1060445885">
    <w:abstractNumId w:val="98"/>
  </w:num>
  <w:num w:numId="81" w16cid:durableId="679357976">
    <w:abstractNumId w:val="102"/>
  </w:num>
  <w:num w:numId="82" w16cid:durableId="1305349699">
    <w:abstractNumId w:val="121"/>
  </w:num>
  <w:num w:numId="83" w16cid:durableId="1560750714">
    <w:abstractNumId w:val="58"/>
  </w:num>
  <w:num w:numId="84" w16cid:durableId="89012719">
    <w:abstractNumId w:val="63"/>
  </w:num>
  <w:num w:numId="85" w16cid:durableId="1999846710">
    <w:abstractNumId w:val="22"/>
  </w:num>
  <w:num w:numId="86" w16cid:durableId="1167596556">
    <w:abstractNumId w:val="122"/>
  </w:num>
  <w:num w:numId="87" w16cid:durableId="1093747699">
    <w:abstractNumId w:val="74"/>
  </w:num>
  <w:num w:numId="88" w16cid:durableId="1278685420">
    <w:abstractNumId w:val="24"/>
  </w:num>
  <w:num w:numId="89" w16cid:durableId="1827239649">
    <w:abstractNumId w:val="88"/>
  </w:num>
  <w:num w:numId="90" w16cid:durableId="1217357322">
    <w:abstractNumId w:val="104"/>
  </w:num>
  <w:num w:numId="91" w16cid:durableId="730537467">
    <w:abstractNumId w:val="91"/>
  </w:num>
  <w:num w:numId="92" w16cid:durableId="1756634503">
    <w:abstractNumId w:val="108"/>
  </w:num>
  <w:num w:numId="93" w16cid:durableId="540366043">
    <w:abstractNumId w:val="39"/>
  </w:num>
  <w:num w:numId="94" w16cid:durableId="1797987789">
    <w:abstractNumId w:val="38"/>
  </w:num>
  <w:num w:numId="95" w16cid:durableId="1097020212">
    <w:abstractNumId w:val="2"/>
  </w:num>
  <w:num w:numId="96" w16cid:durableId="1834254206">
    <w:abstractNumId w:val="80"/>
  </w:num>
  <w:num w:numId="97" w16cid:durableId="2091659814">
    <w:abstractNumId w:val="11"/>
  </w:num>
  <w:num w:numId="98" w16cid:durableId="1903369994">
    <w:abstractNumId w:val="101"/>
  </w:num>
  <w:num w:numId="99" w16cid:durableId="341132106">
    <w:abstractNumId w:val="68"/>
  </w:num>
  <w:num w:numId="100" w16cid:durableId="1076591781">
    <w:abstractNumId w:val="31"/>
  </w:num>
  <w:num w:numId="101" w16cid:durableId="814682075">
    <w:abstractNumId w:val="120"/>
  </w:num>
  <w:num w:numId="102" w16cid:durableId="794760769">
    <w:abstractNumId w:val="94"/>
  </w:num>
  <w:num w:numId="103" w16cid:durableId="423381237">
    <w:abstractNumId w:val="47"/>
  </w:num>
  <w:num w:numId="104" w16cid:durableId="2002810415">
    <w:abstractNumId w:val="46"/>
  </w:num>
  <w:num w:numId="105" w16cid:durableId="2055959192">
    <w:abstractNumId w:val="113"/>
  </w:num>
  <w:num w:numId="106" w16cid:durableId="1645160776">
    <w:abstractNumId w:val="114"/>
  </w:num>
  <w:num w:numId="107" w16cid:durableId="2020278971">
    <w:abstractNumId w:val="118"/>
  </w:num>
  <w:num w:numId="108" w16cid:durableId="1797025093">
    <w:abstractNumId w:val="56"/>
  </w:num>
  <w:num w:numId="109" w16cid:durableId="2065448714">
    <w:abstractNumId w:val="44"/>
  </w:num>
  <w:num w:numId="110" w16cid:durableId="2053916030">
    <w:abstractNumId w:val="61"/>
  </w:num>
  <w:num w:numId="111" w16cid:durableId="1375739273">
    <w:abstractNumId w:val="54"/>
  </w:num>
  <w:num w:numId="112" w16cid:durableId="1480730015">
    <w:abstractNumId w:val="0"/>
  </w:num>
  <w:num w:numId="113" w16cid:durableId="1125152318">
    <w:abstractNumId w:val="111"/>
  </w:num>
  <w:num w:numId="114" w16cid:durableId="1918706776">
    <w:abstractNumId w:val="17"/>
  </w:num>
  <w:num w:numId="115" w16cid:durableId="1060787586">
    <w:abstractNumId w:val="51"/>
  </w:num>
  <w:num w:numId="116" w16cid:durableId="1555434132">
    <w:abstractNumId w:val="16"/>
  </w:num>
  <w:num w:numId="117" w16cid:durableId="2104370948">
    <w:abstractNumId w:val="1"/>
  </w:num>
  <w:num w:numId="118" w16cid:durableId="1381172783">
    <w:abstractNumId w:val="85"/>
  </w:num>
  <w:num w:numId="119" w16cid:durableId="813179291">
    <w:abstractNumId w:val="97"/>
  </w:num>
  <w:num w:numId="120" w16cid:durableId="938297738">
    <w:abstractNumId w:val="7"/>
  </w:num>
  <w:num w:numId="121" w16cid:durableId="438136269">
    <w:abstractNumId w:val="41"/>
  </w:num>
  <w:num w:numId="122" w16cid:durableId="1682705523">
    <w:abstractNumId w:val="69"/>
  </w:num>
  <w:num w:numId="123" w16cid:durableId="350376499">
    <w:abstractNumId w:val="55"/>
  </w:num>
  <w:num w:numId="124" w16cid:durableId="1419136949">
    <w:abstractNumId w:val="18"/>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37"/>
    <w:rsid w:val="00000B3D"/>
    <w:rsid w:val="00001231"/>
    <w:rsid w:val="00002C39"/>
    <w:rsid w:val="00002C8D"/>
    <w:rsid w:val="00004261"/>
    <w:rsid w:val="00004288"/>
    <w:rsid w:val="000043FB"/>
    <w:rsid w:val="00006CB4"/>
    <w:rsid w:val="00010CAE"/>
    <w:rsid w:val="0001135D"/>
    <w:rsid w:val="000122A2"/>
    <w:rsid w:val="00013323"/>
    <w:rsid w:val="00014877"/>
    <w:rsid w:val="00015267"/>
    <w:rsid w:val="00016847"/>
    <w:rsid w:val="000179B6"/>
    <w:rsid w:val="00022A4F"/>
    <w:rsid w:val="000231CD"/>
    <w:rsid w:val="000243A9"/>
    <w:rsid w:val="000274C6"/>
    <w:rsid w:val="00027A32"/>
    <w:rsid w:val="00030CA2"/>
    <w:rsid w:val="00031132"/>
    <w:rsid w:val="00031760"/>
    <w:rsid w:val="000344B5"/>
    <w:rsid w:val="00034FD5"/>
    <w:rsid w:val="0003511C"/>
    <w:rsid w:val="00035F5B"/>
    <w:rsid w:val="00036507"/>
    <w:rsid w:val="00040132"/>
    <w:rsid w:val="00041873"/>
    <w:rsid w:val="000424E7"/>
    <w:rsid w:val="00042AE0"/>
    <w:rsid w:val="00043356"/>
    <w:rsid w:val="00043546"/>
    <w:rsid w:val="00044384"/>
    <w:rsid w:val="00044A47"/>
    <w:rsid w:val="00044E1E"/>
    <w:rsid w:val="00044F2D"/>
    <w:rsid w:val="000505BD"/>
    <w:rsid w:val="00051E10"/>
    <w:rsid w:val="00051F28"/>
    <w:rsid w:val="000521B5"/>
    <w:rsid w:val="000523AA"/>
    <w:rsid w:val="00052822"/>
    <w:rsid w:val="00054153"/>
    <w:rsid w:val="0005472A"/>
    <w:rsid w:val="00055498"/>
    <w:rsid w:val="00055A97"/>
    <w:rsid w:val="000572D7"/>
    <w:rsid w:val="000573D4"/>
    <w:rsid w:val="00060613"/>
    <w:rsid w:val="00060BA1"/>
    <w:rsid w:val="00060C4F"/>
    <w:rsid w:val="0006118E"/>
    <w:rsid w:val="00064211"/>
    <w:rsid w:val="00064781"/>
    <w:rsid w:val="000654EE"/>
    <w:rsid w:val="0006651C"/>
    <w:rsid w:val="0006697F"/>
    <w:rsid w:val="000669D1"/>
    <w:rsid w:val="000715F8"/>
    <w:rsid w:val="00072ADE"/>
    <w:rsid w:val="00075505"/>
    <w:rsid w:val="00076B4F"/>
    <w:rsid w:val="00077AFD"/>
    <w:rsid w:val="0008109C"/>
    <w:rsid w:val="00081403"/>
    <w:rsid w:val="00082041"/>
    <w:rsid w:val="00082A62"/>
    <w:rsid w:val="00083FFE"/>
    <w:rsid w:val="0008452A"/>
    <w:rsid w:val="00084FC1"/>
    <w:rsid w:val="000856FB"/>
    <w:rsid w:val="00085A28"/>
    <w:rsid w:val="000863B5"/>
    <w:rsid w:val="00090E0E"/>
    <w:rsid w:val="00092ADA"/>
    <w:rsid w:val="0009381D"/>
    <w:rsid w:val="00093E2F"/>
    <w:rsid w:val="00095946"/>
    <w:rsid w:val="00096A07"/>
    <w:rsid w:val="00096A6B"/>
    <w:rsid w:val="000A00F5"/>
    <w:rsid w:val="000A04AB"/>
    <w:rsid w:val="000A11BA"/>
    <w:rsid w:val="000A15E7"/>
    <w:rsid w:val="000A1969"/>
    <w:rsid w:val="000A2758"/>
    <w:rsid w:val="000A2995"/>
    <w:rsid w:val="000A317D"/>
    <w:rsid w:val="000A32C1"/>
    <w:rsid w:val="000A442B"/>
    <w:rsid w:val="000A54C4"/>
    <w:rsid w:val="000A63C7"/>
    <w:rsid w:val="000B052D"/>
    <w:rsid w:val="000B0741"/>
    <w:rsid w:val="000B1A69"/>
    <w:rsid w:val="000B1B08"/>
    <w:rsid w:val="000B1C7E"/>
    <w:rsid w:val="000B241B"/>
    <w:rsid w:val="000B35C0"/>
    <w:rsid w:val="000B36E1"/>
    <w:rsid w:val="000B3D48"/>
    <w:rsid w:val="000B53E2"/>
    <w:rsid w:val="000B575C"/>
    <w:rsid w:val="000B72E1"/>
    <w:rsid w:val="000C11A7"/>
    <w:rsid w:val="000C18A2"/>
    <w:rsid w:val="000C39FE"/>
    <w:rsid w:val="000C3E8B"/>
    <w:rsid w:val="000C4B37"/>
    <w:rsid w:val="000C5A9E"/>
    <w:rsid w:val="000C5DAF"/>
    <w:rsid w:val="000C62CD"/>
    <w:rsid w:val="000C6B29"/>
    <w:rsid w:val="000D080F"/>
    <w:rsid w:val="000D0C44"/>
    <w:rsid w:val="000D0CBA"/>
    <w:rsid w:val="000D0FC4"/>
    <w:rsid w:val="000D1617"/>
    <w:rsid w:val="000D26FA"/>
    <w:rsid w:val="000D2CC3"/>
    <w:rsid w:val="000D331F"/>
    <w:rsid w:val="000D3A64"/>
    <w:rsid w:val="000D5137"/>
    <w:rsid w:val="000D65B1"/>
    <w:rsid w:val="000D6BB3"/>
    <w:rsid w:val="000D746E"/>
    <w:rsid w:val="000D792F"/>
    <w:rsid w:val="000E138C"/>
    <w:rsid w:val="000E4F76"/>
    <w:rsid w:val="000E5169"/>
    <w:rsid w:val="000E5334"/>
    <w:rsid w:val="000E5A4E"/>
    <w:rsid w:val="000E5E19"/>
    <w:rsid w:val="000E60FF"/>
    <w:rsid w:val="000F0007"/>
    <w:rsid w:val="000F0497"/>
    <w:rsid w:val="000F0885"/>
    <w:rsid w:val="000F1EA8"/>
    <w:rsid w:val="000F2ED6"/>
    <w:rsid w:val="000F5233"/>
    <w:rsid w:val="000F54CC"/>
    <w:rsid w:val="000F5DE8"/>
    <w:rsid w:val="000F5EDB"/>
    <w:rsid w:val="000F5F5C"/>
    <w:rsid w:val="000F60A5"/>
    <w:rsid w:val="000F6650"/>
    <w:rsid w:val="000F688D"/>
    <w:rsid w:val="000F6AC2"/>
    <w:rsid w:val="000F7CA6"/>
    <w:rsid w:val="00100221"/>
    <w:rsid w:val="0010209A"/>
    <w:rsid w:val="00106D89"/>
    <w:rsid w:val="001076C9"/>
    <w:rsid w:val="00107E87"/>
    <w:rsid w:val="00112030"/>
    <w:rsid w:val="00112F4D"/>
    <w:rsid w:val="0011352F"/>
    <w:rsid w:val="00113673"/>
    <w:rsid w:val="0011379E"/>
    <w:rsid w:val="00114279"/>
    <w:rsid w:val="00114D3C"/>
    <w:rsid w:val="001154DC"/>
    <w:rsid w:val="001160F8"/>
    <w:rsid w:val="0012063F"/>
    <w:rsid w:val="00121D02"/>
    <w:rsid w:val="00121D9A"/>
    <w:rsid w:val="00122E0C"/>
    <w:rsid w:val="0012386B"/>
    <w:rsid w:val="00123FC9"/>
    <w:rsid w:val="00124087"/>
    <w:rsid w:val="00124619"/>
    <w:rsid w:val="0012584F"/>
    <w:rsid w:val="00125CE3"/>
    <w:rsid w:val="001307CB"/>
    <w:rsid w:val="00132820"/>
    <w:rsid w:val="00132BA1"/>
    <w:rsid w:val="00132E71"/>
    <w:rsid w:val="00132E8C"/>
    <w:rsid w:val="0013304A"/>
    <w:rsid w:val="00134ABE"/>
    <w:rsid w:val="00135FCA"/>
    <w:rsid w:val="001372F4"/>
    <w:rsid w:val="001409D9"/>
    <w:rsid w:val="00140C20"/>
    <w:rsid w:val="001411BF"/>
    <w:rsid w:val="0014150E"/>
    <w:rsid w:val="0014162B"/>
    <w:rsid w:val="0014228D"/>
    <w:rsid w:val="001422FB"/>
    <w:rsid w:val="001426E9"/>
    <w:rsid w:val="00145119"/>
    <w:rsid w:val="00147066"/>
    <w:rsid w:val="0015093F"/>
    <w:rsid w:val="001513E6"/>
    <w:rsid w:val="00153103"/>
    <w:rsid w:val="001561A1"/>
    <w:rsid w:val="00157A87"/>
    <w:rsid w:val="001607D4"/>
    <w:rsid w:val="00162471"/>
    <w:rsid w:val="001646EE"/>
    <w:rsid w:val="001667C0"/>
    <w:rsid w:val="00167774"/>
    <w:rsid w:val="00167B86"/>
    <w:rsid w:val="001702AB"/>
    <w:rsid w:val="0017320D"/>
    <w:rsid w:val="00173947"/>
    <w:rsid w:val="00174852"/>
    <w:rsid w:val="00175269"/>
    <w:rsid w:val="00175D0C"/>
    <w:rsid w:val="00175DF5"/>
    <w:rsid w:val="00176D3B"/>
    <w:rsid w:val="00177824"/>
    <w:rsid w:val="0018019D"/>
    <w:rsid w:val="00181714"/>
    <w:rsid w:val="00181A04"/>
    <w:rsid w:val="00182BF4"/>
    <w:rsid w:val="001835AA"/>
    <w:rsid w:val="00183EDD"/>
    <w:rsid w:val="00183F2F"/>
    <w:rsid w:val="00184934"/>
    <w:rsid w:val="0018679E"/>
    <w:rsid w:val="00186BD9"/>
    <w:rsid w:val="00186E3E"/>
    <w:rsid w:val="001874FC"/>
    <w:rsid w:val="0018759A"/>
    <w:rsid w:val="00187931"/>
    <w:rsid w:val="00192468"/>
    <w:rsid w:val="001928B2"/>
    <w:rsid w:val="001938A1"/>
    <w:rsid w:val="00194C9F"/>
    <w:rsid w:val="00196229"/>
    <w:rsid w:val="001963E2"/>
    <w:rsid w:val="001A073E"/>
    <w:rsid w:val="001A0B4E"/>
    <w:rsid w:val="001A0F7F"/>
    <w:rsid w:val="001A11BD"/>
    <w:rsid w:val="001A21BA"/>
    <w:rsid w:val="001A2836"/>
    <w:rsid w:val="001A2FCB"/>
    <w:rsid w:val="001A3015"/>
    <w:rsid w:val="001A3289"/>
    <w:rsid w:val="001A5672"/>
    <w:rsid w:val="001A7D74"/>
    <w:rsid w:val="001A7EC5"/>
    <w:rsid w:val="001AED19"/>
    <w:rsid w:val="001B13B8"/>
    <w:rsid w:val="001B1BBE"/>
    <w:rsid w:val="001B1D3C"/>
    <w:rsid w:val="001B3C29"/>
    <w:rsid w:val="001B5E63"/>
    <w:rsid w:val="001B61A6"/>
    <w:rsid w:val="001B72CF"/>
    <w:rsid w:val="001C07AC"/>
    <w:rsid w:val="001C09E6"/>
    <w:rsid w:val="001C0ECE"/>
    <w:rsid w:val="001C23CB"/>
    <w:rsid w:val="001C34B6"/>
    <w:rsid w:val="001C6472"/>
    <w:rsid w:val="001D40F3"/>
    <w:rsid w:val="001D449C"/>
    <w:rsid w:val="001D49C2"/>
    <w:rsid w:val="001D60CA"/>
    <w:rsid w:val="001D61B3"/>
    <w:rsid w:val="001D6B04"/>
    <w:rsid w:val="001D6CF3"/>
    <w:rsid w:val="001D6F22"/>
    <w:rsid w:val="001E0B16"/>
    <w:rsid w:val="001E0F48"/>
    <w:rsid w:val="001E11C5"/>
    <w:rsid w:val="001E1409"/>
    <w:rsid w:val="001E25FA"/>
    <w:rsid w:val="001E35BC"/>
    <w:rsid w:val="001E396E"/>
    <w:rsid w:val="001E40B9"/>
    <w:rsid w:val="001E54EA"/>
    <w:rsid w:val="001E6C3F"/>
    <w:rsid w:val="001E7B7C"/>
    <w:rsid w:val="001E7E85"/>
    <w:rsid w:val="001F0A1E"/>
    <w:rsid w:val="001F0D3B"/>
    <w:rsid w:val="001F1378"/>
    <w:rsid w:val="001F146D"/>
    <w:rsid w:val="001F1A3A"/>
    <w:rsid w:val="001F22DE"/>
    <w:rsid w:val="001F31BB"/>
    <w:rsid w:val="001F35AA"/>
    <w:rsid w:val="001F3E41"/>
    <w:rsid w:val="001F45B8"/>
    <w:rsid w:val="001F48AA"/>
    <w:rsid w:val="001F48AE"/>
    <w:rsid w:val="001F657B"/>
    <w:rsid w:val="001F72FC"/>
    <w:rsid w:val="001F79C1"/>
    <w:rsid w:val="002004CC"/>
    <w:rsid w:val="00200EF6"/>
    <w:rsid w:val="002027FC"/>
    <w:rsid w:val="00202CA2"/>
    <w:rsid w:val="0020348F"/>
    <w:rsid w:val="002040B6"/>
    <w:rsid w:val="00205156"/>
    <w:rsid w:val="0020519D"/>
    <w:rsid w:val="002058DC"/>
    <w:rsid w:val="00206AB2"/>
    <w:rsid w:val="0020773B"/>
    <w:rsid w:val="00207F12"/>
    <w:rsid w:val="0021020A"/>
    <w:rsid w:val="00210334"/>
    <w:rsid w:val="00211737"/>
    <w:rsid w:val="00211885"/>
    <w:rsid w:val="00212361"/>
    <w:rsid w:val="002124FE"/>
    <w:rsid w:val="00212CFA"/>
    <w:rsid w:val="002138AF"/>
    <w:rsid w:val="00213981"/>
    <w:rsid w:val="00213DBE"/>
    <w:rsid w:val="00214782"/>
    <w:rsid w:val="0021586C"/>
    <w:rsid w:val="00215DBC"/>
    <w:rsid w:val="0021659A"/>
    <w:rsid w:val="00216891"/>
    <w:rsid w:val="00216B14"/>
    <w:rsid w:val="002174AC"/>
    <w:rsid w:val="00217C3B"/>
    <w:rsid w:val="0022084E"/>
    <w:rsid w:val="002210FD"/>
    <w:rsid w:val="0022209B"/>
    <w:rsid w:val="00222765"/>
    <w:rsid w:val="00222BFE"/>
    <w:rsid w:val="00223203"/>
    <w:rsid w:val="00224B8D"/>
    <w:rsid w:val="00225881"/>
    <w:rsid w:val="0022628F"/>
    <w:rsid w:val="002267C8"/>
    <w:rsid w:val="002268C5"/>
    <w:rsid w:val="00226B43"/>
    <w:rsid w:val="00226BDA"/>
    <w:rsid w:val="00226D86"/>
    <w:rsid w:val="0022721F"/>
    <w:rsid w:val="00230294"/>
    <w:rsid w:val="00231321"/>
    <w:rsid w:val="00232AE3"/>
    <w:rsid w:val="00232B60"/>
    <w:rsid w:val="00232DBF"/>
    <w:rsid w:val="002343D5"/>
    <w:rsid w:val="002347F3"/>
    <w:rsid w:val="00236560"/>
    <w:rsid w:val="00236A9B"/>
    <w:rsid w:val="00237C4A"/>
    <w:rsid w:val="00240108"/>
    <w:rsid w:val="002403CA"/>
    <w:rsid w:val="0024059F"/>
    <w:rsid w:val="0024069E"/>
    <w:rsid w:val="00240731"/>
    <w:rsid w:val="00241F64"/>
    <w:rsid w:val="00243EC9"/>
    <w:rsid w:val="00244FAC"/>
    <w:rsid w:val="002461DF"/>
    <w:rsid w:val="00251E7E"/>
    <w:rsid w:val="00251F55"/>
    <w:rsid w:val="002546B3"/>
    <w:rsid w:val="00255630"/>
    <w:rsid w:val="00255C42"/>
    <w:rsid w:val="00256647"/>
    <w:rsid w:val="0025726D"/>
    <w:rsid w:val="00257B44"/>
    <w:rsid w:val="002607E0"/>
    <w:rsid w:val="0026105B"/>
    <w:rsid w:val="002611D3"/>
    <w:rsid w:val="002613F2"/>
    <w:rsid w:val="00261857"/>
    <w:rsid w:val="00261CFB"/>
    <w:rsid w:val="00262A5C"/>
    <w:rsid w:val="00263160"/>
    <w:rsid w:val="002644E7"/>
    <w:rsid w:val="002669E4"/>
    <w:rsid w:val="00266E87"/>
    <w:rsid w:val="002671D3"/>
    <w:rsid w:val="002700B0"/>
    <w:rsid w:val="00271CBA"/>
    <w:rsid w:val="00272244"/>
    <w:rsid w:val="0027278C"/>
    <w:rsid w:val="00273DC1"/>
    <w:rsid w:val="00274ACC"/>
    <w:rsid w:val="00276B2A"/>
    <w:rsid w:val="00276B32"/>
    <w:rsid w:val="0027769A"/>
    <w:rsid w:val="00285237"/>
    <w:rsid w:val="00286108"/>
    <w:rsid w:val="00286B7A"/>
    <w:rsid w:val="00291041"/>
    <w:rsid w:val="0029210B"/>
    <w:rsid w:val="00292600"/>
    <w:rsid w:val="00294867"/>
    <w:rsid w:val="00294C66"/>
    <w:rsid w:val="002963E1"/>
    <w:rsid w:val="00297933"/>
    <w:rsid w:val="002A0118"/>
    <w:rsid w:val="002A1205"/>
    <w:rsid w:val="002A14BD"/>
    <w:rsid w:val="002A3B21"/>
    <w:rsid w:val="002A3B66"/>
    <w:rsid w:val="002A57C1"/>
    <w:rsid w:val="002A6AE8"/>
    <w:rsid w:val="002A6B43"/>
    <w:rsid w:val="002A7D15"/>
    <w:rsid w:val="002B0840"/>
    <w:rsid w:val="002B0879"/>
    <w:rsid w:val="002B12F6"/>
    <w:rsid w:val="002B14B1"/>
    <w:rsid w:val="002B164D"/>
    <w:rsid w:val="002B25F0"/>
    <w:rsid w:val="002B2E08"/>
    <w:rsid w:val="002B341E"/>
    <w:rsid w:val="002B3EEF"/>
    <w:rsid w:val="002B40A1"/>
    <w:rsid w:val="002B59E6"/>
    <w:rsid w:val="002B65EE"/>
    <w:rsid w:val="002B6F16"/>
    <w:rsid w:val="002B73CC"/>
    <w:rsid w:val="002B7477"/>
    <w:rsid w:val="002C0655"/>
    <w:rsid w:val="002C0A83"/>
    <w:rsid w:val="002C0F84"/>
    <w:rsid w:val="002C1A3F"/>
    <w:rsid w:val="002C1AFF"/>
    <w:rsid w:val="002C2878"/>
    <w:rsid w:val="002C2B6C"/>
    <w:rsid w:val="002C3F8A"/>
    <w:rsid w:val="002C5322"/>
    <w:rsid w:val="002C626E"/>
    <w:rsid w:val="002C677A"/>
    <w:rsid w:val="002C70DF"/>
    <w:rsid w:val="002C7585"/>
    <w:rsid w:val="002C7DFD"/>
    <w:rsid w:val="002D060B"/>
    <w:rsid w:val="002D0734"/>
    <w:rsid w:val="002D08E6"/>
    <w:rsid w:val="002D1C75"/>
    <w:rsid w:val="002D2A2E"/>
    <w:rsid w:val="002D309D"/>
    <w:rsid w:val="002D4C6A"/>
    <w:rsid w:val="002D659E"/>
    <w:rsid w:val="002D719E"/>
    <w:rsid w:val="002D71F5"/>
    <w:rsid w:val="002E0265"/>
    <w:rsid w:val="002E0B9B"/>
    <w:rsid w:val="002E1583"/>
    <w:rsid w:val="002E31D8"/>
    <w:rsid w:val="002E3775"/>
    <w:rsid w:val="002E4271"/>
    <w:rsid w:val="002E7A53"/>
    <w:rsid w:val="002F115A"/>
    <w:rsid w:val="002F1737"/>
    <w:rsid w:val="002F1F5E"/>
    <w:rsid w:val="002F2490"/>
    <w:rsid w:val="002F30D3"/>
    <w:rsid w:val="002F3722"/>
    <w:rsid w:val="002F4DF4"/>
    <w:rsid w:val="002F67D7"/>
    <w:rsid w:val="002F72A4"/>
    <w:rsid w:val="002F7455"/>
    <w:rsid w:val="002F74E6"/>
    <w:rsid w:val="00302E1B"/>
    <w:rsid w:val="00302FFD"/>
    <w:rsid w:val="0030350A"/>
    <w:rsid w:val="003057B2"/>
    <w:rsid w:val="0030597C"/>
    <w:rsid w:val="00307812"/>
    <w:rsid w:val="00307998"/>
    <w:rsid w:val="00307C95"/>
    <w:rsid w:val="003103CD"/>
    <w:rsid w:val="00310AD1"/>
    <w:rsid w:val="00311AB5"/>
    <w:rsid w:val="00313517"/>
    <w:rsid w:val="00313A87"/>
    <w:rsid w:val="00314C1E"/>
    <w:rsid w:val="00315837"/>
    <w:rsid w:val="00316654"/>
    <w:rsid w:val="00317C97"/>
    <w:rsid w:val="003206E8"/>
    <w:rsid w:val="0032112B"/>
    <w:rsid w:val="00321DED"/>
    <w:rsid w:val="003230D3"/>
    <w:rsid w:val="00324FCC"/>
    <w:rsid w:val="00325AB3"/>
    <w:rsid w:val="00326969"/>
    <w:rsid w:val="003270CD"/>
    <w:rsid w:val="00327338"/>
    <w:rsid w:val="003311F8"/>
    <w:rsid w:val="0033189F"/>
    <w:rsid w:val="00331949"/>
    <w:rsid w:val="00331A98"/>
    <w:rsid w:val="00331E7A"/>
    <w:rsid w:val="003324CE"/>
    <w:rsid w:val="00332A5E"/>
    <w:rsid w:val="00332A6F"/>
    <w:rsid w:val="00332BEC"/>
    <w:rsid w:val="00334194"/>
    <w:rsid w:val="00337805"/>
    <w:rsid w:val="00340441"/>
    <w:rsid w:val="00342828"/>
    <w:rsid w:val="00342906"/>
    <w:rsid w:val="00344ABD"/>
    <w:rsid w:val="003478A4"/>
    <w:rsid w:val="00347BCB"/>
    <w:rsid w:val="00350B69"/>
    <w:rsid w:val="00351A87"/>
    <w:rsid w:val="003525B9"/>
    <w:rsid w:val="00352C26"/>
    <w:rsid w:val="0035363D"/>
    <w:rsid w:val="003546AB"/>
    <w:rsid w:val="003549E7"/>
    <w:rsid w:val="00356000"/>
    <w:rsid w:val="00356E75"/>
    <w:rsid w:val="00357FD1"/>
    <w:rsid w:val="00357FF2"/>
    <w:rsid w:val="00360268"/>
    <w:rsid w:val="003606D2"/>
    <w:rsid w:val="00360A28"/>
    <w:rsid w:val="003613E4"/>
    <w:rsid w:val="003617A0"/>
    <w:rsid w:val="003621AD"/>
    <w:rsid w:val="003624FA"/>
    <w:rsid w:val="00363894"/>
    <w:rsid w:val="0036430A"/>
    <w:rsid w:val="0036454B"/>
    <w:rsid w:val="00367D77"/>
    <w:rsid w:val="00371DE2"/>
    <w:rsid w:val="0037278C"/>
    <w:rsid w:val="00372E91"/>
    <w:rsid w:val="00373764"/>
    <w:rsid w:val="00373C0B"/>
    <w:rsid w:val="00374CF9"/>
    <w:rsid w:val="00374D7F"/>
    <w:rsid w:val="00375B1C"/>
    <w:rsid w:val="003766A7"/>
    <w:rsid w:val="00382ABF"/>
    <w:rsid w:val="003837BA"/>
    <w:rsid w:val="003838AB"/>
    <w:rsid w:val="003838D4"/>
    <w:rsid w:val="003842EE"/>
    <w:rsid w:val="00385B06"/>
    <w:rsid w:val="00390FE3"/>
    <w:rsid w:val="00391502"/>
    <w:rsid w:val="00392ED6"/>
    <w:rsid w:val="0039388B"/>
    <w:rsid w:val="00393D04"/>
    <w:rsid w:val="003940EC"/>
    <w:rsid w:val="0039460D"/>
    <w:rsid w:val="00394D27"/>
    <w:rsid w:val="00395344"/>
    <w:rsid w:val="00395D53"/>
    <w:rsid w:val="00395EE2"/>
    <w:rsid w:val="00396ADD"/>
    <w:rsid w:val="00396E92"/>
    <w:rsid w:val="003A03C3"/>
    <w:rsid w:val="003A2762"/>
    <w:rsid w:val="003A2D06"/>
    <w:rsid w:val="003A4AB0"/>
    <w:rsid w:val="003A5B6C"/>
    <w:rsid w:val="003A64D3"/>
    <w:rsid w:val="003A67EA"/>
    <w:rsid w:val="003A6A8A"/>
    <w:rsid w:val="003A6D05"/>
    <w:rsid w:val="003A7B1C"/>
    <w:rsid w:val="003A7C78"/>
    <w:rsid w:val="003B085D"/>
    <w:rsid w:val="003B0C44"/>
    <w:rsid w:val="003B16A2"/>
    <w:rsid w:val="003B197F"/>
    <w:rsid w:val="003B1A3E"/>
    <w:rsid w:val="003B30FE"/>
    <w:rsid w:val="003B33F3"/>
    <w:rsid w:val="003B400F"/>
    <w:rsid w:val="003B55B9"/>
    <w:rsid w:val="003B62AD"/>
    <w:rsid w:val="003B6A54"/>
    <w:rsid w:val="003B780E"/>
    <w:rsid w:val="003C20DE"/>
    <w:rsid w:val="003C20E2"/>
    <w:rsid w:val="003C2DD3"/>
    <w:rsid w:val="003C37B7"/>
    <w:rsid w:val="003C3DE2"/>
    <w:rsid w:val="003C49AC"/>
    <w:rsid w:val="003C5554"/>
    <w:rsid w:val="003C64D1"/>
    <w:rsid w:val="003C7CE3"/>
    <w:rsid w:val="003D05CF"/>
    <w:rsid w:val="003D0A68"/>
    <w:rsid w:val="003D1125"/>
    <w:rsid w:val="003D11DC"/>
    <w:rsid w:val="003D3149"/>
    <w:rsid w:val="003D4B6F"/>
    <w:rsid w:val="003D4CB7"/>
    <w:rsid w:val="003D65CA"/>
    <w:rsid w:val="003D7AE5"/>
    <w:rsid w:val="003E1689"/>
    <w:rsid w:val="003E1B8A"/>
    <w:rsid w:val="003E2E87"/>
    <w:rsid w:val="003E35A3"/>
    <w:rsid w:val="003E3E4B"/>
    <w:rsid w:val="003E46DD"/>
    <w:rsid w:val="003E4C72"/>
    <w:rsid w:val="003E5AA1"/>
    <w:rsid w:val="003E6347"/>
    <w:rsid w:val="003E6583"/>
    <w:rsid w:val="003E6C6E"/>
    <w:rsid w:val="003E71A7"/>
    <w:rsid w:val="003E7548"/>
    <w:rsid w:val="003EE494"/>
    <w:rsid w:val="003F013A"/>
    <w:rsid w:val="003F01DB"/>
    <w:rsid w:val="003F0883"/>
    <w:rsid w:val="003F0E3B"/>
    <w:rsid w:val="003F0FD4"/>
    <w:rsid w:val="003F169C"/>
    <w:rsid w:val="003F1EED"/>
    <w:rsid w:val="003F1F88"/>
    <w:rsid w:val="003F2C19"/>
    <w:rsid w:val="003F2D22"/>
    <w:rsid w:val="003F4564"/>
    <w:rsid w:val="003F6E24"/>
    <w:rsid w:val="003F7CA8"/>
    <w:rsid w:val="003F7D8D"/>
    <w:rsid w:val="004003CF"/>
    <w:rsid w:val="00400516"/>
    <w:rsid w:val="00400A1F"/>
    <w:rsid w:val="00400B81"/>
    <w:rsid w:val="004021CC"/>
    <w:rsid w:val="00403027"/>
    <w:rsid w:val="004032C7"/>
    <w:rsid w:val="004040C9"/>
    <w:rsid w:val="004048B3"/>
    <w:rsid w:val="00405369"/>
    <w:rsid w:val="00405D94"/>
    <w:rsid w:val="0040698C"/>
    <w:rsid w:val="00407213"/>
    <w:rsid w:val="00411061"/>
    <w:rsid w:val="00411770"/>
    <w:rsid w:val="004139E9"/>
    <w:rsid w:val="00414574"/>
    <w:rsid w:val="00414D7A"/>
    <w:rsid w:val="00414FA8"/>
    <w:rsid w:val="0041532C"/>
    <w:rsid w:val="00417D8E"/>
    <w:rsid w:val="00421425"/>
    <w:rsid w:val="00422E37"/>
    <w:rsid w:val="004235DB"/>
    <w:rsid w:val="00423DD8"/>
    <w:rsid w:val="00423FD4"/>
    <w:rsid w:val="00425F5B"/>
    <w:rsid w:val="00426124"/>
    <w:rsid w:val="004275B4"/>
    <w:rsid w:val="00430CEA"/>
    <w:rsid w:val="004319ED"/>
    <w:rsid w:val="0043404C"/>
    <w:rsid w:val="00434116"/>
    <w:rsid w:val="00436D75"/>
    <w:rsid w:val="00437CB3"/>
    <w:rsid w:val="0044003E"/>
    <w:rsid w:val="00440A77"/>
    <w:rsid w:val="004421E2"/>
    <w:rsid w:val="00442427"/>
    <w:rsid w:val="00442946"/>
    <w:rsid w:val="004438BD"/>
    <w:rsid w:val="004445BF"/>
    <w:rsid w:val="0044505D"/>
    <w:rsid w:val="0044555A"/>
    <w:rsid w:val="004468B9"/>
    <w:rsid w:val="00447A13"/>
    <w:rsid w:val="00447DEE"/>
    <w:rsid w:val="00450749"/>
    <w:rsid w:val="00451921"/>
    <w:rsid w:val="004521A9"/>
    <w:rsid w:val="0045359C"/>
    <w:rsid w:val="00454B74"/>
    <w:rsid w:val="00454F0C"/>
    <w:rsid w:val="0045532D"/>
    <w:rsid w:val="00455661"/>
    <w:rsid w:val="0045647A"/>
    <w:rsid w:val="00456A87"/>
    <w:rsid w:val="0046290F"/>
    <w:rsid w:val="00462A6A"/>
    <w:rsid w:val="00463DA8"/>
    <w:rsid w:val="0046696D"/>
    <w:rsid w:val="004675B4"/>
    <w:rsid w:val="00467BD3"/>
    <w:rsid w:val="004705E6"/>
    <w:rsid w:val="00471726"/>
    <w:rsid w:val="004731B2"/>
    <w:rsid w:val="00473B0C"/>
    <w:rsid w:val="00474289"/>
    <w:rsid w:val="004754FE"/>
    <w:rsid w:val="00477A02"/>
    <w:rsid w:val="00477B8C"/>
    <w:rsid w:val="00480707"/>
    <w:rsid w:val="00480C03"/>
    <w:rsid w:val="00481FAD"/>
    <w:rsid w:val="0048370E"/>
    <w:rsid w:val="00483CE2"/>
    <w:rsid w:val="0048418E"/>
    <w:rsid w:val="00484207"/>
    <w:rsid w:val="0048439D"/>
    <w:rsid w:val="00484604"/>
    <w:rsid w:val="00484EE5"/>
    <w:rsid w:val="0048693B"/>
    <w:rsid w:val="00486B0D"/>
    <w:rsid w:val="0048738B"/>
    <w:rsid w:val="0049052B"/>
    <w:rsid w:val="0049056A"/>
    <w:rsid w:val="0049093D"/>
    <w:rsid w:val="00491C8B"/>
    <w:rsid w:val="00492FA3"/>
    <w:rsid w:val="00493EF6"/>
    <w:rsid w:val="004945A8"/>
    <w:rsid w:val="00494E45"/>
    <w:rsid w:val="004954B4"/>
    <w:rsid w:val="0049567F"/>
    <w:rsid w:val="004959A5"/>
    <w:rsid w:val="00496600"/>
    <w:rsid w:val="004968D8"/>
    <w:rsid w:val="004970E2"/>
    <w:rsid w:val="0049778C"/>
    <w:rsid w:val="004A01B0"/>
    <w:rsid w:val="004A04BA"/>
    <w:rsid w:val="004A0E95"/>
    <w:rsid w:val="004A3D44"/>
    <w:rsid w:val="004A44E3"/>
    <w:rsid w:val="004A497D"/>
    <w:rsid w:val="004A4A5D"/>
    <w:rsid w:val="004A4F9C"/>
    <w:rsid w:val="004A510D"/>
    <w:rsid w:val="004A58E5"/>
    <w:rsid w:val="004A599E"/>
    <w:rsid w:val="004A6677"/>
    <w:rsid w:val="004A6751"/>
    <w:rsid w:val="004A706B"/>
    <w:rsid w:val="004B016C"/>
    <w:rsid w:val="004B2CE2"/>
    <w:rsid w:val="004B39C5"/>
    <w:rsid w:val="004B3C6E"/>
    <w:rsid w:val="004B69BD"/>
    <w:rsid w:val="004B746C"/>
    <w:rsid w:val="004B7B35"/>
    <w:rsid w:val="004C079D"/>
    <w:rsid w:val="004C0E43"/>
    <w:rsid w:val="004C1B9A"/>
    <w:rsid w:val="004C2C0D"/>
    <w:rsid w:val="004C34AE"/>
    <w:rsid w:val="004C38A2"/>
    <w:rsid w:val="004C3AF9"/>
    <w:rsid w:val="004C3E4F"/>
    <w:rsid w:val="004C581C"/>
    <w:rsid w:val="004C5825"/>
    <w:rsid w:val="004C5BE3"/>
    <w:rsid w:val="004C66ED"/>
    <w:rsid w:val="004C7896"/>
    <w:rsid w:val="004D0CEB"/>
    <w:rsid w:val="004D0F91"/>
    <w:rsid w:val="004D24BA"/>
    <w:rsid w:val="004D588A"/>
    <w:rsid w:val="004E00F2"/>
    <w:rsid w:val="004E1C04"/>
    <w:rsid w:val="004E346A"/>
    <w:rsid w:val="004E5A85"/>
    <w:rsid w:val="004E616F"/>
    <w:rsid w:val="004E6B8E"/>
    <w:rsid w:val="004F0020"/>
    <w:rsid w:val="004F012A"/>
    <w:rsid w:val="004F13E7"/>
    <w:rsid w:val="004F276E"/>
    <w:rsid w:val="004F42C4"/>
    <w:rsid w:val="004F55AB"/>
    <w:rsid w:val="004F5954"/>
    <w:rsid w:val="004F711B"/>
    <w:rsid w:val="0050111B"/>
    <w:rsid w:val="005038E6"/>
    <w:rsid w:val="00504097"/>
    <w:rsid w:val="005040BA"/>
    <w:rsid w:val="00504C7B"/>
    <w:rsid w:val="00505542"/>
    <w:rsid w:val="0050557B"/>
    <w:rsid w:val="00506C78"/>
    <w:rsid w:val="005073C5"/>
    <w:rsid w:val="00510242"/>
    <w:rsid w:val="00510F89"/>
    <w:rsid w:val="00511750"/>
    <w:rsid w:val="00512305"/>
    <w:rsid w:val="005134D6"/>
    <w:rsid w:val="005147A9"/>
    <w:rsid w:val="00514C49"/>
    <w:rsid w:val="005150D2"/>
    <w:rsid w:val="00515498"/>
    <w:rsid w:val="005165D1"/>
    <w:rsid w:val="00517456"/>
    <w:rsid w:val="00517880"/>
    <w:rsid w:val="00522A82"/>
    <w:rsid w:val="00522AE2"/>
    <w:rsid w:val="00523AF3"/>
    <w:rsid w:val="00527211"/>
    <w:rsid w:val="00527B95"/>
    <w:rsid w:val="0053038F"/>
    <w:rsid w:val="00530D82"/>
    <w:rsid w:val="00530F47"/>
    <w:rsid w:val="005319B3"/>
    <w:rsid w:val="0053304E"/>
    <w:rsid w:val="00534796"/>
    <w:rsid w:val="00534B1C"/>
    <w:rsid w:val="00534D6A"/>
    <w:rsid w:val="005356A8"/>
    <w:rsid w:val="00536AC1"/>
    <w:rsid w:val="00536E09"/>
    <w:rsid w:val="00537222"/>
    <w:rsid w:val="005374CB"/>
    <w:rsid w:val="00537582"/>
    <w:rsid w:val="00537B89"/>
    <w:rsid w:val="00541642"/>
    <w:rsid w:val="00542DC6"/>
    <w:rsid w:val="005436B8"/>
    <w:rsid w:val="005447E0"/>
    <w:rsid w:val="00544F82"/>
    <w:rsid w:val="0054563C"/>
    <w:rsid w:val="0054671B"/>
    <w:rsid w:val="0054700F"/>
    <w:rsid w:val="00547037"/>
    <w:rsid w:val="0054731D"/>
    <w:rsid w:val="00554173"/>
    <w:rsid w:val="00554466"/>
    <w:rsid w:val="005545DD"/>
    <w:rsid w:val="0055661B"/>
    <w:rsid w:val="00556A8F"/>
    <w:rsid w:val="00556D88"/>
    <w:rsid w:val="0055709D"/>
    <w:rsid w:val="00557382"/>
    <w:rsid w:val="00560290"/>
    <w:rsid w:val="00560A78"/>
    <w:rsid w:val="005620AB"/>
    <w:rsid w:val="005643EB"/>
    <w:rsid w:val="00566E9A"/>
    <w:rsid w:val="00570056"/>
    <w:rsid w:val="005708E0"/>
    <w:rsid w:val="0057091C"/>
    <w:rsid w:val="00571038"/>
    <w:rsid w:val="00571297"/>
    <w:rsid w:val="0057387A"/>
    <w:rsid w:val="00573E77"/>
    <w:rsid w:val="005740A7"/>
    <w:rsid w:val="00574171"/>
    <w:rsid w:val="005802C7"/>
    <w:rsid w:val="005804F1"/>
    <w:rsid w:val="0058102E"/>
    <w:rsid w:val="00581277"/>
    <w:rsid w:val="005849A8"/>
    <w:rsid w:val="00584E17"/>
    <w:rsid w:val="005862EC"/>
    <w:rsid w:val="005874E7"/>
    <w:rsid w:val="00587C39"/>
    <w:rsid w:val="0059006F"/>
    <w:rsid w:val="00590CCB"/>
    <w:rsid w:val="0059178C"/>
    <w:rsid w:val="005921A1"/>
    <w:rsid w:val="00592420"/>
    <w:rsid w:val="00592D31"/>
    <w:rsid w:val="0059377D"/>
    <w:rsid w:val="00594171"/>
    <w:rsid w:val="00595B0A"/>
    <w:rsid w:val="00596685"/>
    <w:rsid w:val="005978EA"/>
    <w:rsid w:val="005A009F"/>
    <w:rsid w:val="005A01D9"/>
    <w:rsid w:val="005A0C0C"/>
    <w:rsid w:val="005A1B7F"/>
    <w:rsid w:val="005A24E1"/>
    <w:rsid w:val="005A251A"/>
    <w:rsid w:val="005A2757"/>
    <w:rsid w:val="005A28BF"/>
    <w:rsid w:val="005A29DE"/>
    <w:rsid w:val="005A307B"/>
    <w:rsid w:val="005A6F88"/>
    <w:rsid w:val="005B10E7"/>
    <w:rsid w:val="005B138A"/>
    <w:rsid w:val="005B2CF8"/>
    <w:rsid w:val="005B3595"/>
    <w:rsid w:val="005B47BC"/>
    <w:rsid w:val="005B4BCE"/>
    <w:rsid w:val="005B55CA"/>
    <w:rsid w:val="005B5930"/>
    <w:rsid w:val="005B6F47"/>
    <w:rsid w:val="005B7BAC"/>
    <w:rsid w:val="005C2C19"/>
    <w:rsid w:val="005C40A2"/>
    <w:rsid w:val="005C4687"/>
    <w:rsid w:val="005C4C82"/>
    <w:rsid w:val="005C5ECF"/>
    <w:rsid w:val="005C6A1D"/>
    <w:rsid w:val="005C7205"/>
    <w:rsid w:val="005D0CEB"/>
    <w:rsid w:val="005D0F63"/>
    <w:rsid w:val="005D17D4"/>
    <w:rsid w:val="005D3F45"/>
    <w:rsid w:val="005D4839"/>
    <w:rsid w:val="005D4B53"/>
    <w:rsid w:val="005D51B9"/>
    <w:rsid w:val="005D5DA6"/>
    <w:rsid w:val="005D5FCF"/>
    <w:rsid w:val="005D7B32"/>
    <w:rsid w:val="005D7E25"/>
    <w:rsid w:val="005E1217"/>
    <w:rsid w:val="005E3B07"/>
    <w:rsid w:val="005E3D51"/>
    <w:rsid w:val="005E400F"/>
    <w:rsid w:val="005E40D5"/>
    <w:rsid w:val="005E4487"/>
    <w:rsid w:val="005E5C55"/>
    <w:rsid w:val="005E655B"/>
    <w:rsid w:val="005E7128"/>
    <w:rsid w:val="005E7414"/>
    <w:rsid w:val="005E7470"/>
    <w:rsid w:val="005F0098"/>
    <w:rsid w:val="005F0179"/>
    <w:rsid w:val="005F1807"/>
    <w:rsid w:val="005F1C35"/>
    <w:rsid w:val="005F2B50"/>
    <w:rsid w:val="005F2FF1"/>
    <w:rsid w:val="005F39CE"/>
    <w:rsid w:val="005F6973"/>
    <w:rsid w:val="005F7453"/>
    <w:rsid w:val="005F74E6"/>
    <w:rsid w:val="00601050"/>
    <w:rsid w:val="00603825"/>
    <w:rsid w:val="006042A7"/>
    <w:rsid w:val="006048F5"/>
    <w:rsid w:val="00605142"/>
    <w:rsid w:val="006055D1"/>
    <w:rsid w:val="006068F5"/>
    <w:rsid w:val="00606BBB"/>
    <w:rsid w:val="00606E61"/>
    <w:rsid w:val="00610F92"/>
    <w:rsid w:val="00611EA8"/>
    <w:rsid w:val="00612EA3"/>
    <w:rsid w:val="00615156"/>
    <w:rsid w:val="006159AC"/>
    <w:rsid w:val="00616D1B"/>
    <w:rsid w:val="00617996"/>
    <w:rsid w:val="006221D7"/>
    <w:rsid w:val="0062332E"/>
    <w:rsid w:val="00624299"/>
    <w:rsid w:val="00624919"/>
    <w:rsid w:val="00625485"/>
    <w:rsid w:val="00625626"/>
    <w:rsid w:val="00625B7A"/>
    <w:rsid w:val="00626B42"/>
    <w:rsid w:val="00626CA7"/>
    <w:rsid w:val="00627146"/>
    <w:rsid w:val="00631D26"/>
    <w:rsid w:val="006321FE"/>
    <w:rsid w:val="00633976"/>
    <w:rsid w:val="00633FEC"/>
    <w:rsid w:val="0063505D"/>
    <w:rsid w:val="006352A8"/>
    <w:rsid w:val="006358A3"/>
    <w:rsid w:val="00635C07"/>
    <w:rsid w:val="00637890"/>
    <w:rsid w:val="00637A51"/>
    <w:rsid w:val="00637F23"/>
    <w:rsid w:val="00644A2F"/>
    <w:rsid w:val="00644D8C"/>
    <w:rsid w:val="00644D9B"/>
    <w:rsid w:val="006452E8"/>
    <w:rsid w:val="00646319"/>
    <w:rsid w:val="00646DDA"/>
    <w:rsid w:val="0064700F"/>
    <w:rsid w:val="00647B4F"/>
    <w:rsid w:val="00647CD9"/>
    <w:rsid w:val="00647FE2"/>
    <w:rsid w:val="006505AF"/>
    <w:rsid w:val="00651055"/>
    <w:rsid w:val="006513BE"/>
    <w:rsid w:val="00651438"/>
    <w:rsid w:val="006516FB"/>
    <w:rsid w:val="00651A7D"/>
    <w:rsid w:val="00651AC2"/>
    <w:rsid w:val="00651F0E"/>
    <w:rsid w:val="00651FCA"/>
    <w:rsid w:val="006524B6"/>
    <w:rsid w:val="00652D40"/>
    <w:rsid w:val="00653675"/>
    <w:rsid w:val="00654592"/>
    <w:rsid w:val="006548E7"/>
    <w:rsid w:val="00654C1E"/>
    <w:rsid w:val="00654C63"/>
    <w:rsid w:val="006552DB"/>
    <w:rsid w:val="0065602B"/>
    <w:rsid w:val="00656078"/>
    <w:rsid w:val="0065646E"/>
    <w:rsid w:val="00657593"/>
    <w:rsid w:val="00657661"/>
    <w:rsid w:val="00657EDA"/>
    <w:rsid w:val="0066007C"/>
    <w:rsid w:val="006606EA"/>
    <w:rsid w:val="00660FF3"/>
    <w:rsid w:val="0066162A"/>
    <w:rsid w:val="00662656"/>
    <w:rsid w:val="0066487F"/>
    <w:rsid w:val="00666ED4"/>
    <w:rsid w:val="006675FB"/>
    <w:rsid w:val="00670688"/>
    <w:rsid w:val="00671104"/>
    <w:rsid w:val="00672FDF"/>
    <w:rsid w:val="00673047"/>
    <w:rsid w:val="0067325A"/>
    <w:rsid w:val="00673267"/>
    <w:rsid w:val="006733EC"/>
    <w:rsid w:val="00675D84"/>
    <w:rsid w:val="00676103"/>
    <w:rsid w:val="006761DC"/>
    <w:rsid w:val="00680BC5"/>
    <w:rsid w:val="0068202D"/>
    <w:rsid w:val="006822E5"/>
    <w:rsid w:val="0068251E"/>
    <w:rsid w:val="00683BD1"/>
    <w:rsid w:val="0068537C"/>
    <w:rsid w:val="00685778"/>
    <w:rsid w:val="00687C24"/>
    <w:rsid w:val="00687F1B"/>
    <w:rsid w:val="00690780"/>
    <w:rsid w:val="006909F2"/>
    <w:rsid w:val="006912EC"/>
    <w:rsid w:val="006918B4"/>
    <w:rsid w:val="006918C7"/>
    <w:rsid w:val="0069216E"/>
    <w:rsid w:val="006937DF"/>
    <w:rsid w:val="006943CB"/>
    <w:rsid w:val="006943DE"/>
    <w:rsid w:val="00695B50"/>
    <w:rsid w:val="00696DE6"/>
    <w:rsid w:val="006A0DFF"/>
    <w:rsid w:val="006A1806"/>
    <w:rsid w:val="006A374F"/>
    <w:rsid w:val="006A5A3A"/>
    <w:rsid w:val="006A5BA6"/>
    <w:rsid w:val="006A6C13"/>
    <w:rsid w:val="006A7132"/>
    <w:rsid w:val="006A7499"/>
    <w:rsid w:val="006B0C7F"/>
    <w:rsid w:val="006B209D"/>
    <w:rsid w:val="006B21A7"/>
    <w:rsid w:val="006B340B"/>
    <w:rsid w:val="006B3424"/>
    <w:rsid w:val="006B385F"/>
    <w:rsid w:val="006B39C0"/>
    <w:rsid w:val="006B3C4C"/>
    <w:rsid w:val="006B5E64"/>
    <w:rsid w:val="006B7751"/>
    <w:rsid w:val="006B7CF2"/>
    <w:rsid w:val="006C01B2"/>
    <w:rsid w:val="006C04F5"/>
    <w:rsid w:val="006C0B42"/>
    <w:rsid w:val="006C189A"/>
    <w:rsid w:val="006C1C56"/>
    <w:rsid w:val="006C1CBF"/>
    <w:rsid w:val="006C2945"/>
    <w:rsid w:val="006C3AFC"/>
    <w:rsid w:val="006C3E24"/>
    <w:rsid w:val="006C4616"/>
    <w:rsid w:val="006C4EE2"/>
    <w:rsid w:val="006C59FC"/>
    <w:rsid w:val="006D06FE"/>
    <w:rsid w:val="006D0DC3"/>
    <w:rsid w:val="006D0FB0"/>
    <w:rsid w:val="006D2518"/>
    <w:rsid w:val="006D3049"/>
    <w:rsid w:val="006D3A99"/>
    <w:rsid w:val="006D5C32"/>
    <w:rsid w:val="006D74FC"/>
    <w:rsid w:val="006D79A7"/>
    <w:rsid w:val="006E0597"/>
    <w:rsid w:val="006E0F15"/>
    <w:rsid w:val="006E1BA6"/>
    <w:rsid w:val="006E2906"/>
    <w:rsid w:val="006E2DAB"/>
    <w:rsid w:val="006E497E"/>
    <w:rsid w:val="006E4DDA"/>
    <w:rsid w:val="006E5415"/>
    <w:rsid w:val="006E7449"/>
    <w:rsid w:val="006F14F8"/>
    <w:rsid w:val="006F2C68"/>
    <w:rsid w:val="006F3BAA"/>
    <w:rsid w:val="006F58F3"/>
    <w:rsid w:val="006F6A77"/>
    <w:rsid w:val="006F7C89"/>
    <w:rsid w:val="007006E7"/>
    <w:rsid w:val="0070079B"/>
    <w:rsid w:val="00701494"/>
    <w:rsid w:val="0070271E"/>
    <w:rsid w:val="00704347"/>
    <w:rsid w:val="00704782"/>
    <w:rsid w:val="00704A14"/>
    <w:rsid w:val="00704AA0"/>
    <w:rsid w:val="0070573E"/>
    <w:rsid w:val="00705EB5"/>
    <w:rsid w:val="0071180E"/>
    <w:rsid w:val="00711A01"/>
    <w:rsid w:val="00712067"/>
    <w:rsid w:val="00712AE0"/>
    <w:rsid w:val="00712EF4"/>
    <w:rsid w:val="00713D89"/>
    <w:rsid w:val="00714373"/>
    <w:rsid w:val="007155E9"/>
    <w:rsid w:val="0071587F"/>
    <w:rsid w:val="0071592F"/>
    <w:rsid w:val="00716662"/>
    <w:rsid w:val="00719935"/>
    <w:rsid w:val="0072077E"/>
    <w:rsid w:val="0072282D"/>
    <w:rsid w:val="00722AA4"/>
    <w:rsid w:val="007243F9"/>
    <w:rsid w:val="0072491F"/>
    <w:rsid w:val="00725897"/>
    <w:rsid w:val="00725943"/>
    <w:rsid w:val="00726706"/>
    <w:rsid w:val="00726CC5"/>
    <w:rsid w:val="00727885"/>
    <w:rsid w:val="00727F85"/>
    <w:rsid w:val="00730005"/>
    <w:rsid w:val="00730F54"/>
    <w:rsid w:val="0073455F"/>
    <w:rsid w:val="00734914"/>
    <w:rsid w:val="00734F56"/>
    <w:rsid w:val="00735784"/>
    <w:rsid w:val="00735BAC"/>
    <w:rsid w:val="0073657B"/>
    <w:rsid w:val="00736DE0"/>
    <w:rsid w:val="00737154"/>
    <w:rsid w:val="00737BBC"/>
    <w:rsid w:val="0074012D"/>
    <w:rsid w:val="0074015C"/>
    <w:rsid w:val="0074199D"/>
    <w:rsid w:val="00741A33"/>
    <w:rsid w:val="007420DF"/>
    <w:rsid w:val="00742811"/>
    <w:rsid w:val="00742EA9"/>
    <w:rsid w:val="007433D9"/>
    <w:rsid w:val="00743D12"/>
    <w:rsid w:val="00744B06"/>
    <w:rsid w:val="00747433"/>
    <w:rsid w:val="0075000C"/>
    <w:rsid w:val="00751061"/>
    <w:rsid w:val="007525DB"/>
    <w:rsid w:val="00752D63"/>
    <w:rsid w:val="00753A5E"/>
    <w:rsid w:val="00754804"/>
    <w:rsid w:val="00754BCC"/>
    <w:rsid w:val="00754D12"/>
    <w:rsid w:val="007554EB"/>
    <w:rsid w:val="0075720A"/>
    <w:rsid w:val="00760903"/>
    <w:rsid w:val="00761C0B"/>
    <w:rsid w:val="0076672B"/>
    <w:rsid w:val="007720A1"/>
    <w:rsid w:val="00772137"/>
    <w:rsid w:val="00772BC0"/>
    <w:rsid w:val="00774142"/>
    <w:rsid w:val="00774358"/>
    <w:rsid w:val="007748B5"/>
    <w:rsid w:val="007763F2"/>
    <w:rsid w:val="00777BAF"/>
    <w:rsid w:val="007803AF"/>
    <w:rsid w:val="00780B48"/>
    <w:rsid w:val="0078382B"/>
    <w:rsid w:val="00783AF4"/>
    <w:rsid w:val="00785EFF"/>
    <w:rsid w:val="00785F79"/>
    <w:rsid w:val="0078667C"/>
    <w:rsid w:val="0078696E"/>
    <w:rsid w:val="00787C22"/>
    <w:rsid w:val="00787C61"/>
    <w:rsid w:val="007909E8"/>
    <w:rsid w:val="00790C87"/>
    <w:rsid w:val="00790DBE"/>
    <w:rsid w:val="00791D50"/>
    <w:rsid w:val="007926CC"/>
    <w:rsid w:val="0079303D"/>
    <w:rsid w:val="00793574"/>
    <w:rsid w:val="00793C93"/>
    <w:rsid w:val="00793F11"/>
    <w:rsid w:val="0079449C"/>
    <w:rsid w:val="00795C8C"/>
    <w:rsid w:val="00795E32"/>
    <w:rsid w:val="00796E55"/>
    <w:rsid w:val="007974F9"/>
    <w:rsid w:val="007A0007"/>
    <w:rsid w:val="007A085B"/>
    <w:rsid w:val="007A08EA"/>
    <w:rsid w:val="007A3602"/>
    <w:rsid w:val="007A368B"/>
    <w:rsid w:val="007A3962"/>
    <w:rsid w:val="007A3BE1"/>
    <w:rsid w:val="007A4A09"/>
    <w:rsid w:val="007A5220"/>
    <w:rsid w:val="007A526F"/>
    <w:rsid w:val="007A5DE6"/>
    <w:rsid w:val="007A6234"/>
    <w:rsid w:val="007A6417"/>
    <w:rsid w:val="007A6730"/>
    <w:rsid w:val="007A7714"/>
    <w:rsid w:val="007A7F98"/>
    <w:rsid w:val="007B01CB"/>
    <w:rsid w:val="007B15F2"/>
    <w:rsid w:val="007B2001"/>
    <w:rsid w:val="007B2568"/>
    <w:rsid w:val="007B2D15"/>
    <w:rsid w:val="007B3B85"/>
    <w:rsid w:val="007B3EC9"/>
    <w:rsid w:val="007B5124"/>
    <w:rsid w:val="007B5D20"/>
    <w:rsid w:val="007B6E8B"/>
    <w:rsid w:val="007B7D35"/>
    <w:rsid w:val="007C18EB"/>
    <w:rsid w:val="007C2880"/>
    <w:rsid w:val="007C4983"/>
    <w:rsid w:val="007C5540"/>
    <w:rsid w:val="007C6089"/>
    <w:rsid w:val="007C626E"/>
    <w:rsid w:val="007C7545"/>
    <w:rsid w:val="007C7759"/>
    <w:rsid w:val="007C7D5A"/>
    <w:rsid w:val="007D08D7"/>
    <w:rsid w:val="007D0AF1"/>
    <w:rsid w:val="007D0D56"/>
    <w:rsid w:val="007D4F41"/>
    <w:rsid w:val="007D5025"/>
    <w:rsid w:val="007D572B"/>
    <w:rsid w:val="007D59F9"/>
    <w:rsid w:val="007D6E6E"/>
    <w:rsid w:val="007D70E8"/>
    <w:rsid w:val="007D771E"/>
    <w:rsid w:val="007E106B"/>
    <w:rsid w:val="007E2ECB"/>
    <w:rsid w:val="007E2F37"/>
    <w:rsid w:val="007E340D"/>
    <w:rsid w:val="007E3496"/>
    <w:rsid w:val="007E3B5B"/>
    <w:rsid w:val="007E49E0"/>
    <w:rsid w:val="007E668E"/>
    <w:rsid w:val="007E73CB"/>
    <w:rsid w:val="007E7B90"/>
    <w:rsid w:val="007F2F4B"/>
    <w:rsid w:val="007F445C"/>
    <w:rsid w:val="007F4AAC"/>
    <w:rsid w:val="007F515B"/>
    <w:rsid w:val="008000DA"/>
    <w:rsid w:val="00800448"/>
    <w:rsid w:val="00801331"/>
    <w:rsid w:val="008014E6"/>
    <w:rsid w:val="00801E0B"/>
    <w:rsid w:val="008047CD"/>
    <w:rsid w:val="00805064"/>
    <w:rsid w:val="00805A72"/>
    <w:rsid w:val="008065CD"/>
    <w:rsid w:val="0081079B"/>
    <w:rsid w:val="00811740"/>
    <w:rsid w:val="00811D03"/>
    <w:rsid w:val="008137FC"/>
    <w:rsid w:val="00814462"/>
    <w:rsid w:val="00814654"/>
    <w:rsid w:val="0081552E"/>
    <w:rsid w:val="0081562A"/>
    <w:rsid w:val="0081668F"/>
    <w:rsid w:val="008171B2"/>
    <w:rsid w:val="00821823"/>
    <w:rsid w:val="0082464D"/>
    <w:rsid w:val="00825570"/>
    <w:rsid w:val="00827215"/>
    <w:rsid w:val="008302A2"/>
    <w:rsid w:val="00830F02"/>
    <w:rsid w:val="00831616"/>
    <w:rsid w:val="00831AE8"/>
    <w:rsid w:val="00832104"/>
    <w:rsid w:val="008322C1"/>
    <w:rsid w:val="00832B97"/>
    <w:rsid w:val="0083327C"/>
    <w:rsid w:val="00833FC6"/>
    <w:rsid w:val="00835153"/>
    <w:rsid w:val="008351B2"/>
    <w:rsid w:val="00840CF6"/>
    <w:rsid w:val="0084126A"/>
    <w:rsid w:val="00842320"/>
    <w:rsid w:val="00842DCB"/>
    <w:rsid w:val="00843731"/>
    <w:rsid w:val="008457C7"/>
    <w:rsid w:val="008459D1"/>
    <w:rsid w:val="008468A0"/>
    <w:rsid w:val="00846B68"/>
    <w:rsid w:val="008471D4"/>
    <w:rsid w:val="00847874"/>
    <w:rsid w:val="008504B0"/>
    <w:rsid w:val="008508FC"/>
    <w:rsid w:val="00851FC3"/>
    <w:rsid w:val="0085258D"/>
    <w:rsid w:val="00853A93"/>
    <w:rsid w:val="00854B08"/>
    <w:rsid w:val="00854F8C"/>
    <w:rsid w:val="00855053"/>
    <w:rsid w:val="008557EF"/>
    <w:rsid w:val="008572D6"/>
    <w:rsid w:val="00857FE5"/>
    <w:rsid w:val="00860257"/>
    <w:rsid w:val="008612A0"/>
    <w:rsid w:val="00861A14"/>
    <w:rsid w:val="0086248E"/>
    <w:rsid w:val="00863E01"/>
    <w:rsid w:val="00863ED5"/>
    <w:rsid w:val="008648C5"/>
    <w:rsid w:val="00864D46"/>
    <w:rsid w:val="008658BE"/>
    <w:rsid w:val="0086590A"/>
    <w:rsid w:val="00865B91"/>
    <w:rsid w:val="00867AA4"/>
    <w:rsid w:val="00867D2F"/>
    <w:rsid w:val="0087018E"/>
    <w:rsid w:val="00870CD2"/>
    <w:rsid w:val="00871225"/>
    <w:rsid w:val="00871547"/>
    <w:rsid w:val="0087243D"/>
    <w:rsid w:val="0087313D"/>
    <w:rsid w:val="0087446A"/>
    <w:rsid w:val="00875F96"/>
    <w:rsid w:val="00877311"/>
    <w:rsid w:val="00880A11"/>
    <w:rsid w:val="008811F9"/>
    <w:rsid w:val="008814F1"/>
    <w:rsid w:val="00881F88"/>
    <w:rsid w:val="00885D1A"/>
    <w:rsid w:val="00886E00"/>
    <w:rsid w:val="00887CEA"/>
    <w:rsid w:val="008907C1"/>
    <w:rsid w:val="00890E2E"/>
    <w:rsid w:val="00891434"/>
    <w:rsid w:val="0089171A"/>
    <w:rsid w:val="0089181D"/>
    <w:rsid w:val="008918C7"/>
    <w:rsid w:val="008927E9"/>
    <w:rsid w:val="00895463"/>
    <w:rsid w:val="00895614"/>
    <w:rsid w:val="00896CC8"/>
    <w:rsid w:val="008976EC"/>
    <w:rsid w:val="008A07BD"/>
    <w:rsid w:val="008A1C4E"/>
    <w:rsid w:val="008A1EF0"/>
    <w:rsid w:val="008A34CA"/>
    <w:rsid w:val="008A50B4"/>
    <w:rsid w:val="008A5834"/>
    <w:rsid w:val="008A681C"/>
    <w:rsid w:val="008A7302"/>
    <w:rsid w:val="008B1CA9"/>
    <w:rsid w:val="008B3148"/>
    <w:rsid w:val="008B3D0B"/>
    <w:rsid w:val="008B3FBF"/>
    <w:rsid w:val="008B53FF"/>
    <w:rsid w:val="008B6F84"/>
    <w:rsid w:val="008B74E1"/>
    <w:rsid w:val="008C039A"/>
    <w:rsid w:val="008C0AE0"/>
    <w:rsid w:val="008C0BCA"/>
    <w:rsid w:val="008C10BA"/>
    <w:rsid w:val="008C15B5"/>
    <w:rsid w:val="008C191D"/>
    <w:rsid w:val="008C19C3"/>
    <w:rsid w:val="008C2674"/>
    <w:rsid w:val="008C27B6"/>
    <w:rsid w:val="008C34D1"/>
    <w:rsid w:val="008C469B"/>
    <w:rsid w:val="008C4B09"/>
    <w:rsid w:val="008C4F0F"/>
    <w:rsid w:val="008C5D04"/>
    <w:rsid w:val="008C5FD4"/>
    <w:rsid w:val="008C66C4"/>
    <w:rsid w:val="008C71D8"/>
    <w:rsid w:val="008C74E4"/>
    <w:rsid w:val="008C7B18"/>
    <w:rsid w:val="008D1C9A"/>
    <w:rsid w:val="008D2240"/>
    <w:rsid w:val="008D25D8"/>
    <w:rsid w:val="008D2B0A"/>
    <w:rsid w:val="008D3538"/>
    <w:rsid w:val="008D3E9F"/>
    <w:rsid w:val="008D41E9"/>
    <w:rsid w:val="008D4B8C"/>
    <w:rsid w:val="008D5D9C"/>
    <w:rsid w:val="008D6302"/>
    <w:rsid w:val="008D6443"/>
    <w:rsid w:val="008D6C77"/>
    <w:rsid w:val="008E11D1"/>
    <w:rsid w:val="008E2E09"/>
    <w:rsid w:val="008E3FCC"/>
    <w:rsid w:val="008E40F4"/>
    <w:rsid w:val="008E4970"/>
    <w:rsid w:val="008E5751"/>
    <w:rsid w:val="008E5A50"/>
    <w:rsid w:val="008E5CED"/>
    <w:rsid w:val="008E6027"/>
    <w:rsid w:val="008E6032"/>
    <w:rsid w:val="008E67F8"/>
    <w:rsid w:val="008E74FE"/>
    <w:rsid w:val="008F1248"/>
    <w:rsid w:val="008F1F4A"/>
    <w:rsid w:val="008F23B2"/>
    <w:rsid w:val="008F3072"/>
    <w:rsid w:val="008F743D"/>
    <w:rsid w:val="008F7F36"/>
    <w:rsid w:val="0090080B"/>
    <w:rsid w:val="00900BF8"/>
    <w:rsid w:val="009013D1"/>
    <w:rsid w:val="00901B62"/>
    <w:rsid w:val="009052AE"/>
    <w:rsid w:val="00906EB9"/>
    <w:rsid w:val="00907F4F"/>
    <w:rsid w:val="00910930"/>
    <w:rsid w:val="00910A92"/>
    <w:rsid w:val="00911FA2"/>
    <w:rsid w:val="00914DE5"/>
    <w:rsid w:val="00915A16"/>
    <w:rsid w:val="00920493"/>
    <w:rsid w:val="00920970"/>
    <w:rsid w:val="00920D80"/>
    <w:rsid w:val="00922ED1"/>
    <w:rsid w:val="009237A2"/>
    <w:rsid w:val="009239DC"/>
    <w:rsid w:val="00925394"/>
    <w:rsid w:val="0092604F"/>
    <w:rsid w:val="00926834"/>
    <w:rsid w:val="009273AD"/>
    <w:rsid w:val="009303A8"/>
    <w:rsid w:val="00931090"/>
    <w:rsid w:val="00932488"/>
    <w:rsid w:val="00933281"/>
    <w:rsid w:val="00933872"/>
    <w:rsid w:val="00934EBF"/>
    <w:rsid w:val="009354A9"/>
    <w:rsid w:val="00935F52"/>
    <w:rsid w:val="009360F9"/>
    <w:rsid w:val="00937309"/>
    <w:rsid w:val="009373A5"/>
    <w:rsid w:val="00940802"/>
    <w:rsid w:val="0094084E"/>
    <w:rsid w:val="009417D3"/>
    <w:rsid w:val="009422DD"/>
    <w:rsid w:val="00942652"/>
    <w:rsid w:val="00943C92"/>
    <w:rsid w:val="00943F44"/>
    <w:rsid w:val="009443B8"/>
    <w:rsid w:val="009459B7"/>
    <w:rsid w:val="00946E1A"/>
    <w:rsid w:val="009471EB"/>
    <w:rsid w:val="0095028B"/>
    <w:rsid w:val="00950900"/>
    <w:rsid w:val="00952666"/>
    <w:rsid w:val="00954B00"/>
    <w:rsid w:val="00956DC2"/>
    <w:rsid w:val="00961127"/>
    <w:rsid w:val="00962491"/>
    <w:rsid w:val="009630BA"/>
    <w:rsid w:val="0096654A"/>
    <w:rsid w:val="00967158"/>
    <w:rsid w:val="00967C05"/>
    <w:rsid w:val="0097071D"/>
    <w:rsid w:val="00970E5E"/>
    <w:rsid w:val="009725B1"/>
    <w:rsid w:val="00973C07"/>
    <w:rsid w:val="00975937"/>
    <w:rsid w:val="0098218D"/>
    <w:rsid w:val="009826FE"/>
    <w:rsid w:val="00982819"/>
    <w:rsid w:val="00982C49"/>
    <w:rsid w:val="0098467A"/>
    <w:rsid w:val="00984719"/>
    <w:rsid w:val="00986BA7"/>
    <w:rsid w:val="00986E72"/>
    <w:rsid w:val="00987205"/>
    <w:rsid w:val="00990E16"/>
    <w:rsid w:val="009915FD"/>
    <w:rsid w:val="00991A50"/>
    <w:rsid w:val="009930B8"/>
    <w:rsid w:val="00993861"/>
    <w:rsid w:val="00993918"/>
    <w:rsid w:val="009940A2"/>
    <w:rsid w:val="00994AB8"/>
    <w:rsid w:val="0099618A"/>
    <w:rsid w:val="0099656C"/>
    <w:rsid w:val="00996802"/>
    <w:rsid w:val="00996D83"/>
    <w:rsid w:val="009A02A1"/>
    <w:rsid w:val="009A1C39"/>
    <w:rsid w:val="009A231B"/>
    <w:rsid w:val="009A36EF"/>
    <w:rsid w:val="009A5439"/>
    <w:rsid w:val="009A5F84"/>
    <w:rsid w:val="009A6F79"/>
    <w:rsid w:val="009B05EF"/>
    <w:rsid w:val="009B0B41"/>
    <w:rsid w:val="009B0E99"/>
    <w:rsid w:val="009B2E95"/>
    <w:rsid w:val="009B45FC"/>
    <w:rsid w:val="009B512C"/>
    <w:rsid w:val="009B5214"/>
    <w:rsid w:val="009B5D03"/>
    <w:rsid w:val="009B5FDE"/>
    <w:rsid w:val="009B6330"/>
    <w:rsid w:val="009B6341"/>
    <w:rsid w:val="009B7ADA"/>
    <w:rsid w:val="009BF095"/>
    <w:rsid w:val="009C0E30"/>
    <w:rsid w:val="009C1749"/>
    <w:rsid w:val="009C1D25"/>
    <w:rsid w:val="009C1F57"/>
    <w:rsid w:val="009C32A3"/>
    <w:rsid w:val="009C3351"/>
    <w:rsid w:val="009C3F4D"/>
    <w:rsid w:val="009C4B57"/>
    <w:rsid w:val="009D1087"/>
    <w:rsid w:val="009D2FDB"/>
    <w:rsid w:val="009D3D9A"/>
    <w:rsid w:val="009D67F9"/>
    <w:rsid w:val="009D7DE6"/>
    <w:rsid w:val="009E18A0"/>
    <w:rsid w:val="009E2113"/>
    <w:rsid w:val="009E221F"/>
    <w:rsid w:val="009E2989"/>
    <w:rsid w:val="009E2F71"/>
    <w:rsid w:val="009E3631"/>
    <w:rsid w:val="009E3FF7"/>
    <w:rsid w:val="009E4212"/>
    <w:rsid w:val="009E4FFC"/>
    <w:rsid w:val="009E54DB"/>
    <w:rsid w:val="009E552B"/>
    <w:rsid w:val="009E721B"/>
    <w:rsid w:val="009E72F3"/>
    <w:rsid w:val="009E7B34"/>
    <w:rsid w:val="009E7C1E"/>
    <w:rsid w:val="009E7D39"/>
    <w:rsid w:val="009E7DB5"/>
    <w:rsid w:val="009F0ACB"/>
    <w:rsid w:val="009F1903"/>
    <w:rsid w:val="009F25DC"/>
    <w:rsid w:val="009F320F"/>
    <w:rsid w:val="009F4315"/>
    <w:rsid w:val="009F4891"/>
    <w:rsid w:val="009F4BF2"/>
    <w:rsid w:val="009F59DA"/>
    <w:rsid w:val="009F5AFD"/>
    <w:rsid w:val="009F5E93"/>
    <w:rsid w:val="009F66AB"/>
    <w:rsid w:val="009F6987"/>
    <w:rsid w:val="009F763D"/>
    <w:rsid w:val="00A018F7"/>
    <w:rsid w:val="00A033C7"/>
    <w:rsid w:val="00A0367E"/>
    <w:rsid w:val="00A05600"/>
    <w:rsid w:val="00A05C16"/>
    <w:rsid w:val="00A05D78"/>
    <w:rsid w:val="00A06509"/>
    <w:rsid w:val="00A067CC"/>
    <w:rsid w:val="00A07464"/>
    <w:rsid w:val="00A0749E"/>
    <w:rsid w:val="00A074EB"/>
    <w:rsid w:val="00A10F8B"/>
    <w:rsid w:val="00A115F0"/>
    <w:rsid w:val="00A11CB6"/>
    <w:rsid w:val="00A13EEA"/>
    <w:rsid w:val="00A14163"/>
    <w:rsid w:val="00A141A4"/>
    <w:rsid w:val="00A14436"/>
    <w:rsid w:val="00A1568F"/>
    <w:rsid w:val="00A15856"/>
    <w:rsid w:val="00A15A0C"/>
    <w:rsid w:val="00A16853"/>
    <w:rsid w:val="00A201C4"/>
    <w:rsid w:val="00A206A6"/>
    <w:rsid w:val="00A20A97"/>
    <w:rsid w:val="00A22A79"/>
    <w:rsid w:val="00A22CFE"/>
    <w:rsid w:val="00A22D78"/>
    <w:rsid w:val="00A22FA8"/>
    <w:rsid w:val="00A23396"/>
    <w:rsid w:val="00A238A5"/>
    <w:rsid w:val="00A23A6E"/>
    <w:rsid w:val="00A2684A"/>
    <w:rsid w:val="00A26A22"/>
    <w:rsid w:val="00A26FBD"/>
    <w:rsid w:val="00A27753"/>
    <w:rsid w:val="00A321AD"/>
    <w:rsid w:val="00A329C7"/>
    <w:rsid w:val="00A33214"/>
    <w:rsid w:val="00A332CD"/>
    <w:rsid w:val="00A350A8"/>
    <w:rsid w:val="00A364B7"/>
    <w:rsid w:val="00A3745C"/>
    <w:rsid w:val="00A3768A"/>
    <w:rsid w:val="00A40704"/>
    <w:rsid w:val="00A408DA"/>
    <w:rsid w:val="00A40E11"/>
    <w:rsid w:val="00A41127"/>
    <w:rsid w:val="00A420D8"/>
    <w:rsid w:val="00A429D5"/>
    <w:rsid w:val="00A42B51"/>
    <w:rsid w:val="00A44AA2"/>
    <w:rsid w:val="00A44B2E"/>
    <w:rsid w:val="00A45A80"/>
    <w:rsid w:val="00A5132E"/>
    <w:rsid w:val="00A515AF"/>
    <w:rsid w:val="00A51E75"/>
    <w:rsid w:val="00A52787"/>
    <w:rsid w:val="00A52BEA"/>
    <w:rsid w:val="00A535BE"/>
    <w:rsid w:val="00A53A0E"/>
    <w:rsid w:val="00A54CEB"/>
    <w:rsid w:val="00A55954"/>
    <w:rsid w:val="00A560F4"/>
    <w:rsid w:val="00A56D43"/>
    <w:rsid w:val="00A570EA"/>
    <w:rsid w:val="00A57352"/>
    <w:rsid w:val="00A57ECB"/>
    <w:rsid w:val="00A6040B"/>
    <w:rsid w:val="00A60D5B"/>
    <w:rsid w:val="00A61B12"/>
    <w:rsid w:val="00A626FF"/>
    <w:rsid w:val="00A6422E"/>
    <w:rsid w:val="00A65114"/>
    <w:rsid w:val="00A6551E"/>
    <w:rsid w:val="00A66E20"/>
    <w:rsid w:val="00A66ED1"/>
    <w:rsid w:val="00A671B0"/>
    <w:rsid w:val="00A70A8E"/>
    <w:rsid w:val="00A710B3"/>
    <w:rsid w:val="00A71A9B"/>
    <w:rsid w:val="00A72A50"/>
    <w:rsid w:val="00A73A43"/>
    <w:rsid w:val="00A73B2B"/>
    <w:rsid w:val="00A73B3A"/>
    <w:rsid w:val="00A75AC0"/>
    <w:rsid w:val="00A76880"/>
    <w:rsid w:val="00A7711F"/>
    <w:rsid w:val="00A81387"/>
    <w:rsid w:val="00A8295E"/>
    <w:rsid w:val="00A83E4B"/>
    <w:rsid w:val="00A84203"/>
    <w:rsid w:val="00A861F1"/>
    <w:rsid w:val="00A8784C"/>
    <w:rsid w:val="00A87C84"/>
    <w:rsid w:val="00A90597"/>
    <w:rsid w:val="00A91284"/>
    <w:rsid w:val="00A929B1"/>
    <w:rsid w:val="00A94A5E"/>
    <w:rsid w:val="00A97EB9"/>
    <w:rsid w:val="00AA0B29"/>
    <w:rsid w:val="00AA0D40"/>
    <w:rsid w:val="00AA444A"/>
    <w:rsid w:val="00AA47FD"/>
    <w:rsid w:val="00AA5E9D"/>
    <w:rsid w:val="00AB1213"/>
    <w:rsid w:val="00AB139B"/>
    <w:rsid w:val="00AB13AB"/>
    <w:rsid w:val="00AB1433"/>
    <w:rsid w:val="00AB198C"/>
    <w:rsid w:val="00AB1DBC"/>
    <w:rsid w:val="00AB25AF"/>
    <w:rsid w:val="00AB3154"/>
    <w:rsid w:val="00AB3217"/>
    <w:rsid w:val="00AB47C0"/>
    <w:rsid w:val="00AB4EBC"/>
    <w:rsid w:val="00AB5064"/>
    <w:rsid w:val="00AB6A35"/>
    <w:rsid w:val="00AB7213"/>
    <w:rsid w:val="00AB75A0"/>
    <w:rsid w:val="00AB7E33"/>
    <w:rsid w:val="00AC0138"/>
    <w:rsid w:val="00AC0C79"/>
    <w:rsid w:val="00AC3DB6"/>
    <w:rsid w:val="00AC41C3"/>
    <w:rsid w:val="00AC5898"/>
    <w:rsid w:val="00AC636C"/>
    <w:rsid w:val="00AC6938"/>
    <w:rsid w:val="00AC6B36"/>
    <w:rsid w:val="00AC7ABD"/>
    <w:rsid w:val="00AC7E31"/>
    <w:rsid w:val="00AD09BA"/>
    <w:rsid w:val="00AD0EF5"/>
    <w:rsid w:val="00AD269A"/>
    <w:rsid w:val="00AD3214"/>
    <w:rsid w:val="00AD390E"/>
    <w:rsid w:val="00AD5864"/>
    <w:rsid w:val="00AD6044"/>
    <w:rsid w:val="00AD7837"/>
    <w:rsid w:val="00AE22F4"/>
    <w:rsid w:val="00AE256D"/>
    <w:rsid w:val="00AE2F52"/>
    <w:rsid w:val="00AE3264"/>
    <w:rsid w:val="00AE3378"/>
    <w:rsid w:val="00AE36C3"/>
    <w:rsid w:val="00AE5120"/>
    <w:rsid w:val="00AE6454"/>
    <w:rsid w:val="00AE66D8"/>
    <w:rsid w:val="00AE6957"/>
    <w:rsid w:val="00AE75F8"/>
    <w:rsid w:val="00AF0009"/>
    <w:rsid w:val="00AF1B25"/>
    <w:rsid w:val="00AF219E"/>
    <w:rsid w:val="00AF2738"/>
    <w:rsid w:val="00AF302F"/>
    <w:rsid w:val="00AF4665"/>
    <w:rsid w:val="00AF4DC7"/>
    <w:rsid w:val="00AF5C99"/>
    <w:rsid w:val="00AF6ED3"/>
    <w:rsid w:val="00AF7107"/>
    <w:rsid w:val="00B0052D"/>
    <w:rsid w:val="00B00841"/>
    <w:rsid w:val="00B00954"/>
    <w:rsid w:val="00B01A8A"/>
    <w:rsid w:val="00B01FF4"/>
    <w:rsid w:val="00B023D1"/>
    <w:rsid w:val="00B02AD9"/>
    <w:rsid w:val="00B03C1C"/>
    <w:rsid w:val="00B04836"/>
    <w:rsid w:val="00B04FF6"/>
    <w:rsid w:val="00B059A9"/>
    <w:rsid w:val="00B10F73"/>
    <w:rsid w:val="00B111F9"/>
    <w:rsid w:val="00B111FC"/>
    <w:rsid w:val="00B1136E"/>
    <w:rsid w:val="00B12D8C"/>
    <w:rsid w:val="00B142D1"/>
    <w:rsid w:val="00B14705"/>
    <w:rsid w:val="00B15419"/>
    <w:rsid w:val="00B1551E"/>
    <w:rsid w:val="00B15CA5"/>
    <w:rsid w:val="00B15F4F"/>
    <w:rsid w:val="00B170CC"/>
    <w:rsid w:val="00B17104"/>
    <w:rsid w:val="00B177B5"/>
    <w:rsid w:val="00B20369"/>
    <w:rsid w:val="00B20DC2"/>
    <w:rsid w:val="00B220F9"/>
    <w:rsid w:val="00B22713"/>
    <w:rsid w:val="00B22C8E"/>
    <w:rsid w:val="00B24542"/>
    <w:rsid w:val="00B24773"/>
    <w:rsid w:val="00B24D3A"/>
    <w:rsid w:val="00B26217"/>
    <w:rsid w:val="00B26307"/>
    <w:rsid w:val="00B2649A"/>
    <w:rsid w:val="00B27C75"/>
    <w:rsid w:val="00B303D6"/>
    <w:rsid w:val="00B307E1"/>
    <w:rsid w:val="00B31CBC"/>
    <w:rsid w:val="00B321DC"/>
    <w:rsid w:val="00B32AC7"/>
    <w:rsid w:val="00B33780"/>
    <w:rsid w:val="00B33C22"/>
    <w:rsid w:val="00B33F19"/>
    <w:rsid w:val="00B342C6"/>
    <w:rsid w:val="00B353F3"/>
    <w:rsid w:val="00B36632"/>
    <w:rsid w:val="00B36AFE"/>
    <w:rsid w:val="00B36E31"/>
    <w:rsid w:val="00B405A8"/>
    <w:rsid w:val="00B40B33"/>
    <w:rsid w:val="00B41AEE"/>
    <w:rsid w:val="00B421B5"/>
    <w:rsid w:val="00B432FC"/>
    <w:rsid w:val="00B43707"/>
    <w:rsid w:val="00B43F27"/>
    <w:rsid w:val="00B44921"/>
    <w:rsid w:val="00B44C28"/>
    <w:rsid w:val="00B45AB3"/>
    <w:rsid w:val="00B46181"/>
    <w:rsid w:val="00B46B40"/>
    <w:rsid w:val="00B46E1D"/>
    <w:rsid w:val="00B47266"/>
    <w:rsid w:val="00B47482"/>
    <w:rsid w:val="00B47BC7"/>
    <w:rsid w:val="00B47DD7"/>
    <w:rsid w:val="00B519A5"/>
    <w:rsid w:val="00B51C73"/>
    <w:rsid w:val="00B52D46"/>
    <w:rsid w:val="00B52D83"/>
    <w:rsid w:val="00B531F2"/>
    <w:rsid w:val="00B53650"/>
    <w:rsid w:val="00B53BCF"/>
    <w:rsid w:val="00B54858"/>
    <w:rsid w:val="00B56952"/>
    <w:rsid w:val="00B60465"/>
    <w:rsid w:val="00B60919"/>
    <w:rsid w:val="00B6120C"/>
    <w:rsid w:val="00B61265"/>
    <w:rsid w:val="00B6161F"/>
    <w:rsid w:val="00B62780"/>
    <w:rsid w:val="00B62C50"/>
    <w:rsid w:val="00B62E08"/>
    <w:rsid w:val="00B6434C"/>
    <w:rsid w:val="00B648CE"/>
    <w:rsid w:val="00B664C7"/>
    <w:rsid w:val="00B70C9B"/>
    <w:rsid w:val="00B70F35"/>
    <w:rsid w:val="00B710BE"/>
    <w:rsid w:val="00B7184C"/>
    <w:rsid w:val="00B71D53"/>
    <w:rsid w:val="00B72CAB"/>
    <w:rsid w:val="00B72F35"/>
    <w:rsid w:val="00B73D9E"/>
    <w:rsid w:val="00B74738"/>
    <w:rsid w:val="00B759AB"/>
    <w:rsid w:val="00B75F50"/>
    <w:rsid w:val="00B76358"/>
    <w:rsid w:val="00B77D65"/>
    <w:rsid w:val="00B80A90"/>
    <w:rsid w:val="00B8121E"/>
    <w:rsid w:val="00B8218B"/>
    <w:rsid w:val="00B840B5"/>
    <w:rsid w:val="00B862DD"/>
    <w:rsid w:val="00B87BE4"/>
    <w:rsid w:val="00B90081"/>
    <w:rsid w:val="00B90BCD"/>
    <w:rsid w:val="00B90C5B"/>
    <w:rsid w:val="00B919BE"/>
    <w:rsid w:val="00B91B9F"/>
    <w:rsid w:val="00B92F50"/>
    <w:rsid w:val="00B93334"/>
    <w:rsid w:val="00B9385B"/>
    <w:rsid w:val="00B9395E"/>
    <w:rsid w:val="00B95718"/>
    <w:rsid w:val="00B967B8"/>
    <w:rsid w:val="00B99DC6"/>
    <w:rsid w:val="00BA0C79"/>
    <w:rsid w:val="00BA10A7"/>
    <w:rsid w:val="00BA1E5D"/>
    <w:rsid w:val="00BA228E"/>
    <w:rsid w:val="00BA2361"/>
    <w:rsid w:val="00BA2839"/>
    <w:rsid w:val="00BA3DF0"/>
    <w:rsid w:val="00BA4683"/>
    <w:rsid w:val="00BA4C69"/>
    <w:rsid w:val="00BA5B32"/>
    <w:rsid w:val="00BA7840"/>
    <w:rsid w:val="00BB0A34"/>
    <w:rsid w:val="00BB0ADD"/>
    <w:rsid w:val="00BB1318"/>
    <w:rsid w:val="00BB1967"/>
    <w:rsid w:val="00BB213A"/>
    <w:rsid w:val="00BB39B6"/>
    <w:rsid w:val="00BB3DE9"/>
    <w:rsid w:val="00BB53E5"/>
    <w:rsid w:val="00BB566E"/>
    <w:rsid w:val="00BB6E80"/>
    <w:rsid w:val="00BB75CE"/>
    <w:rsid w:val="00BC0D3A"/>
    <w:rsid w:val="00BC0E18"/>
    <w:rsid w:val="00BC2A26"/>
    <w:rsid w:val="00BC2C64"/>
    <w:rsid w:val="00BC3644"/>
    <w:rsid w:val="00BC5B37"/>
    <w:rsid w:val="00BC67C3"/>
    <w:rsid w:val="00BC6952"/>
    <w:rsid w:val="00BC6999"/>
    <w:rsid w:val="00BC75DB"/>
    <w:rsid w:val="00BD01E5"/>
    <w:rsid w:val="00BD0F18"/>
    <w:rsid w:val="00BD285F"/>
    <w:rsid w:val="00BD32F8"/>
    <w:rsid w:val="00BD5A98"/>
    <w:rsid w:val="00BD696B"/>
    <w:rsid w:val="00BE14E6"/>
    <w:rsid w:val="00BE1E9C"/>
    <w:rsid w:val="00BE3A87"/>
    <w:rsid w:val="00BE3B45"/>
    <w:rsid w:val="00BE4D78"/>
    <w:rsid w:val="00BE5B2F"/>
    <w:rsid w:val="00BE5DC0"/>
    <w:rsid w:val="00BE62A5"/>
    <w:rsid w:val="00BE6CA2"/>
    <w:rsid w:val="00BE6D4A"/>
    <w:rsid w:val="00BE7BE3"/>
    <w:rsid w:val="00BF04D4"/>
    <w:rsid w:val="00BF0D41"/>
    <w:rsid w:val="00BF19AD"/>
    <w:rsid w:val="00BF2724"/>
    <w:rsid w:val="00BF318A"/>
    <w:rsid w:val="00BF3528"/>
    <w:rsid w:val="00BF372A"/>
    <w:rsid w:val="00BF49EC"/>
    <w:rsid w:val="00BF60CA"/>
    <w:rsid w:val="00BF6228"/>
    <w:rsid w:val="00BF665B"/>
    <w:rsid w:val="00BF6765"/>
    <w:rsid w:val="00C00309"/>
    <w:rsid w:val="00C00319"/>
    <w:rsid w:val="00C01291"/>
    <w:rsid w:val="00C019C0"/>
    <w:rsid w:val="00C02808"/>
    <w:rsid w:val="00C041A5"/>
    <w:rsid w:val="00C0457F"/>
    <w:rsid w:val="00C06598"/>
    <w:rsid w:val="00C068C9"/>
    <w:rsid w:val="00C07098"/>
    <w:rsid w:val="00C10131"/>
    <w:rsid w:val="00C126BD"/>
    <w:rsid w:val="00C13C89"/>
    <w:rsid w:val="00C14D0C"/>
    <w:rsid w:val="00C15440"/>
    <w:rsid w:val="00C15639"/>
    <w:rsid w:val="00C16DC0"/>
    <w:rsid w:val="00C177A1"/>
    <w:rsid w:val="00C21550"/>
    <w:rsid w:val="00C2195D"/>
    <w:rsid w:val="00C2202F"/>
    <w:rsid w:val="00C231E7"/>
    <w:rsid w:val="00C23B45"/>
    <w:rsid w:val="00C25790"/>
    <w:rsid w:val="00C25A51"/>
    <w:rsid w:val="00C301C1"/>
    <w:rsid w:val="00C30B4C"/>
    <w:rsid w:val="00C31E08"/>
    <w:rsid w:val="00C33170"/>
    <w:rsid w:val="00C33285"/>
    <w:rsid w:val="00C333F7"/>
    <w:rsid w:val="00C33E9E"/>
    <w:rsid w:val="00C347EA"/>
    <w:rsid w:val="00C34895"/>
    <w:rsid w:val="00C3724C"/>
    <w:rsid w:val="00C37D42"/>
    <w:rsid w:val="00C40080"/>
    <w:rsid w:val="00C40870"/>
    <w:rsid w:val="00C420E3"/>
    <w:rsid w:val="00C42387"/>
    <w:rsid w:val="00C43E4C"/>
    <w:rsid w:val="00C44AA9"/>
    <w:rsid w:val="00C456D6"/>
    <w:rsid w:val="00C46609"/>
    <w:rsid w:val="00C466ED"/>
    <w:rsid w:val="00C50700"/>
    <w:rsid w:val="00C512FA"/>
    <w:rsid w:val="00C5243B"/>
    <w:rsid w:val="00C526C8"/>
    <w:rsid w:val="00C52BFF"/>
    <w:rsid w:val="00C52EB5"/>
    <w:rsid w:val="00C536D5"/>
    <w:rsid w:val="00C56DF1"/>
    <w:rsid w:val="00C56F0F"/>
    <w:rsid w:val="00C578DB"/>
    <w:rsid w:val="00C57A88"/>
    <w:rsid w:val="00C61108"/>
    <w:rsid w:val="00C61459"/>
    <w:rsid w:val="00C6221A"/>
    <w:rsid w:val="00C6342D"/>
    <w:rsid w:val="00C6659F"/>
    <w:rsid w:val="00C66908"/>
    <w:rsid w:val="00C66F2D"/>
    <w:rsid w:val="00C700BC"/>
    <w:rsid w:val="00C74318"/>
    <w:rsid w:val="00C74605"/>
    <w:rsid w:val="00C765A4"/>
    <w:rsid w:val="00C8054E"/>
    <w:rsid w:val="00C80787"/>
    <w:rsid w:val="00C811AD"/>
    <w:rsid w:val="00C81371"/>
    <w:rsid w:val="00C819FD"/>
    <w:rsid w:val="00C82224"/>
    <w:rsid w:val="00C8263E"/>
    <w:rsid w:val="00C82ECE"/>
    <w:rsid w:val="00C833B4"/>
    <w:rsid w:val="00C83FB6"/>
    <w:rsid w:val="00C843C9"/>
    <w:rsid w:val="00C84438"/>
    <w:rsid w:val="00C85E82"/>
    <w:rsid w:val="00C87A90"/>
    <w:rsid w:val="00C96843"/>
    <w:rsid w:val="00C97C0E"/>
    <w:rsid w:val="00CA09A6"/>
    <w:rsid w:val="00CA2003"/>
    <w:rsid w:val="00CA35B3"/>
    <w:rsid w:val="00CA3F33"/>
    <w:rsid w:val="00CA532B"/>
    <w:rsid w:val="00CA5EDE"/>
    <w:rsid w:val="00CA70DF"/>
    <w:rsid w:val="00CB069A"/>
    <w:rsid w:val="00CB0A12"/>
    <w:rsid w:val="00CB0C5A"/>
    <w:rsid w:val="00CB17DC"/>
    <w:rsid w:val="00CB20D6"/>
    <w:rsid w:val="00CB21E7"/>
    <w:rsid w:val="00CB2906"/>
    <w:rsid w:val="00CB2AEC"/>
    <w:rsid w:val="00CB31DD"/>
    <w:rsid w:val="00CB4738"/>
    <w:rsid w:val="00CB4A26"/>
    <w:rsid w:val="00CB58A7"/>
    <w:rsid w:val="00CB6438"/>
    <w:rsid w:val="00CB6A51"/>
    <w:rsid w:val="00CC1270"/>
    <w:rsid w:val="00CC18A7"/>
    <w:rsid w:val="00CC2BD7"/>
    <w:rsid w:val="00CC3631"/>
    <w:rsid w:val="00CC3862"/>
    <w:rsid w:val="00CC4036"/>
    <w:rsid w:val="00CC5FDE"/>
    <w:rsid w:val="00CC6055"/>
    <w:rsid w:val="00CC6D67"/>
    <w:rsid w:val="00CC7271"/>
    <w:rsid w:val="00CC741B"/>
    <w:rsid w:val="00CC792E"/>
    <w:rsid w:val="00CC7F89"/>
    <w:rsid w:val="00CD1743"/>
    <w:rsid w:val="00CD1E36"/>
    <w:rsid w:val="00CD2694"/>
    <w:rsid w:val="00CD3606"/>
    <w:rsid w:val="00CD38E9"/>
    <w:rsid w:val="00CD3DBB"/>
    <w:rsid w:val="00CD408D"/>
    <w:rsid w:val="00CD7385"/>
    <w:rsid w:val="00CD7711"/>
    <w:rsid w:val="00CD79C7"/>
    <w:rsid w:val="00CE0563"/>
    <w:rsid w:val="00CE1661"/>
    <w:rsid w:val="00CE355A"/>
    <w:rsid w:val="00CE4095"/>
    <w:rsid w:val="00CE42E7"/>
    <w:rsid w:val="00CE4391"/>
    <w:rsid w:val="00CE47B5"/>
    <w:rsid w:val="00CE6680"/>
    <w:rsid w:val="00CE671D"/>
    <w:rsid w:val="00CE6BAA"/>
    <w:rsid w:val="00CE73FF"/>
    <w:rsid w:val="00CF033E"/>
    <w:rsid w:val="00CF0D41"/>
    <w:rsid w:val="00CF2079"/>
    <w:rsid w:val="00CF25B0"/>
    <w:rsid w:val="00CF30A7"/>
    <w:rsid w:val="00CF397F"/>
    <w:rsid w:val="00CF41D0"/>
    <w:rsid w:val="00CF4CB1"/>
    <w:rsid w:val="00CF5035"/>
    <w:rsid w:val="00D00A9D"/>
    <w:rsid w:val="00D01AFA"/>
    <w:rsid w:val="00D0206C"/>
    <w:rsid w:val="00D027FC"/>
    <w:rsid w:val="00D04E75"/>
    <w:rsid w:val="00D055F9"/>
    <w:rsid w:val="00D05FA7"/>
    <w:rsid w:val="00D067A9"/>
    <w:rsid w:val="00D100B2"/>
    <w:rsid w:val="00D11565"/>
    <w:rsid w:val="00D118BF"/>
    <w:rsid w:val="00D11B28"/>
    <w:rsid w:val="00D12AE1"/>
    <w:rsid w:val="00D13D22"/>
    <w:rsid w:val="00D13F26"/>
    <w:rsid w:val="00D144BB"/>
    <w:rsid w:val="00D1515D"/>
    <w:rsid w:val="00D16C0D"/>
    <w:rsid w:val="00D16C23"/>
    <w:rsid w:val="00D17C85"/>
    <w:rsid w:val="00D20945"/>
    <w:rsid w:val="00D217FF"/>
    <w:rsid w:val="00D2225E"/>
    <w:rsid w:val="00D228D6"/>
    <w:rsid w:val="00D229CD"/>
    <w:rsid w:val="00D22DF3"/>
    <w:rsid w:val="00D23340"/>
    <w:rsid w:val="00D23832"/>
    <w:rsid w:val="00D24134"/>
    <w:rsid w:val="00D25022"/>
    <w:rsid w:val="00D25B17"/>
    <w:rsid w:val="00D25F79"/>
    <w:rsid w:val="00D26E2D"/>
    <w:rsid w:val="00D3143E"/>
    <w:rsid w:val="00D319D0"/>
    <w:rsid w:val="00D31D6C"/>
    <w:rsid w:val="00D34005"/>
    <w:rsid w:val="00D344E2"/>
    <w:rsid w:val="00D3476C"/>
    <w:rsid w:val="00D34B22"/>
    <w:rsid w:val="00D34D38"/>
    <w:rsid w:val="00D350D7"/>
    <w:rsid w:val="00D3582C"/>
    <w:rsid w:val="00D3648A"/>
    <w:rsid w:val="00D37634"/>
    <w:rsid w:val="00D37E8B"/>
    <w:rsid w:val="00D43030"/>
    <w:rsid w:val="00D43EEC"/>
    <w:rsid w:val="00D44C38"/>
    <w:rsid w:val="00D46349"/>
    <w:rsid w:val="00D4726A"/>
    <w:rsid w:val="00D4772D"/>
    <w:rsid w:val="00D500E0"/>
    <w:rsid w:val="00D50CB8"/>
    <w:rsid w:val="00D5192E"/>
    <w:rsid w:val="00D526D0"/>
    <w:rsid w:val="00D533ED"/>
    <w:rsid w:val="00D54A2F"/>
    <w:rsid w:val="00D55518"/>
    <w:rsid w:val="00D5663A"/>
    <w:rsid w:val="00D5670A"/>
    <w:rsid w:val="00D57CA5"/>
    <w:rsid w:val="00D606DC"/>
    <w:rsid w:val="00D61019"/>
    <w:rsid w:val="00D61B46"/>
    <w:rsid w:val="00D62054"/>
    <w:rsid w:val="00D6284A"/>
    <w:rsid w:val="00D63D2E"/>
    <w:rsid w:val="00D64B9A"/>
    <w:rsid w:val="00D662DA"/>
    <w:rsid w:val="00D700E2"/>
    <w:rsid w:val="00D7027D"/>
    <w:rsid w:val="00D70510"/>
    <w:rsid w:val="00D716F0"/>
    <w:rsid w:val="00D71818"/>
    <w:rsid w:val="00D72546"/>
    <w:rsid w:val="00D72FAA"/>
    <w:rsid w:val="00D7313A"/>
    <w:rsid w:val="00D7449A"/>
    <w:rsid w:val="00D744E4"/>
    <w:rsid w:val="00D75188"/>
    <w:rsid w:val="00D75462"/>
    <w:rsid w:val="00D75F6C"/>
    <w:rsid w:val="00D762FE"/>
    <w:rsid w:val="00D77189"/>
    <w:rsid w:val="00D80961"/>
    <w:rsid w:val="00D81474"/>
    <w:rsid w:val="00D82207"/>
    <w:rsid w:val="00D82B8D"/>
    <w:rsid w:val="00D830D9"/>
    <w:rsid w:val="00D84D96"/>
    <w:rsid w:val="00D84F35"/>
    <w:rsid w:val="00D8532C"/>
    <w:rsid w:val="00D90C0F"/>
    <w:rsid w:val="00D91971"/>
    <w:rsid w:val="00D91A52"/>
    <w:rsid w:val="00D91B58"/>
    <w:rsid w:val="00D921DE"/>
    <w:rsid w:val="00D92BA9"/>
    <w:rsid w:val="00D92F93"/>
    <w:rsid w:val="00D972B7"/>
    <w:rsid w:val="00DA07E0"/>
    <w:rsid w:val="00DA0CD4"/>
    <w:rsid w:val="00DA24D3"/>
    <w:rsid w:val="00DA2618"/>
    <w:rsid w:val="00DA2DE5"/>
    <w:rsid w:val="00DA46E1"/>
    <w:rsid w:val="00DA4763"/>
    <w:rsid w:val="00DA4858"/>
    <w:rsid w:val="00DA5BB9"/>
    <w:rsid w:val="00DA6BA9"/>
    <w:rsid w:val="00DA6D87"/>
    <w:rsid w:val="00DA7148"/>
    <w:rsid w:val="00DB3040"/>
    <w:rsid w:val="00DB4FA8"/>
    <w:rsid w:val="00DB563F"/>
    <w:rsid w:val="00DB581D"/>
    <w:rsid w:val="00DB599D"/>
    <w:rsid w:val="00DB5B43"/>
    <w:rsid w:val="00DB6C8A"/>
    <w:rsid w:val="00DB6CA5"/>
    <w:rsid w:val="00DB71AF"/>
    <w:rsid w:val="00DB7676"/>
    <w:rsid w:val="00DB7891"/>
    <w:rsid w:val="00DC1013"/>
    <w:rsid w:val="00DC17D3"/>
    <w:rsid w:val="00DC3D86"/>
    <w:rsid w:val="00DC478A"/>
    <w:rsid w:val="00DC4F9F"/>
    <w:rsid w:val="00DC53D1"/>
    <w:rsid w:val="00DC601C"/>
    <w:rsid w:val="00DC7345"/>
    <w:rsid w:val="00DC7CED"/>
    <w:rsid w:val="00DD0946"/>
    <w:rsid w:val="00DD14E8"/>
    <w:rsid w:val="00DD1D8B"/>
    <w:rsid w:val="00DD1F83"/>
    <w:rsid w:val="00DD2335"/>
    <w:rsid w:val="00DD258B"/>
    <w:rsid w:val="00DD26FE"/>
    <w:rsid w:val="00DD2828"/>
    <w:rsid w:val="00DD2A9B"/>
    <w:rsid w:val="00DD4A4F"/>
    <w:rsid w:val="00DD4C66"/>
    <w:rsid w:val="00DD5376"/>
    <w:rsid w:val="00DD561E"/>
    <w:rsid w:val="00DD5A3C"/>
    <w:rsid w:val="00DD664C"/>
    <w:rsid w:val="00DE11EA"/>
    <w:rsid w:val="00DE1C8C"/>
    <w:rsid w:val="00DE446D"/>
    <w:rsid w:val="00DE46ED"/>
    <w:rsid w:val="00DE4984"/>
    <w:rsid w:val="00DE4E80"/>
    <w:rsid w:val="00DE6793"/>
    <w:rsid w:val="00DE68B7"/>
    <w:rsid w:val="00DE7519"/>
    <w:rsid w:val="00DE7F57"/>
    <w:rsid w:val="00DF0841"/>
    <w:rsid w:val="00DF2EA1"/>
    <w:rsid w:val="00DF420D"/>
    <w:rsid w:val="00DF5605"/>
    <w:rsid w:val="00DF58E8"/>
    <w:rsid w:val="00DF5BFB"/>
    <w:rsid w:val="00DF5FB9"/>
    <w:rsid w:val="00DF6A81"/>
    <w:rsid w:val="00E02267"/>
    <w:rsid w:val="00E0230C"/>
    <w:rsid w:val="00E03DD5"/>
    <w:rsid w:val="00E0492D"/>
    <w:rsid w:val="00E07B25"/>
    <w:rsid w:val="00E104E4"/>
    <w:rsid w:val="00E104F6"/>
    <w:rsid w:val="00E108D3"/>
    <w:rsid w:val="00E1239E"/>
    <w:rsid w:val="00E1284A"/>
    <w:rsid w:val="00E12DA8"/>
    <w:rsid w:val="00E15D76"/>
    <w:rsid w:val="00E16064"/>
    <w:rsid w:val="00E160C0"/>
    <w:rsid w:val="00E168DD"/>
    <w:rsid w:val="00E16C51"/>
    <w:rsid w:val="00E17E36"/>
    <w:rsid w:val="00E201E6"/>
    <w:rsid w:val="00E203DD"/>
    <w:rsid w:val="00E22762"/>
    <w:rsid w:val="00E22A53"/>
    <w:rsid w:val="00E22D0F"/>
    <w:rsid w:val="00E239BD"/>
    <w:rsid w:val="00E24F2A"/>
    <w:rsid w:val="00E2538D"/>
    <w:rsid w:val="00E255E3"/>
    <w:rsid w:val="00E256E1"/>
    <w:rsid w:val="00E2667C"/>
    <w:rsid w:val="00E26F5E"/>
    <w:rsid w:val="00E30FFB"/>
    <w:rsid w:val="00E3146E"/>
    <w:rsid w:val="00E3255F"/>
    <w:rsid w:val="00E3297B"/>
    <w:rsid w:val="00E32CBF"/>
    <w:rsid w:val="00E32D7D"/>
    <w:rsid w:val="00E33AE6"/>
    <w:rsid w:val="00E366B4"/>
    <w:rsid w:val="00E36DA5"/>
    <w:rsid w:val="00E37E55"/>
    <w:rsid w:val="00E404E7"/>
    <w:rsid w:val="00E413D5"/>
    <w:rsid w:val="00E4183A"/>
    <w:rsid w:val="00E41977"/>
    <w:rsid w:val="00E42E82"/>
    <w:rsid w:val="00E447DF"/>
    <w:rsid w:val="00E46158"/>
    <w:rsid w:val="00E46D7D"/>
    <w:rsid w:val="00E475DE"/>
    <w:rsid w:val="00E47827"/>
    <w:rsid w:val="00E5404A"/>
    <w:rsid w:val="00E541C5"/>
    <w:rsid w:val="00E54308"/>
    <w:rsid w:val="00E5524A"/>
    <w:rsid w:val="00E55789"/>
    <w:rsid w:val="00E60E84"/>
    <w:rsid w:val="00E60EED"/>
    <w:rsid w:val="00E612CD"/>
    <w:rsid w:val="00E616CF"/>
    <w:rsid w:val="00E61AB5"/>
    <w:rsid w:val="00E62E5E"/>
    <w:rsid w:val="00E63F6D"/>
    <w:rsid w:val="00E6430E"/>
    <w:rsid w:val="00E64973"/>
    <w:rsid w:val="00E6528F"/>
    <w:rsid w:val="00E655E5"/>
    <w:rsid w:val="00E664C0"/>
    <w:rsid w:val="00E665F9"/>
    <w:rsid w:val="00E70E48"/>
    <w:rsid w:val="00E7102E"/>
    <w:rsid w:val="00E715CC"/>
    <w:rsid w:val="00E71AF2"/>
    <w:rsid w:val="00E71E61"/>
    <w:rsid w:val="00E72CAB"/>
    <w:rsid w:val="00E730E2"/>
    <w:rsid w:val="00E7337C"/>
    <w:rsid w:val="00E75DB1"/>
    <w:rsid w:val="00E77228"/>
    <w:rsid w:val="00E7787E"/>
    <w:rsid w:val="00E77E71"/>
    <w:rsid w:val="00E81B2A"/>
    <w:rsid w:val="00E827A7"/>
    <w:rsid w:val="00E83882"/>
    <w:rsid w:val="00E83CBC"/>
    <w:rsid w:val="00E8450B"/>
    <w:rsid w:val="00E85F05"/>
    <w:rsid w:val="00E86367"/>
    <w:rsid w:val="00E86C8C"/>
    <w:rsid w:val="00E8712C"/>
    <w:rsid w:val="00E87C12"/>
    <w:rsid w:val="00E87FE5"/>
    <w:rsid w:val="00E922B6"/>
    <w:rsid w:val="00E92850"/>
    <w:rsid w:val="00E93691"/>
    <w:rsid w:val="00E94723"/>
    <w:rsid w:val="00E94E89"/>
    <w:rsid w:val="00E94F04"/>
    <w:rsid w:val="00E94FB9"/>
    <w:rsid w:val="00E9575D"/>
    <w:rsid w:val="00E96790"/>
    <w:rsid w:val="00E96BCD"/>
    <w:rsid w:val="00E96EB3"/>
    <w:rsid w:val="00EA03DC"/>
    <w:rsid w:val="00EA178E"/>
    <w:rsid w:val="00EA3A41"/>
    <w:rsid w:val="00EA3DC4"/>
    <w:rsid w:val="00EA4167"/>
    <w:rsid w:val="00EA456A"/>
    <w:rsid w:val="00EA4D5F"/>
    <w:rsid w:val="00EA5A9A"/>
    <w:rsid w:val="00EA6DA0"/>
    <w:rsid w:val="00EA6DD3"/>
    <w:rsid w:val="00EB1504"/>
    <w:rsid w:val="00EB2242"/>
    <w:rsid w:val="00EB22C6"/>
    <w:rsid w:val="00EB25A8"/>
    <w:rsid w:val="00EB263A"/>
    <w:rsid w:val="00EB2F3C"/>
    <w:rsid w:val="00EB2FDD"/>
    <w:rsid w:val="00EB4F81"/>
    <w:rsid w:val="00EB777D"/>
    <w:rsid w:val="00EB7CC8"/>
    <w:rsid w:val="00EB7D30"/>
    <w:rsid w:val="00EC0429"/>
    <w:rsid w:val="00EC113B"/>
    <w:rsid w:val="00EC115B"/>
    <w:rsid w:val="00EC155D"/>
    <w:rsid w:val="00EC2CBE"/>
    <w:rsid w:val="00EC332F"/>
    <w:rsid w:val="00EC36D2"/>
    <w:rsid w:val="00EC4586"/>
    <w:rsid w:val="00EC5899"/>
    <w:rsid w:val="00EC5AC8"/>
    <w:rsid w:val="00EC677A"/>
    <w:rsid w:val="00EC6F51"/>
    <w:rsid w:val="00EC7AA3"/>
    <w:rsid w:val="00ED0528"/>
    <w:rsid w:val="00ED11CD"/>
    <w:rsid w:val="00ED1DB9"/>
    <w:rsid w:val="00ED2482"/>
    <w:rsid w:val="00ED2EF4"/>
    <w:rsid w:val="00ED34D8"/>
    <w:rsid w:val="00ED4773"/>
    <w:rsid w:val="00ED497E"/>
    <w:rsid w:val="00ED5249"/>
    <w:rsid w:val="00ED6CFC"/>
    <w:rsid w:val="00EE061B"/>
    <w:rsid w:val="00EE0A28"/>
    <w:rsid w:val="00EE119C"/>
    <w:rsid w:val="00EE26D8"/>
    <w:rsid w:val="00EE3301"/>
    <w:rsid w:val="00EE3FFB"/>
    <w:rsid w:val="00EE4B8D"/>
    <w:rsid w:val="00EE59E1"/>
    <w:rsid w:val="00EE6487"/>
    <w:rsid w:val="00EE6E89"/>
    <w:rsid w:val="00EE70E2"/>
    <w:rsid w:val="00EF11DB"/>
    <w:rsid w:val="00EF2373"/>
    <w:rsid w:val="00EF2741"/>
    <w:rsid w:val="00EF2E3D"/>
    <w:rsid w:val="00EF43B6"/>
    <w:rsid w:val="00EF460B"/>
    <w:rsid w:val="00EF48DC"/>
    <w:rsid w:val="00EF51E7"/>
    <w:rsid w:val="00EF57B7"/>
    <w:rsid w:val="00EF5A1F"/>
    <w:rsid w:val="00EF6D7E"/>
    <w:rsid w:val="00F004FE"/>
    <w:rsid w:val="00F0129D"/>
    <w:rsid w:val="00F01DBD"/>
    <w:rsid w:val="00F0226A"/>
    <w:rsid w:val="00F025E1"/>
    <w:rsid w:val="00F026E3"/>
    <w:rsid w:val="00F061C0"/>
    <w:rsid w:val="00F069BA"/>
    <w:rsid w:val="00F06A26"/>
    <w:rsid w:val="00F07316"/>
    <w:rsid w:val="00F10686"/>
    <w:rsid w:val="00F11ACB"/>
    <w:rsid w:val="00F128BA"/>
    <w:rsid w:val="00F13689"/>
    <w:rsid w:val="00F13FD9"/>
    <w:rsid w:val="00F1446C"/>
    <w:rsid w:val="00F16C00"/>
    <w:rsid w:val="00F225F3"/>
    <w:rsid w:val="00F2265C"/>
    <w:rsid w:val="00F25C3C"/>
    <w:rsid w:val="00F25F4F"/>
    <w:rsid w:val="00F25F70"/>
    <w:rsid w:val="00F269D0"/>
    <w:rsid w:val="00F26B74"/>
    <w:rsid w:val="00F2FCD0"/>
    <w:rsid w:val="00F30900"/>
    <w:rsid w:val="00F310AD"/>
    <w:rsid w:val="00F31EE3"/>
    <w:rsid w:val="00F35937"/>
    <w:rsid w:val="00F36352"/>
    <w:rsid w:val="00F3640D"/>
    <w:rsid w:val="00F36ADC"/>
    <w:rsid w:val="00F37570"/>
    <w:rsid w:val="00F430D5"/>
    <w:rsid w:val="00F43459"/>
    <w:rsid w:val="00F43FB8"/>
    <w:rsid w:val="00F4646A"/>
    <w:rsid w:val="00F5005C"/>
    <w:rsid w:val="00F53DE9"/>
    <w:rsid w:val="00F540C4"/>
    <w:rsid w:val="00F55DA7"/>
    <w:rsid w:val="00F56008"/>
    <w:rsid w:val="00F56535"/>
    <w:rsid w:val="00F57CA5"/>
    <w:rsid w:val="00F601F3"/>
    <w:rsid w:val="00F60F20"/>
    <w:rsid w:val="00F64558"/>
    <w:rsid w:val="00F647A8"/>
    <w:rsid w:val="00F6497F"/>
    <w:rsid w:val="00F66764"/>
    <w:rsid w:val="00F670D9"/>
    <w:rsid w:val="00F70325"/>
    <w:rsid w:val="00F70ACD"/>
    <w:rsid w:val="00F720A7"/>
    <w:rsid w:val="00F720BF"/>
    <w:rsid w:val="00F72704"/>
    <w:rsid w:val="00F73029"/>
    <w:rsid w:val="00F76317"/>
    <w:rsid w:val="00F77038"/>
    <w:rsid w:val="00F770DD"/>
    <w:rsid w:val="00F77805"/>
    <w:rsid w:val="00F77FEC"/>
    <w:rsid w:val="00F8005E"/>
    <w:rsid w:val="00F80CB0"/>
    <w:rsid w:val="00F82AD8"/>
    <w:rsid w:val="00F82D06"/>
    <w:rsid w:val="00F83C74"/>
    <w:rsid w:val="00F8425C"/>
    <w:rsid w:val="00F847AD"/>
    <w:rsid w:val="00F86E8F"/>
    <w:rsid w:val="00F87071"/>
    <w:rsid w:val="00F87475"/>
    <w:rsid w:val="00F87547"/>
    <w:rsid w:val="00F9041C"/>
    <w:rsid w:val="00F90AC4"/>
    <w:rsid w:val="00F90BE4"/>
    <w:rsid w:val="00F92220"/>
    <w:rsid w:val="00F92C73"/>
    <w:rsid w:val="00F94295"/>
    <w:rsid w:val="00F943D7"/>
    <w:rsid w:val="00F94EC5"/>
    <w:rsid w:val="00F9594E"/>
    <w:rsid w:val="00F95D49"/>
    <w:rsid w:val="00FA09F0"/>
    <w:rsid w:val="00FA1076"/>
    <w:rsid w:val="00FA1EB8"/>
    <w:rsid w:val="00FA1ED8"/>
    <w:rsid w:val="00FA1F84"/>
    <w:rsid w:val="00FA2918"/>
    <w:rsid w:val="00FA2D81"/>
    <w:rsid w:val="00FA3D1B"/>
    <w:rsid w:val="00FA3D77"/>
    <w:rsid w:val="00FA4221"/>
    <w:rsid w:val="00FA67DA"/>
    <w:rsid w:val="00FB01EA"/>
    <w:rsid w:val="00FB0FEA"/>
    <w:rsid w:val="00FB1E62"/>
    <w:rsid w:val="00FB36A9"/>
    <w:rsid w:val="00FB3775"/>
    <w:rsid w:val="00FB3A0D"/>
    <w:rsid w:val="00FB3BC6"/>
    <w:rsid w:val="00FB4DEB"/>
    <w:rsid w:val="00FB547F"/>
    <w:rsid w:val="00FB591C"/>
    <w:rsid w:val="00FB5CC4"/>
    <w:rsid w:val="00FB7EAC"/>
    <w:rsid w:val="00FC0962"/>
    <w:rsid w:val="00FC0E24"/>
    <w:rsid w:val="00FC22DE"/>
    <w:rsid w:val="00FC3317"/>
    <w:rsid w:val="00FC3791"/>
    <w:rsid w:val="00FC3796"/>
    <w:rsid w:val="00FC3AC1"/>
    <w:rsid w:val="00FC3FA3"/>
    <w:rsid w:val="00FC4EA1"/>
    <w:rsid w:val="00FC5ACA"/>
    <w:rsid w:val="00FC6092"/>
    <w:rsid w:val="00FC6D48"/>
    <w:rsid w:val="00FD148F"/>
    <w:rsid w:val="00FD1619"/>
    <w:rsid w:val="00FD2054"/>
    <w:rsid w:val="00FD2D13"/>
    <w:rsid w:val="00FD2EBF"/>
    <w:rsid w:val="00FD32F7"/>
    <w:rsid w:val="00FD4A99"/>
    <w:rsid w:val="00FD50B4"/>
    <w:rsid w:val="00FD58FA"/>
    <w:rsid w:val="00FE07CA"/>
    <w:rsid w:val="00FE0DC9"/>
    <w:rsid w:val="00FE3AC6"/>
    <w:rsid w:val="00FE4272"/>
    <w:rsid w:val="00FE4DEC"/>
    <w:rsid w:val="00FE5B94"/>
    <w:rsid w:val="00FE5F57"/>
    <w:rsid w:val="00FE60F4"/>
    <w:rsid w:val="00FE611A"/>
    <w:rsid w:val="00FE6575"/>
    <w:rsid w:val="00FF0F6F"/>
    <w:rsid w:val="00FF36F2"/>
    <w:rsid w:val="00FF3948"/>
    <w:rsid w:val="00FF3DBB"/>
    <w:rsid w:val="00FF4784"/>
    <w:rsid w:val="00FF5388"/>
    <w:rsid w:val="00FF5D18"/>
    <w:rsid w:val="00FF748A"/>
    <w:rsid w:val="01821070"/>
    <w:rsid w:val="01BE1C49"/>
    <w:rsid w:val="0257FA6F"/>
    <w:rsid w:val="026A7470"/>
    <w:rsid w:val="026F5C6A"/>
    <w:rsid w:val="02908475"/>
    <w:rsid w:val="02E8DF66"/>
    <w:rsid w:val="02FEDA79"/>
    <w:rsid w:val="032C2D80"/>
    <w:rsid w:val="033237EB"/>
    <w:rsid w:val="03458EC6"/>
    <w:rsid w:val="0362BED6"/>
    <w:rsid w:val="0365BAC0"/>
    <w:rsid w:val="03798E49"/>
    <w:rsid w:val="03BCD266"/>
    <w:rsid w:val="04019DED"/>
    <w:rsid w:val="0404CC9F"/>
    <w:rsid w:val="045FEF48"/>
    <w:rsid w:val="04B037D9"/>
    <w:rsid w:val="05107C77"/>
    <w:rsid w:val="05413F4C"/>
    <w:rsid w:val="05511957"/>
    <w:rsid w:val="05862776"/>
    <w:rsid w:val="05A47FD6"/>
    <w:rsid w:val="05B99957"/>
    <w:rsid w:val="05DB8549"/>
    <w:rsid w:val="06289EC4"/>
    <w:rsid w:val="064F7627"/>
    <w:rsid w:val="06768293"/>
    <w:rsid w:val="06768B51"/>
    <w:rsid w:val="06A1F9D6"/>
    <w:rsid w:val="06A7DCBA"/>
    <w:rsid w:val="071E3564"/>
    <w:rsid w:val="072BADF4"/>
    <w:rsid w:val="07473C71"/>
    <w:rsid w:val="075C5B25"/>
    <w:rsid w:val="07763F5A"/>
    <w:rsid w:val="07936CD7"/>
    <w:rsid w:val="079B5BB9"/>
    <w:rsid w:val="086530A9"/>
    <w:rsid w:val="089035D7"/>
    <w:rsid w:val="08BAB481"/>
    <w:rsid w:val="08BD186F"/>
    <w:rsid w:val="08E8FC53"/>
    <w:rsid w:val="08FF0B95"/>
    <w:rsid w:val="090BC1B2"/>
    <w:rsid w:val="094DB4C1"/>
    <w:rsid w:val="0993E2AC"/>
    <w:rsid w:val="09A02CE9"/>
    <w:rsid w:val="0A61B949"/>
    <w:rsid w:val="0A7B4B39"/>
    <w:rsid w:val="0A7B9042"/>
    <w:rsid w:val="0A910F07"/>
    <w:rsid w:val="0A9AF284"/>
    <w:rsid w:val="0AA5EAC0"/>
    <w:rsid w:val="0ADE3550"/>
    <w:rsid w:val="0AE4CEB8"/>
    <w:rsid w:val="0B17AFCE"/>
    <w:rsid w:val="0B6C1CBB"/>
    <w:rsid w:val="0B7FEC8D"/>
    <w:rsid w:val="0B8AB465"/>
    <w:rsid w:val="0BF0DA4C"/>
    <w:rsid w:val="0C026709"/>
    <w:rsid w:val="0C398956"/>
    <w:rsid w:val="0C4286D5"/>
    <w:rsid w:val="0C7FF44B"/>
    <w:rsid w:val="0CD61F57"/>
    <w:rsid w:val="0CDF47C3"/>
    <w:rsid w:val="0CF0F0C5"/>
    <w:rsid w:val="0D431140"/>
    <w:rsid w:val="0D458428"/>
    <w:rsid w:val="0D4F8F4F"/>
    <w:rsid w:val="0D4FFD5F"/>
    <w:rsid w:val="0D53E1B8"/>
    <w:rsid w:val="0D83AF9D"/>
    <w:rsid w:val="0DB833FF"/>
    <w:rsid w:val="0DBEB139"/>
    <w:rsid w:val="0E28C306"/>
    <w:rsid w:val="0E2E377F"/>
    <w:rsid w:val="0E455272"/>
    <w:rsid w:val="0E4AF0C5"/>
    <w:rsid w:val="0E5EEB7D"/>
    <w:rsid w:val="0EE593FD"/>
    <w:rsid w:val="0EECBA48"/>
    <w:rsid w:val="0F8636B8"/>
    <w:rsid w:val="0FF5D51E"/>
    <w:rsid w:val="105B025B"/>
    <w:rsid w:val="108C05B1"/>
    <w:rsid w:val="1153EC58"/>
    <w:rsid w:val="11B58DD0"/>
    <w:rsid w:val="11F69DB4"/>
    <w:rsid w:val="11F9A370"/>
    <w:rsid w:val="12A7EB1B"/>
    <w:rsid w:val="12B5AF65"/>
    <w:rsid w:val="12EA5250"/>
    <w:rsid w:val="13125972"/>
    <w:rsid w:val="131D5AAC"/>
    <w:rsid w:val="135A4347"/>
    <w:rsid w:val="138D8C5F"/>
    <w:rsid w:val="1396A44F"/>
    <w:rsid w:val="1396F1A4"/>
    <w:rsid w:val="13B18869"/>
    <w:rsid w:val="13F346C7"/>
    <w:rsid w:val="13FAA673"/>
    <w:rsid w:val="1451E9B2"/>
    <w:rsid w:val="146556C5"/>
    <w:rsid w:val="147188F5"/>
    <w:rsid w:val="14CBF2D5"/>
    <w:rsid w:val="14F6CEED"/>
    <w:rsid w:val="150807FD"/>
    <w:rsid w:val="153FB249"/>
    <w:rsid w:val="15433DDB"/>
    <w:rsid w:val="154BC74D"/>
    <w:rsid w:val="1575CA2B"/>
    <w:rsid w:val="15864EF3"/>
    <w:rsid w:val="158F425A"/>
    <w:rsid w:val="15BE7D6D"/>
    <w:rsid w:val="15C54C04"/>
    <w:rsid w:val="15E48B5F"/>
    <w:rsid w:val="15E703F3"/>
    <w:rsid w:val="16908A99"/>
    <w:rsid w:val="169C52F7"/>
    <w:rsid w:val="16B75BF1"/>
    <w:rsid w:val="16BA9C89"/>
    <w:rsid w:val="16D630F2"/>
    <w:rsid w:val="16DF51CF"/>
    <w:rsid w:val="17095C94"/>
    <w:rsid w:val="176F1951"/>
    <w:rsid w:val="1798603B"/>
    <w:rsid w:val="17E0132C"/>
    <w:rsid w:val="17EF064A"/>
    <w:rsid w:val="183914FE"/>
    <w:rsid w:val="18547ACD"/>
    <w:rsid w:val="18AB17CE"/>
    <w:rsid w:val="18B7ED9E"/>
    <w:rsid w:val="18FAD5D5"/>
    <w:rsid w:val="1937807E"/>
    <w:rsid w:val="19480198"/>
    <w:rsid w:val="19866F13"/>
    <w:rsid w:val="19930F94"/>
    <w:rsid w:val="19F3168D"/>
    <w:rsid w:val="1A1D9372"/>
    <w:rsid w:val="1A447CD5"/>
    <w:rsid w:val="1AC7CBD0"/>
    <w:rsid w:val="1ACFF57D"/>
    <w:rsid w:val="1AD68843"/>
    <w:rsid w:val="1AD90295"/>
    <w:rsid w:val="1AF417A8"/>
    <w:rsid w:val="1B2228D2"/>
    <w:rsid w:val="1B4AAD78"/>
    <w:rsid w:val="1B75B607"/>
    <w:rsid w:val="1B9E86EB"/>
    <w:rsid w:val="1BC39AA7"/>
    <w:rsid w:val="1C168426"/>
    <w:rsid w:val="1C7CD466"/>
    <w:rsid w:val="1C8273BD"/>
    <w:rsid w:val="1D128E5B"/>
    <w:rsid w:val="1D1A6F9F"/>
    <w:rsid w:val="1D1A7DF6"/>
    <w:rsid w:val="1D29BF04"/>
    <w:rsid w:val="1D4F02B4"/>
    <w:rsid w:val="1D650683"/>
    <w:rsid w:val="1D99CC8C"/>
    <w:rsid w:val="1D9DC7A6"/>
    <w:rsid w:val="1DAC20A4"/>
    <w:rsid w:val="1DBB8743"/>
    <w:rsid w:val="1E0A4E11"/>
    <w:rsid w:val="1E2F71CB"/>
    <w:rsid w:val="1E417F24"/>
    <w:rsid w:val="1E55769F"/>
    <w:rsid w:val="1ED9D6F6"/>
    <w:rsid w:val="1F091EA7"/>
    <w:rsid w:val="1F5EDCDF"/>
    <w:rsid w:val="1F6B45EC"/>
    <w:rsid w:val="1F7FA275"/>
    <w:rsid w:val="1F92A797"/>
    <w:rsid w:val="1FCF6287"/>
    <w:rsid w:val="1FFD2E01"/>
    <w:rsid w:val="2001A9FB"/>
    <w:rsid w:val="200E1D0A"/>
    <w:rsid w:val="2010B2D5"/>
    <w:rsid w:val="2015B785"/>
    <w:rsid w:val="2060F1F7"/>
    <w:rsid w:val="208A5F2E"/>
    <w:rsid w:val="20B0DBA1"/>
    <w:rsid w:val="20C4D997"/>
    <w:rsid w:val="20D4E521"/>
    <w:rsid w:val="212CB96F"/>
    <w:rsid w:val="2140D292"/>
    <w:rsid w:val="214B6CF4"/>
    <w:rsid w:val="2152CD8A"/>
    <w:rsid w:val="219EB22B"/>
    <w:rsid w:val="21AFED66"/>
    <w:rsid w:val="21D01D2E"/>
    <w:rsid w:val="21D5676E"/>
    <w:rsid w:val="21DD7D70"/>
    <w:rsid w:val="220E6E8F"/>
    <w:rsid w:val="22144ACE"/>
    <w:rsid w:val="224CC592"/>
    <w:rsid w:val="22576E64"/>
    <w:rsid w:val="2259D02B"/>
    <w:rsid w:val="22695506"/>
    <w:rsid w:val="2294F537"/>
    <w:rsid w:val="22B16A16"/>
    <w:rsid w:val="22B2ECA2"/>
    <w:rsid w:val="22E6A71E"/>
    <w:rsid w:val="22E6FABE"/>
    <w:rsid w:val="22F3E6C6"/>
    <w:rsid w:val="23100F50"/>
    <w:rsid w:val="232F237D"/>
    <w:rsid w:val="2349D964"/>
    <w:rsid w:val="2379C4B7"/>
    <w:rsid w:val="237A1211"/>
    <w:rsid w:val="23919315"/>
    <w:rsid w:val="2409565C"/>
    <w:rsid w:val="241B3B7C"/>
    <w:rsid w:val="241DD847"/>
    <w:rsid w:val="2477BBB9"/>
    <w:rsid w:val="24A22219"/>
    <w:rsid w:val="24D9C724"/>
    <w:rsid w:val="24EB753B"/>
    <w:rsid w:val="25061C29"/>
    <w:rsid w:val="251C9DAD"/>
    <w:rsid w:val="253673C7"/>
    <w:rsid w:val="2542FB7C"/>
    <w:rsid w:val="25BFE1B8"/>
    <w:rsid w:val="25C7FD49"/>
    <w:rsid w:val="25CCE90B"/>
    <w:rsid w:val="26040FB7"/>
    <w:rsid w:val="262D5671"/>
    <w:rsid w:val="2657FC2F"/>
    <w:rsid w:val="26FF77A6"/>
    <w:rsid w:val="270D9EC3"/>
    <w:rsid w:val="272A834E"/>
    <w:rsid w:val="2798FC40"/>
    <w:rsid w:val="28ABAFBF"/>
    <w:rsid w:val="28CE9050"/>
    <w:rsid w:val="28D2EA6A"/>
    <w:rsid w:val="28F0179A"/>
    <w:rsid w:val="29405C37"/>
    <w:rsid w:val="295BE9B3"/>
    <w:rsid w:val="2988A639"/>
    <w:rsid w:val="29B0F14D"/>
    <w:rsid w:val="2A00A82A"/>
    <w:rsid w:val="2A0347D4"/>
    <w:rsid w:val="2A14D0B2"/>
    <w:rsid w:val="2A26F150"/>
    <w:rsid w:val="2A431551"/>
    <w:rsid w:val="2A7C2373"/>
    <w:rsid w:val="2A956C9F"/>
    <w:rsid w:val="2AA1FD22"/>
    <w:rsid w:val="2AA7A32B"/>
    <w:rsid w:val="2AB60648"/>
    <w:rsid w:val="2AD8AD87"/>
    <w:rsid w:val="2B8F517A"/>
    <w:rsid w:val="2BA119EC"/>
    <w:rsid w:val="2BD05BB0"/>
    <w:rsid w:val="2C2B9CCC"/>
    <w:rsid w:val="2CB3A4BD"/>
    <w:rsid w:val="2CBF8DC3"/>
    <w:rsid w:val="2D3A01C6"/>
    <w:rsid w:val="2D45DE3A"/>
    <w:rsid w:val="2D5F29B4"/>
    <w:rsid w:val="2D79A5BE"/>
    <w:rsid w:val="2DA5C86E"/>
    <w:rsid w:val="2DE6CFCB"/>
    <w:rsid w:val="2E0A3452"/>
    <w:rsid w:val="2E1AD700"/>
    <w:rsid w:val="2E229BF6"/>
    <w:rsid w:val="2E3B67E5"/>
    <w:rsid w:val="2E4BA3A4"/>
    <w:rsid w:val="2E5E1CDD"/>
    <w:rsid w:val="2EC20BEA"/>
    <w:rsid w:val="2EC326B9"/>
    <w:rsid w:val="2F24F744"/>
    <w:rsid w:val="2F3C8D7C"/>
    <w:rsid w:val="2F75E743"/>
    <w:rsid w:val="2F7ECD4F"/>
    <w:rsid w:val="2FAE8EB7"/>
    <w:rsid w:val="2FE31107"/>
    <w:rsid w:val="3041DFB2"/>
    <w:rsid w:val="3052F267"/>
    <w:rsid w:val="30EC0EDD"/>
    <w:rsid w:val="3130B25C"/>
    <w:rsid w:val="314AE48E"/>
    <w:rsid w:val="315B12BA"/>
    <w:rsid w:val="31622BA6"/>
    <w:rsid w:val="31A725E1"/>
    <w:rsid w:val="31A9087B"/>
    <w:rsid w:val="31AEFD85"/>
    <w:rsid w:val="31BFD9BF"/>
    <w:rsid w:val="31EDC836"/>
    <w:rsid w:val="324B8861"/>
    <w:rsid w:val="327993BB"/>
    <w:rsid w:val="328D48CE"/>
    <w:rsid w:val="329EAFAF"/>
    <w:rsid w:val="32A2A9A6"/>
    <w:rsid w:val="32BFE000"/>
    <w:rsid w:val="32E185FF"/>
    <w:rsid w:val="32EB9A7C"/>
    <w:rsid w:val="336F091D"/>
    <w:rsid w:val="3378EB8A"/>
    <w:rsid w:val="338A123C"/>
    <w:rsid w:val="33B33FB5"/>
    <w:rsid w:val="340A7AE9"/>
    <w:rsid w:val="34A529CF"/>
    <w:rsid w:val="34CB425E"/>
    <w:rsid w:val="34EE4F72"/>
    <w:rsid w:val="34FBF6BE"/>
    <w:rsid w:val="35054745"/>
    <w:rsid w:val="3531E722"/>
    <w:rsid w:val="35607E26"/>
    <w:rsid w:val="35837481"/>
    <w:rsid w:val="35D5FA9C"/>
    <w:rsid w:val="35F91497"/>
    <w:rsid w:val="3601EBD8"/>
    <w:rsid w:val="36259613"/>
    <w:rsid w:val="364894FB"/>
    <w:rsid w:val="36637F0C"/>
    <w:rsid w:val="368D8473"/>
    <w:rsid w:val="371B3FFA"/>
    <w:rsid w:val="3746A54B"/>
    <w:rsid w:val="37786B39"/>
    <w:rsid w:val="37EC2035"/>
    <w:rsid w:val="380770EE"/>
    <w:rsid w:val="3831ABEB"/>
    <w:rsid w:val="38484875"/>
    <w:rsid w:val="3851655E"/>
    <w:rsid w:val="386F939B"/>
    <w:rsid w:val="38A8947A"/>
    <w:rsid w:val="3905865F"/>
    <w:rsid w:val="39080E7E"/>
    <w:rsid w:val="391A0539"/>
    <w:rsid w:val="392E753E"/>
    <w:rsid w:val="39864E06"/>
    <w:rsid w:val="398EEA44"/>
    <w:rsid w:val="399C11AB"/>
    <w:rsid w:val="39DC802C"/>
    <w:rsid w:val="3A06914E"/>
    <w:rsid w:val="3A19F54B"/>
    <w:rsid w:val="3A6631C0"/>
    <w:rsid w:val="3ABD36A6"/>
    <w:rsid w:val="3AE5CD92"/>
    <w:rsid w:val="3AE9027D"/>
    <w:rsid w:val="3AEDF90D"/>
    <w:rsid w:val="3B1EA23A"/>
    <w:rsid w:val="3B1F2B66"/>
    <w:rsid w:val="3B1F5371"/>
    <w:rsid w:val="3B2D5EDA"/>
    <w:rsid w:val="3B6544F4"/>
    <w:rsid w:val="3BD16C98"/>
    <w:rsid w:val="3BD699C6"/>
    <w:rsid w:val="3C285167"/>
    <w:rsid w:val="3C3641ED"/>
    <w:rsid w:val="3C53D5D3"/>
    <w:rsid w:val="3C54CA49"/>
    <w:rsid w:val="3C5E1503"/>
    <w:rsid w:val="3C5E9E8D"/>
    <w:rsid w:val="3C5F67D3"/>
    <w:rsid w:val="3CAD9C1B"/>
    <w:rsid w:val="3CB80B47"/>
    <w:rsid w:val="3D14D793"/>
    <w:rsid w:val="3D2ECA9B"/>
    <w:rsid w:val="3D569619"/>
    <w:rsid w:val="3D73394F"/>
    <w:rsid w:val="3D8112B7"/>
    <w:rsid w:val="3DB19069"/>
    <w:rsid w:val="3DB2F9A7"/>
    <w:rsid w:val="3DBCAF22"/>
    <w:rsid w:val="3DCB8EA5"/>
    <w:rsid w:val="3E2A88F0"/>
    <w:rsid w:val="3EED51B3"/>
    <w:rsid w:val="3EFA0CF6"/>
    <w:rsid w:val="3F0B0C8E"/>
    <w:rsid w:val="3F6291C8"/>
    <w:rsid w:val="3F90DB52"/>
    <w:rsid w:val="3FE3B6C6"/>
    <w:rsid w:val="3FF89B3F"/>
    <w:rsid w:val="402E858F"/>
    <w:rsid w:val="407FAA28"/>
    <w:rsid w:val="40CA23F7"/>
    <w:rsid w:val="40CF065E"/>
    <w:rsid w:val="40D892FF"/>
    <w:rsid w:val="40D9D269"/>
    <w:rsid w:val="410C0F83"/>
    <w:rsid w:val="41254361"/>
    <w:rsid w:val="414AC0A2"/>
    <w:rsid w:val="41B315B6"/>
    <w:rsid w:val="41B72E9D"/>
    <w:rsid w:val="41F274CE"/>
    <w:rsid w:val="42579C14"/>
    <w:rsid w:val="427C67FD"/>
    <w:rsid w:val="42D4391F"/>
    <w:rsid w:val="42E14BE5"/>
    <w:rsid w:val="436802A6"/>
    <w:rsid w:val="437E2EBE"/>
    <w:rsid w:val="43E34428"/>
    <w:rsid w:val="43F6AC82"/>
    <w:rsid w:val="448ADF19"/>
    <w:rsid w:val="44A1A8A5"/>
    <w:rsid w:val="44B42C66"/>
    <w:rsid w:val="44F69D7D"/>
    <w:rsid w:val="451CA60B"/>
    <w:rsid w:val="451FB1A2"/>
    <w:rsid w:val="453418C1"/>
    <w:rsid w:val="454AB384"/>
    <w:rsid w:val="45678D07"/>
    <w:rsid w:val="4568E5D8"/>
    <w:rsid w:val="45985125"/>
    <w:rsid w:val="45CD87AA"/>
    <w:rsid w:val="45D14AD4"/>
    <w:rsid w:val="460E5A9F"/>
    <w:rsid w:val="46622A6C"/>
    <w:rsid w:val="4679DCF9"/>
    <w:rsid w:val="467E2737"/>
    <w:rsid w:val="4698D8AD"/>
    <w:rsid w:val="46C47DEA"/>
    <w:rsid w:val="46CCB044"/>
    <w:rsid w:val="46E07BCD"/>
    <w:rsid w:val="470B330A"/>
    <w:rsid w:val="47385DC6"/>
    <w:rsid w:val="476B8FB8"/>
    <w:rsid w:val="476EB1DD"/>
    <w:rsid w:val="478BC7DD"/>
    <w:rsid w:val="4791B0E6"/>
    <w:rsid w:val="47C191A3"/>
    <w:rsid w:val="47CC1168"/>
    <w:rsid w:val="48085E8E"/>
    <w:rsid w:val="48CBE622"/>
    <w:rsid w:val="48F784AB"/>
    <w:rsid w:val="490B706B"/>
    <w:rsid w:val="490D2DB4"/>
    <w:rsid w:val="49356CE4"/>
    <w:rsid w:val="49A3DE24"/>
    <w:rsid w:val="49C0F06F"/>
    <w:rsid w:val="49CBCC7A"/>
    <w:rsid w:val="49FBBC95"/>
    <w:rsid w:val="4A1FE71E"/>
    <w:rsid w:val="4A2C006C"/>
    <w:rsid w:val="4A408F7F"/>
    <w:rsid w:val="4A700468"/>
    <w:rsid w:val="4A8EACE9"/>
    <w:rsid w:val="4A99D126"/>
    <w:rsid w:val="4AB781A0"/>
    <w:rsid w:val="4AFE3539"/>
    <w:rsid w:val="4B1A74F5"/>
    <w:rsid w:val="4B1CDC99"/>
    <w:rsid w:val="4B62EEF9"/>
    <w:rsid w:val="4B854221"/>
    <w:rsid w:val="4B9CE93E"/>
    <w:rsid w:val="4BCA595F"/>
    <w:rsid w:val="4C2C2581"/>
    <w:rsid w:val="4C3039B8"/>
    <w:rsid w:val="4C3C636A"/>
    <w:rsid w:val="4CE4E81D"/>
    <w:rsid w:val="4D0299E8"/>
    <w:rsid w:val="4D069EE3"/>
    <w:rsid w:val="4D6F3B32"/>
    <w:rsid w:val="4D87F92E"/>
    <w:rsid w:val="4DDA0D1E"/>
    <w:rsid w:val="4E3E5D2B"/>
    <w:rsid w:val="4E428508"/>
    <w:rsid w:val="4E629965"/>
    <w:rsid w:val="4E8F57CC"/>
    <w:rsid w:val="4EB31E13"/>
    <w:rsid w:val="4EDD1CAE"/>
    <w:rsid w:val="4EDF9752"/>
    <w:rsid w:val="4F0DB6D4"/>
    <w:rsid w:val="4F392C0E"/>
    <w:rsid w:val="4F3A53C5"/>
    <w:rsid w:val="4F6F46E8"/>
    <w:rsid w:val="4F73AFF1"/>
    <w:rsid w:val="4FBD6713"/>
    <w:rsid w:val="4FDD74C9"/>
    <w:rsid w:val="50428D8E"/>
    <w:rsid w:val="50F11129"/>
    <w:rsid w:val="5135E448"/>
    <w:rsid w:val="51D020D9"/>
    <w:rsid w:val="51E861B0"/>
    <w:rsid w:val="51FEC1C1"/>
    <w:rsid w:val="5250F23D"/>
    <w:rsid w:val="5277E91B"/>
    <w:rsid w:val="52A12563"/>
    <w:rsid w:val="52C6F7E0"/>
    <w:rsid w:val="52E3F684"/>
    <w:rsid w:val="52E7CFFF"/>
    <w:rsid w:val="52EE7B83"/>
    <w:rsid w:val="5333626C"/>
    <w:rsid w:val="54622B15"/>
    <w:rsid w:val="549397CE"/>
    <w:rsid w:val="54FF96BF"/>
    <w:rsid w:val="557B5956"/>
    <w:rsid w:val="558F596C"/>
    <w:rsid w:val="55A6C23E"/>
    <w:rsid w:val="55B75D74"/>
    <w:rsid w:val="55BE5419"/>
    <w:rsid w:val="55C2B465"/>
    <w:rsid w:val="55E87183"/>
    <w:rsid w:val="56087CD8"/>
    <w:rsid w:val="5623080F"/>
    <w:rsid w:val="5643DA38"/>
    <w:rsid w:val="565DDF7A"/>
    <w:rsid w:val="56E7CA57"/>
    <w:rsid w:val="57254AB9"/>
    <w:rsid w:val="572D3CEA"/>
    <w:rsid w:val="57456150"/>
    <w:rsid w:val="575B323E"/>
    <w:rsid w:val="578CCD1F"/>
    <w:rsid w:val="57BF1126"/>
    <w:rsid w:val="57C9A20D"/>
    <w:rsid w:val="57DEEC0A"/>
    <w:rsid w:val="581745B6"/>
    <w:rsid w:val="5838A438"/>
    <w:rsid w:val="58570A31"/>
    <w:rsid w:val="586568AB"/>
    <w:rsid w:val="5877265F"/>
    <w:rsid w:val="58CC0619"/>
    <w:rsid w:val="5905BE97"/>
    <w:rsid w:val="591082E9"/>
    <w:rsid w:val="5946DAEC"/>
    <w:rsid w:val="594EAF70"/>
    <w:rsid w:val="59610F79"/>
    <w:rsid w:val="59915215"/>
    <w:rsid w:val="59E0BBBA"/>
    <w:rsid w:val="5A0CA017"/>
    <w:rsid w:val="5A171AEC"/>
    <w:rsid w:val="5B1DD050"/>
    <w:rsid w:val="5B7D2CD4"/>
    <w:rsid w:val="5BABD761"/>
    <w:rsid w:val="5C112EFC"/>
    <w:rsid w:val="5C12B745"/>
    <w:rsid w:val="5C198091"/>
    <w:rsid w:val="5C2B1EEB"/>
    <w:rsid w:val="5C944751"/>
    <w:rsid w:val="5CA8006A"/>
    <w:rsid w:val="5CB4F857"/>
    <w:rsid w:val="5CF51C5E"/>
    <w:rsid w:val="5D09FCDA"/>
    <w:rsid w:val="5D0D6881"/>
    <w:rsid w:val="5D18999A"/>
    <w:rsid w:val="5D598C2F"/>
    <w:rsid w:val="5D70E5EF"/>
    <w:rsid w:val="5E370F73"/>
    <w:rsid w:val="5F5DA97A"/>
    <w:rsid w:val="5F7CDE5C"/>
    <w:rsid w:val="5FBBA7F5"/>
    <w:rsid w:val="5FC86D81"/>
    <w:rsid w:val="5FD10E71"/>
    <w:rsid w:val="600C9F86"/>
    <w:rsid w:val="601CE89C"/>
    <w:rsid w:val="605FC7DD"/>
    <w:rsid w:val="606B9283"/>
    <w:rsid w:val="6074DB72"/>
    <w:rsid w:val="608E25B4"/>
    <w:rsid w:val="60B44F09"/>
    <w:rsid w:val="60E43FF1"/>
    <w:rsid w:val="610E9C6E"/>
    <w:rsid w:val="61187CE4"/>
    <w:rsid w:val="613C177F"/>
    <w:rsid w:val="61600DD1"/>
    <w:rsid w:val="6173AFF4"/>
    <w:rsid w:val="6199AE9D"/>
    <w:rsid w:val="61C463BD"/>
    <w:rsid w:val="61D70BBB"/>
    <w:rsid w:val="622F8027"/>
    <w:rsid w:val="623670F6"/>
    <w:rsid w:val="6236B723"/>
    <w:rsid w:val="62479912"/>
    <w:rsid w:val="627D895C"/>
    <w:rsid w:val="62C07432"/>
    <w:rsid w:val="62DE39A4"/>
    <w:rsid w:val="62E170F6"/>
    <w:rsid w:val="62E8E555"/>
    <w:rsid w:val="6326AD9B"/>
    <w:rsid w:val="63476FAB"/>
    <w:rsid w:val="637A1FEC"/>
    <w:rsid w:val="63D76A20"/>
    <w:rsid w:val="643445C2"/>
    <w:rsid w:val="646EDD69"/>
    <w:rsid w:val="64F21E55"/>
    <w:rsid w:val="64FC216F"/>
    <w:rsid w:val="652A1000"/>
    <w:rsid w:val="652B211E"/>
    <w:rsid w:val="654250B6"/>
    <w:rsid w:val="65459199"/>
    <w:rsid w:val="6558F836"/>
    <w:rsid w:val="6566FF1F"/>
    <w:rsid w:val="65994A38"/>
    <w:rsid w:val="65F46336"/>
    <w:rsid w:val="662F5A97"/>
    <w:rsid w:val="66ED4C02"/>
    <w:rsid w:val="671C4EAD"/>
    <w:rsid w:val="672DB0AD"/>
    <w:rsid w:val="67560EBB"/>
    <w:rsid w:val="679BF548"/>
    <w:rsid w:val="679C7903"/>
    <w:rsid w:val="684E1E51"/>
    <w:rsid w:val="68689839"/>
    <w:rsid w:val="686EE607"/>
    <w:rsid w:val="68FB89C6"/>
    <w:rsid w:val="69A24E1A"/>
    <w:rsid w:val="69A9AEEB"/>
    <w:rsid w:val="69DEDD43"/>
    <w:rsid w:val="69EE4866"/>
    <w:rsid w:val="6A147F29"/>
    <w:rsid w:val="6A18549C"/>
    <w:rsid w:val="6A197660"/>
    <w:rsid w:val="6A6D6808"/>
    <w:rsid w:val="6A858F92"/>
    <w:rsid w:val="6ADC0E6E"/>
    <w:rsid w:val="6AFF2C81"/>
    <w:rsid w:val="6B2EB6FE"/>
    <w:rsid w:val="6B776008"/>
    <w:rsid w:val="6B7A86CD"/>
    <w:rsid w:val="6B911D7E"/>
    <w:rsid w:val="6BAC8061"/>
    <w:rsid w:val="6BAEB009"/>
    <w:rsid w:val="6C605E89"/>
    <w:rsid w:val="6C99CE0D"/>
    <w:rsid w:val="6CB7C63A"/>
    <w:rsid w:val="6CCA68A9"/>
    <w:rsid w:val="6D31412F"/>
    <w:rsid w:val="6D391AE7"/>
    <w:rsid w:val="6D79E4CA"/>
    <w:rsid w:val="6D8D18CF"/>
    <w:rsid w:val="6DC2481B"/>
    <w:rsid w:val="6DE77C38"/>
    <w:rsid w:val="6E0D9E2E"/>
    <w:rsid w:val="6E279A90"/>
    <w:rsid w:val="6E41A2FE"/>
    <w:rsid w:val="6E4E52B5"/>
    <w:rsid w:val="6E577A06"/>
    <w:rsid w:val="6E6B6886"/>
    <w:rsid w:val="6F1650D3"/>
    <w:rsid w:val="6F19D0BA"/>
    <w:rsid w:val="6F332408"/>
    <w:rsid w:val="6F7B20EE"/>
    <w:rsid w:val="6F977519"/>
    <w:rsid w:val="6FC7C74B"/>
    <w:rsid w:val="6FCBAADA"/>
    <w:rsid w:val="704EFCA6"/>
    <w:rsid w:val="70A6A6D1"/>
    <w:rsid w:val="70C85612"/>
    <w:rsid w:val="7106F25B"/>
    <w:rsid w:val="71073A30"/>
    <w:rsid w:val="711C61DB"/>
    <w:rsid w:val="71A84265"/>
    <w:rsid w:val="71CDAA15"/>
    <w:rsid w:val="721A9DB0"/>
    <w:rsid w:val="725A5ED0"/>
    <w:rsid w:val="727A8581"/>
    <w:rsid w:val="72EA0222"/>
    <w:rsid w:val="736BE9D7"/>
    <w:rsid w:val="739E7892"/>
    <w:rsid w:val="73AC28C9"/>
    <w:rsid w:val="74127F41"/>
    <w:rsid w:val="7417B2D3"/>
    <w:rsid w:val="7452C87A"/>
    <w:rsid w:val="74666843"/>
    <w:rsid w:val="74883588"/>
    <w:rsid w:val="748D7F6E"/>
    <w:rsid w:val="74D05E71"/>
    <w:rsid w:val="756F7656"/>
    <w:rsid w:val="7587BBEE"/>
    <w:rsid w:val="7599D69B"/>
    <w:rsid w:val="75AAAA70"/>
    <w:rsid w:val="75D7B323"/>
    <w:rsid w:val="75DF4749"/>
    <w:rsid w:val="75E734C6"/>
    <w:rsid w:val="75EADE15"/>
    <w:rsid w:val="76012C4C"/>
    <w:rsid w:val="76168E80"/>
    <w:rsid w:val="7662F623"/>
    <w:rsid w:val="7666D447"/>
    <w:rsid w:val="76CB520E"/>
    <w:rsid w:val="76F2C3F6"/>
    <w:rsid w:val="76F39D6C"/>
    <w:rsid w:val="77156407"/>
    <w:rsid w:val="77446672"/>
    <w:rsid w:val="7746EDDD"/>
    <w:rsid w:val="777112D3"/>
    <w:rsid w:val="779DAFF1"/>
    <w:rsid w:val="77BA3A1A"/>
    <w:rsid w:val="780A0F53"/>
    <w:rsid w:val="7811166D"/>
    <w:rsid w:val="78395ACD"/>
    <w:rsid w:val="784B2722"/>
    <w:rsid w:val="7859E48A"/>
    <w:rsid w:val="787BA581"/>
    <w:rsid w:val="788FB272"/>
    <w:rsid w:val="78951541"/>
    <w:rsid w:val="78B10581"/>
    <w:rsid w:val="793605B2"/>
    <w:rsid w:val="7940F5A2"/>
    <w:rsid w:val="7960EC64"/>
    <w:rsid w:val="79982189"/>
    <w:rsid w:val="7999D48E"/>
    <w:rsid w:val="79AC6BAA"/>
    <w:rsid w:val="79DA0233"/>
    <w:rsid w:val="79FE3E1E"/>
    <w:rsid w:val="7A1EB866"/>
    <w:rsid w:val="7A2464FE"/>
    <w:rsid w:val="7A381138"/>
    <w:rsid w:val="7A4C6DF3"/>
    <w:rsid w:val="7A5DCE04"/>
    <w:rsid w:val="7A76E74B"/>
    <w:rsid w:val="7A78604A"/>
    <w:rsid w:val="7AFCBA5D"/>
    <w:rsid w:val="7B2BEA0C"/>
    <w:rsid w:val="7B3F4133"/>
    <w:rsid w:val="7B7A54A2"/>
    <w:rsid w:val="7BAB959B"/>
    <w:rsid w:val="7BAD3558"/>
    <w:rsid w:val="7C0D1EDC"/>
    <w:rsid w:val="7C87EF92"/>
    <w:rsid w:val="7CD4130B"/>
    <w:rsid w:val="7CD45423"/>
    <w:rsid w:val="7CD6F03B"/>
    <w:rsid w:val="7CE3ECF8"/>
    <w:rsid w:val="7CFCBE85"/>
    <w:rsid w:val="7D4A3DA3"/>
    <w:rsid w:val="7D4C654C"/>
    <w:rsid w:val="7D5F0D98"/>
    <w:rsid w:val="7DD0E504"/>
    <w:rsid w:val="7DFF08B9"/>
    <w:rsid w:val="7E05B35D"/>
    <w:rsid w:val="7E212FFD"/>
    <w:rsid w:val="7E5C1E00"/>
    <w:rsid w:val="7E64DCD5"/>
    <w:rsid w:val="7E963F1C"/>
    <w:rsid w:val="7EA9ED11"/>
    <w:rsid w:val="7EAEE3F0"/>
    <w:rsid w:val="7EBBE955"/>
    <w:rsid w:val="7EF34736"/>
    <w:rsid w:val="7EF6FC28"/>
    <w:rsid w:val="7F5EC4F5"/>
    <w:rsid w:val="7FFF0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B228B"/>
  <w15:docId w15:val="{5120D249-0207-4BD5-B48D-55249560A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3A8"/>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946E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946E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946E1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946E1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unhideWhenUsed/>
    <w:qFormat/>
    <w:rsid w:val="00946E1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unhideWhenUsed/>
    <w:qFormat/>
    <w:rsid w:val="00946E1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946E1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946E1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unhideWhenUsed/>
    <w:qFormat/>
    <w:rsid w:val="00946E1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unhideWhenUsed/>
    <w:rsid w:val="00100221"/>
    <w:rPr>
      <w:rFonts w:ascii="Lucida Grande" w:hAnsi="Lucida Grande" w:cs="Lucida Grande"/>
      <w:sz w:val="18"/>
      <w:szCs w:val="18"/>
    </w:rPr>
  </w:style>
  <w:style w:type="character" w:customStyle="1" w:styleId="TextodegloboCar">
    <w:name w:val="Texto de globo Car"/>
    <w:basedOn w:val="Fuentedeprrafopredeter"/>
    <w:link w:val="Textodeglobo"/>
    <w:semiHidden/>
    <w:rsid w:val="00100221"/>
    <w:rPr>
      <w:rFonts w:ascii="Lucida Grande" w:hAnsi="Lucida Grande" w:cs="Lucida Grande"/>
      <w:sz w:val="18"/>
      <w:szCs w:val="18"/>
    </w:rPr>
  </w:style>
  <w:style w:type="paragraph" w:styleId="Prrafodelista">
    <w:name w:val="List Paragraph"/>
    <w:aliases w:val="List Paragraph (numbered (a)),Bullets,List Paragraph1,Lapis Bulleted List,Dot pt,F5 List Paragraph,No Spacing1,List Paragraph Char Char Char,Indicator Text,Numbered Para 1,Bullet 1,List Paragraph12,Bullet Points,MAIN CONTENT,List 100s,L"/>
    <w:basedOn w:val="Normal"/>
    <w:link w:val="PrrafodelistaCar"/>
    <w:uiPriority w:val="34"/>
    <w:qFormat/>
    <w:rsid w:val="00273DC1"/>
    <w:pPr>
      <w:ind w:left="720"/>
      <w:contextualSpacing/>
    </w:pPr>
  </w:style>
  <w:style w:type="character" w:customStyle="1" w:styleId="PrrafodelistaCar">
    <w:name w:val="Párrafo de lista Car"/>
    <w:aliases w:val="List Paragraph (numbered (a)) Car,Bullets Car,List Paragraph1 Car,Lapis Bulleted List Car,Dot pt Car,F5 List Paragraph Car,No Spacing1 Car,List Paragraph Char Char Char Car,Indicator Text Car,Numbered Para 1 Car,Bullet 1 Car,L Car"/>
    <w:link w:val="Prrafodelista"/>
    <w:uiPriority w:val="34"/>
    <w:qFormat/>
    <w:locked/>
    <w:rsid w:val="003F1F88"/>
  </w:style>
  <w:style w:type="paragraph" w:styleId="Textocomentario">
    <w:name w:val="annotation text"/>
    <w:basedOn w:val="Normal"/>
    <w:link w:val="TextocomentarioCar"/>
    <w:uiPriority w:val="99"/>
    <w:unhideWhenUsed/>
    <w:rsid w:val="00D055F9"/>
    <w:rPr>
      <w:sz w:val="20"/>
      <w:szCs w:val="20"/>
    </w:rPr>
  </w:style>
  <w:style w:type="character" w:customStyle="1" w:styleId="TextocomentarioCar">
    <w:name w:val="Texto comentario Car"/>
    <w:basedOn w:val="Fuentedeprrafopredeter"/>
    <w:link w:val="Textocomentario"/>
    <w:uiPriority w:val="99"/>
    <w:rsid w:val="00D055F9"/>
    <w:rPr>
      <w:rFonts w:ascii="Times New Roman" w:eastAsia="Times New Roman" w:hAnsi="Times New Roman" w:cs="Times New Roman"/>
      <w:kern w:val="0"/>
      <w:sz w:val="20"/>
      <w:szCs w:val="20"/>
      <w:lang w:val="es-ES" w:eastAsia="es-ES"/>
      <w14:ligatures w14:val="none"/>
    </w:rPr>
  </w:style>
  <w:style w:type="character" w:styleId="Refdecomentario">
    <w:name w:val="annotation reference"/>
    <w:basedOn w:val="Fuentedeprrafopredeter"/>
    <w:uiPriority w:val="99"/>
    <w:unhideWhenUsed/>
    <w:rsid w:val="00D055F9"/>
    <w:rPr>
      <w:sz w:val="16"/>
      <w:szCs w:val="16"/>
    </w:rPr>
  </w:style>
  <w:style w:type="paragraph" w:styleId="Descripcin">
    <w:name w:val="caption"/>
    <w:basedOn w:val="Normal"/>
    <w:next w:val="Normal"/>
    <w:link w:val="DescripcinCar"/>
    <w:uiPriority w:val="35"/>
    <w:unhideWhenUsed/>
    <w:qFormat/>
    <w:rsid w:val="002A7D15"/>
    <w:pPr>
      <w:spacing w:after="200"/>
    </w:pPr>
    <w:rPr>
      <w:i/>
      <w:iCs/>
      <w:color w:val="44546A" w:themeColor="text2"/>
      <w:sz w:val="18"/>
      <w:szCs w:val="18"/>
    </w:rPr>
  </w:style>
  <w:style w:type="paragraph" w:styleId="Textonotapie">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TextonotapieCar"/>
    <w:uiPriority w:val="99"/>
    <w:unhideWhenUsed/>
    <w:qFormat/>
    <w:rsid w:val="00647CD9"/>
    <w:rPr>
      <w:sz w:val="20"/>
      <w:szCs w:val="20"/>
    </w:rPr>
  </w:style>
  <w:style w:type="character" w:customStyle="1" w:styleId="TextonotapieCar">
    <w:name w:val="Texto nota pie Car"/>
    <w:aliases w:val="Geneva 9 Car,Font: Geneva 9 Car,Boston 10 Car,f Car,single space Car,footnote text Car,Footnote Car,otnote Text Car,Footnote Text Char Char Char Car,Footnote Text Char Char Char Char Char Char Char Car,Footnotes Car,fn Car"/>
    <w:basedOn w:val="Fuentedeprrafopredeter"/>
    <w:link w:val="Textonotapie"/>
    <w:uiPriority w:val="99"/>
    <w:rsid w:val="00647CD9"/>
    <w:rPr>
      <w:sz w:val="20"/>
      <w:szCs w:val="20"/>
    </w:rPr>
  </w:style>
  <w:style w:type="character" w:styleId="Refdenotaalpie">
    <w:name w:val="footnote reference"/>
    <w:aliases w:val="16 Point,Superscript 6 Point,Superscript 6 Point + 11 pt,ftref,Footnote Reference Number,SUPERS,SUPERS1,SUPERS2,SUPERS3,BVI fnr,BVI fnr Car Car,BVI fnr Car,BVI fnr Car Car Car Car,FNRefe Char Char Char,BVI fnr Char Char Char,fr"/>
    <w:basedOn w:val="Fuentedeprrafopredeter"/>
    <w:link w:val="CharCharCharCharCarChar"/>
    <w:uiPriority w:val="99"/>
    <w:unhideWhenUsed/>
    <w:rsid w:val="00647CD9"/>
    <w:rPr>
      <w:vertAlign w:val="superscript"/>
    </w:rPr>
  </w:style>
  <w:style w:type="character" w:styleId="Hipervnculo">
    <w:name w:val="Hyperlink"/>
    <w:basedOn w:val="Fuentedeprrafopredeter"/>
    <w:uiPriority w:val="99"/>
    <w:unhideWhenUsed/>
    <w:rsid w:val="00374D7F"/>
    <w:rPr>
      <w:color w:val="0563C1" w:themeColor="hyperlink"/>
      <w:u w:val="single"/>
    </w:rPr>
  </w:style>
  <w:style w:type="character" w:customStyle="1" w:styleId="Mencinsinresolver1">
    <w:name w:val="Mención sin resolver1"/>
    <w:basedOn w:val="Fuentedeprrafopredeter"/>
    <w:uiPriority w:val="99"/>
    <w:semiHidden/>
    <w:unhideWhenUsed/>
    <w:rsid w:val="00374D7F"/>
    <w:rPr>
      <w:color w:val="605E5C"/>
      <w:shd w:val="clear" w:color="auto" w:fill="E1DFDD"/>
    </w:rPr>
  </w:style>
  <w:style w:type="character" w:customStyle="1" w:styleId="Ttulo1Car">
    <w:name w:val="Título 1 Car"/>
    <w:basedOn w:val="Fuentedeprrafopredeter"/>
    <w:link w:val="Ttulo1"/>
    <w:uiPriority w:val="9"/>
    <w:rsid w:val="00946E1A"/>
    <w:rPr>
      <w:rFonts w:asciiTheme="majorHAnsi" w:eastAsiaTheme="majorEastAsia" w:hAnsiTheme="majorHAnsi" w:cstheme="majorBidi"/>
      <w:color w:val="2F5496" w:themeColor="accent1" w:themeShade="BF"/>
      <w:kern w:val="0"/>
      <w:sz w:val="40"/>
      <w:szCs w:val="40"/>
      <w:lang w:val="es-ES" w:eastAsia="es-ES"/>
      <w14:ligatures w14:val="none"/>
    </w:rPr>
  </w:style>
  <w:style w:type="character" w:customStyle="1" w:styleId="Ttulo2Car">
    <w:name w:val="Título 2 Car"/>
    <w:basedOn w:val="Fuentedeprrafopredeter"/>
    <w:link w:val="Ttulo2"/>
    <w:uiPriority w:val="9"/>
    <w:rsid w:val="00946E1A"/>
    <w:rPr>
      <w:rFonts w:asciiTheme="majorHAnsi" w:eastAsiaTheme="majorEastAsia" w:hAnsiTheme="majorHAnsi" w:cstheme="majorBidi"/>
      <w:color w:val="2F5496" w:themeColor="accent1" w:themeShade="BF"/>
      <w:kern w:val="0"/>
      <w:sz w:val="32"/>
      <w:szCs w:val="32"/>
      <w:lang w:val="es-ES" w:eastAsia="es-ES"/>
      <w14:ligatures w14:val="none"/>
    </w:rPr>
  </w:style>
  <w:style w:type="character" w:customStyle="1" w:styleId="Ttulo3Car">
    <w:name w:val="Título 3 Car"/>
    <w:basedOn w:val="Fuentedeprrafopredeter"/>
    <w:link w:val="Ttulo3"/>
    <w:uiPriority w:val="9"/>
    <w:rsid w:val="00946E1A"/>
    <w:rPr>
      <w:rFonts w:ascii="Times New Roman" w:eastAsiaTheme="majorEastAsia" w:hAnsi="Times New Roman" w:cstheme="majorBidi"/>
      <w:color w:val="2F5496" w:themeColor="accent1" w:themeShade="BF"/>
      <w:kern w:val="0"/>
      <w:sz w:val="28"/>
      <w:szCs w:val="28"/>
      <w:lang w:val="es-ES" w:eastAsia="es-ES"/>
      <w14:ligatures w14:val="none"/>
    </w:rPr>
  </w:style>
  <w:style w:type="character" w:customStyle="1" w:styleId="Ttulo4Car">
    <w:name w:val="Título 4 Car"/>
    <w:basedOn w:val="Fuentedeprrafopredeter"/>
    <w:link w:val="Ttulo4"/>
    <w:uiPriority w:val="9"/>
    <w:rsid w:val="00946E1A"/>
    <w:rPr>
      <w:rFonts w:ascii="Times New Roman" w:eastAsiaTheme="majorEastAsia" w:hAnsi="Times New Roman" w:cstheme="majorBidi"/>
      <w:i/>
      <w:iCs/>
      <w:color w:val="2F5496" w:themeColor="accent1" w:themeShade="BF"/>
      <w:kern w:val="0"/>
      <w:sz w:val="24"/>
      <w:szCs w:val="24"/>
      <w:lang w:val="es-ES" w:eastAsia="es-ES"/>
      <w14:ligatures w14:val="none"/>
    </w:rPr>
  </w:style>
  <w:style w:type="character" w:customStyle="1" w:styleId="Ttulo5Car">
    <w:name w:val="Título 5 Car"/>
    <w:basedOn w:val="Fuentedeprrafopredeter"/>
    <w:link w:val="Ttulo5"/>
    <w:uiPriority w:val="9"/>
    <w:rsid w:val="00946E1A"/>
    <w:rPr>
      <w:rFonts w:ascii="Times New Roman" w:eastAsiaTheme="majorEastAsia" w:hAnsi="Times New Roman" w:cstheme="majorBidi"/>
      <w:color w:val="2F5496" w:themeColor="accent1" w:themeShade="BF"/>
      <w:kern w:val="0"/>
      <w:sz w:val="24"/>
      <w:szCs w:val="24"/>
      <w:lang w:val="es-ES" w:eastAsia="es-ES"/>
      <w14:ligatures w14:val="none"/>
    </w:rPr>
  </w:style>
  <w:style w:type="character" w:customStyle="1" w:styleId="Ttulo6Car">
    <w:name w:val="Título 6 Car"/>
    <w:basedOn w:val="Fuentedeprrafopredeter"/>
    <w:link w:val="Ttulo6"/>
    <w:uiPriority w:val="9"/>
    <w:rsid w:val="00946E1A"/>
    <w:rPr>
      <w:rFonts w:ascii="Times New Roman" w:eastAsiaTheme="majorEastAsia" w:hAnsi="Times New Roman" w:cstheme="majorBidi"/>
      <w:i/>
      <w:iCs/>
      <w:color w:val="595959" w:themeColor="text1" w:themeTint="A6"/>
      <w:kern w:val="0"/>
      <w:sz w:val="24"/>
      <w:szCs w:val="24"/>
      <w:lang w:val="es-ES" w:eastAsia="es-ES"/>
      <w14:ligatures w14:val="none"/>
    </w:rPr>
  </w:style>
  <w:style w:type="character" w:customStyle="1" w:styleId="Ttulo7Car">
    <w:name w:val="Título 7 Car"/>
    <w:basedOn w:val="Fuentedeprrafopredeter"/>
    <w:link w:val="Ttulo7"/>
    <w:uiPriority w:val="9"/>
    <w:rsid w:val="00946E1A"/>
    <w:rPr>
      <w:rFonts w:ascii="Times New Roman" w:eastAsiaTheme="majorEastAsia" w:hAnsi="Times New Roman" w:cstheme="majorBidi"/>
      <w:color w:val="595959" w:themeColor="text1" w:themeTint="A6"/>
      <w:kern w:val="0"/>
      <w:sz w:val="24"/>
      <w:szCs w:val="24"/>
      <w:lang w:val="es-ES" w:eastAsia="es-ES"/>
      <w14:ligatures w14:val="none"/>
    </w:rPr>
  </w:style>
  <w:style w:type="character" w:customStyle="1" w:styleId="Ttulo8Car">
    <w:name w:val="Título 8 Car"/>
    <w:basedOn w:val="Fuentedeprrafopredeter"/>
    <w:link w:val="Ttulo8"/>
    <w:uiPriority w:val="9"/>
    <w:rsid w:val="00946E1A"/>
    <w:rPr>
      <w:rFonts w:ascii="Times New Roman" w:eastAsiaTheme="majorEastAsia" w:hAnsi="Times New Roman" w:cstheme="majorBidi"/>
      <w:i/>
      <w:iCs/>
      <w:color w:val="272727" w:themeColor="text1" w:themeTint="D8"/>
      <w:kern w:val="0"/>
      <w:sz w:val="24"/>
      <w:szCs w:val="24"/>
      <w:lang w:val="es-ES" w:eastAsia="es-ES"/>
      <w14:ligatures w14:val="none"/>
    </w:rPr>
  </w:style>
  <w:style w:type="character" w:customStyle="1" w:styleId="Ttulo9Car">
    <w:name w:val="Título 9 Car"/>
    <w:basedOn w:val="Fuentedeprrafopredeter"/>
    <w:link w:val="Ttulo9"/>
    <w:uiPriority w:val="9"/>
    <w:rsid w:val="00946E1A"/>
    <w:rPr>
      <w:rFonts w:ascii="Times New Roman" w:eastAsiaTheme="majorEastAsia" w:hAnsi="Times New Roman" w:cstheme="majorBidi"/>
      <w:color w:val="272727" w:themeColor="text1" w:themeTint="D8"/>
      <w:kern w:val="0"/>
      <w:sz w:val="24"/>
      <w:szCs w:val="24"/>
      <w:lang w:val="es-ES" w:eastAsia="es-ES"/>
      <w14:ligatures w14:val="none"/>
    </w:rPr>
  </w:style>
  <w:style w:type="table" w:customStyle="1" w:styleId="TableNormal1">
    <w:name w:val="Table Normal1"/>
    <w:rsid w:val="00946E1A"/>
    <w:rPr>
      <w:rFonts w:ascii="Calibri" w:eastAsia="Calibri" w:hAnsi="Calibri" w:cs="Calibri"/>
      <w:kern w:val="0"/>
      <w:lang w:val="es-ES" w:eastAsia="es-ES"/>
      <w14:ligatures w14:val="none"/>
    </w:rPr>
    <w:tblPr>
      <w:tblCellMar>
        <w:top w:w="0" w:type="dxa"/>
        <w:left w:w="0" w:type="dxa"/>
        <w:bottom w:w="0" w:type="dxa"/>
        <w:right w:w="0" w:type="dxa"/>
      </w:tblCellMar>
    </w:tblPr>
  </w:style>
  <w:style w:type="paragraph" w:styleId="Ttulo">
    <w:name w:val="Title"/>
    <w:basedOn w:val="Normal"/>
    <w:next w:val="Normal"/>
    <w:link w:val="TtuloCar"/>
    <w:uiPriority w:val="10"/>
    <w:qFormat/>
    <w:rsid w:val="00946E1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6E1A"/>
    <w:rPr>
      <w:rFonts w:asciiTheme="majorHAnsi" w:eastAsiaTheme="majorEastAsia" w:hAnsiTheme="majorHAnsi" w:cstheme="majorBidi"/>
      <w:spacing w:val="-10"/>
      <w:kern w:val="28"/>
      <w:sz w:val="56"/>
      <w:szCs w:val="56"/>
      <w:lang w:val="es-ES" w:eastAsia="es-ES"/>
      <w14:ligatures w14:val="none"/>
    </w:rPr>
  </w:style>
  <w:style w:type="paragraph" w:styleId="Subttulo">
    <w:name w:val="Subtitle"/>
    <w:basedOn w:val="Normal"/>
    <w:next w:val="Normal"/>
    <w:link w:val="SubttuloCar"/>
    <w:uiPriority w:val="11"/>
    <w:qFormat/>
    <w:rsid w:val="00946E1A"/>
    <w:rPr>
      <w:color w:val="595959"/>
      <w:sz w:val="28"/>
      <w:szCs w:val="28"/>
    </w:rPr>
  </w:style>
  <w:style w:type="character" w:customStyle="1" w:styleId="SubttuloCar">
    <w:name w:val="Subtítulo Car"/>
    <w:basedOn w:val="Fuentedeprrafopredeter"/>
    <w:link w:val="Subttulo"/>
    <w:uiPriority w:val="11"/>
    <w:rsid w:val="00946E1A"/>
    <w:rPr>
      <w:rFonts w:ascii="Times New Roman" w:eastAsia="Times New Roman" w:hAnsi="Times New Roman" w:cs="Times New Roman"/>
      <w:color w:val="595959"/>
      <w:kern w:val="0"/>
      <w:sz w:val="28"/>
      <w:szCs w:val="28"/>
      <w:lang w:val="es-ES" w:eastAsia="es-ES"/>
      <w14:ligatures w14:val="none"/>
    </w:rPr>
  </w:style>
  <w:style w:type="paragraph" w:styleId="Cita">
    <w:name w:val="Quote"/>
    <w:basedOn w:val="Normal"/>
    <w:next w:val="Normal"/>
    <w:link w:val="CitaCar"/>
    <w:uiPriority w:val="29"/>
    <w:qFormat/>
    <w:rsid w:val="00946E1A"/>
    <w:pPr>
      <w:spacing w:before="160"/>
      <w:jc w:val="center"/>
    </w:pPr>
    <w:rPr>
      <w:i/>
      <w:iCs/>
      <w:color w:val="404040" w:themeColor="text1" w:themeTint="BF"/>
    </w:rPr>
  </w:style>
  <w:style w:type="character" w:customStyle="1" w:styleId="CitaCar">
    <w:name w:val="Cita Car"/>
    <w:basedOn w:val="Fuentedeprrafopredeter"/>
    <w:link w:val="Cita"/>
    <w:uiPriority w:val="29"/>
    <w:rsid w:val="00946E1A"/>
    <w:rPr>
      <w:rFonts w:ascii="Times New Roman" w:eastAsia="Times New Roman" w:hAnsi="Times New Roman" w:cs="Times New Roman"/>
      <w:i/>
      <w:iCs/>
      <w:color w:val="404040" w:themeColor="text1" w:themeTint="BF"/>
      <w:kern w:val="0"/>
      <w:sz w:val="24"/>
      <w:szCs w:val="24"/>
      <w:lang w:val="es-ES" w:eastAsia="es-ES"/>
      <w14:ligatures w14:val="none"/>
    </w:rPr>
  </w:style>
  <w:style w:type="character" w:styleId="nfasisintenso">
    <w:name w:val="Intense Emphasis"/>
    <w:basedOn w:val="Fuentedeprrafopredeter"/>
    <w:uiPriority w:val="21"/>
    <w:qFormat/>
    <w:rsid w:val="00946E1A"/>
    <w:rPr>
      <w:i/>
      <w:iCs/>
      <w:color w:val="2F5496" w:themeColor="accent1" w:themeShade="BF"/>
    </w:rPr>
  </w:style>
  <w:style w:type="paragraph" w:styleId="Citadestacada">
    <w:name w:val="Intense Quote"/>
    <w:basedOn w:val="Normal"/>
    <w:next w:val="Normal"/>
    <w:link w:val="CitadestacadaCar"/>
    <w:uiPriority w:val="30"/>
    <w:qFormat/>
    <w:rsid w:val="00946E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46E1A"/>
    <w:rPr>
      <w:rFonts w:ascii="Times New Roman" w:eastAsia="Times New Roman" w:hAnsi="Times New Roman" w:cs="Times New Roman"/>
      <w:i/>
      <w:iCs/>
      <w:color w:val="2F5496" w:themeColor="accent1" w:themeShade="BF"/>
      <w:kern w:val="0"/>
      <w:sz w:val="24"/>
      <w:szCs w:val="24"/>
      <w:lang w:val="es-ES" w:eastAsia="es-ES"/>
      <w14:ligatures w14:val="none"/>
    </w:rPr>
  </w:style>
  <w:style w:type="character" w:styleId="Referenciaintensa">
    <w:name w:val="Intense Reference"/>
    <w:basedOn w:val="Fuentedeprrafopredeter"/>
    <w:uiPriority w:val="32"/>
    <w:qFormat/>
    <w:rsid w:val="00946E1A"/>
    <w:rPr>
      <w:b/>
      <w:bCs/>
      <w:smallCaps/>
      <w:color w:val="2F5496" w:themeColor="accent1" w:themeShade="BF"/>
      <w:spacing w:val="5"/>
    </w:rPr>
  </w:style>
  <w:style w:type="table" w:styleId="Tablaconcuadrcula">
    <w:name w:val="Table Grid"/>
    <w:basedOn w:val="Tablanormal"/>
    <w:uiPriority w:val="39"/>
    <w:rsid w:val="00946E1A"/>
    <w:pPr>
      <w:spacing w:after="0" w:line="240" w:lineRule="auto"/>
    </w:pPr>
    <w:rPr>
      <w:rFonts w:ascii="Calibri" w:eastAsia="Calibri" w:hAnsi="Calibri" w:cs="Calibri"/>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946E1A"/>
  </w:style>
  <w:style w:type="paragraph" w:styleId="TDC1">
    <w:name w:val="toc 1"/>
    <w:basedOn w:val="Normal"/>
    <w:next w:val="Normal"/>
    <w:autoRedefine/>
    <w:uiPriority w:val="39"/>
    <w:unhideWhenUsed/>
    <w:rsid w:val="00946E1A"/>
    <w:pPr>
      <w:spacing w:before="120" w:after="120"/>
    </w:pPr>
    <w:rPr>
      <w:rFonts w:cstheme="minorHAnsi"/>
      <w:b/>
      <w:bCs/>
      <w:caps/>
      <w:sz w:val="20"/>
      <w:szCs w:val="20"/>
    </w:rPr>
  </w:style>
  <w:style w:type="paragraph" w:styleId="TDC2">
    <w:name w:val="toc 2"/>
    <w:basedOn w:val="Normal"/>
    <w:next w:val="Normal"/>
    <w:autoRedefine/>
    <w:uiPriority w:val="39"/>
    <w:unhideWhenUsed/>
    <w:rsid w:val="00946E1A"/>
    <w:pPr>
      <w:ind w:left="220"/>
    </w:pPr>
    <w:rPr>
      <w:rFonts w:cstheme="minorHAnsi"/>
      <w:smallCaps/>
      <w:sz w:val="20"/>
      <w:szCs w:val="20"/>
    </w:rPr>
  </w:style>
  <w:style w:type="paragraph" w:styleId="Piedepgina">
    <w:name w:val="footer"/>
    <w:basedOn w:val="Normal"/>
    <w:link w:val="PiedepginaCar"/>
    <w:uiPriority w:val="99"/>
    <w:rsid w:val="00946E1A"/>
    <w:pPr>
      <w:tabs>
        <w:tab w:val="center" w:pos="4320"/>
        <w:tab w:val="right" w:pos="8640"/>
      </w:tabs>
      <w:ind w:left="187"/>
    </w:pPr>
    <w:rPr>
      <w:rFonts w:ascii="Arial" w:hAnsi="Arial"/>
    </w:rPr>
  </w:style>
  <w:style w:type="character" w:customStyle="1" w:styleId="PiedepginaCar">
    <w:name w:val="Pie de página Car"/>
    <w:basedOn w:val="Fuentedeprrafopredeter"/>
    <w:link w:val="Piedepgina"/>
    <w:uiPriority w:val="99"/>
    <w:rsid w:val="00946E1A"/>
    <w:rPr>
      <w:rFonts w:ascii="Arial" w:eastAsia="Times New Roman" w:hAnsi="Arial" w:cs="Times New Roman"/>
      <w:kern w:val="0"/>
      <w:sz w:val="24"/>
      <w:szCs w:val="24"/>
      <w:lang w:eastAsia="es-ES"/>
      <w14:ligatures w14:val="none"/>
    </w:rPr>
  </w:style>
  <w:style w:type="character" w:customStyle="1" w:styleId="DescripcinCar">
    <w:name w:val="Descripción Car"/>
    <w:link w:val="Descripcin"/>
    <w:rsid w:val="00946E1A"/>
    <w:rPr>
      <w:i/>
      <w:iCs/>
      <w:color w:val="44546A" w:themeColor="text2"/>
      <w:sz w:val="18"/>
      <w:szCs w:val="18"/>
    </w:rPr>
  </w:style>
  <w:style w:type="character" w:styleId="Hipervnculovisitado">
    <w:name w:val="FollowedHyperlink"/>
    <w:basedOn w:val="Fuentedeprrafopredeter"/>
    <w:uiPriority w:val="99"/>
    <w:unhideWhenUsed/>
    <w:rsid w:val="00946E1A"/>
    <w:rPr>
      <w:color w:val="954F72" w:themeColor="followedHyperlink"/>
      <w:u w:val="single"/>
    </w:rPr>
  </w:style>
  <w:style w:type="paragraph" w:customStyle="1" w:styleId="msonormal0">
    <w:name w:val="msonormal"/>
    <w:basedOn w:val="Normal"/>
    <w:rsid w:val="00946E1A"/>
    <w:pPr>
      <w:spacing w:before="100" w:beforeAutospacing="1" w:after="100" w:afterAutospacing="1"/>
    </w:pPr>
  </w:style>
  <w:style w:type="paragraph" w:customStyle="1" w:styleId="font5">
    <w:name w:val="font5"/>
    <w:basedOn w:val="Normal"/>
    <w:rsid w:val="00946E1A"/>
    <w:pPr>
      <w:spacing w:before="100" w:beforeAutospacing="1" w:after="100" w:afterAutospacing="1"/>
    </w:pPr>
    <w:rPr>
      <w:rFonts w:ascii="Aptos Narrow" w:hAnsi="Aptos Narrow"/>
      <w:color w:val="000000"/>
      <w:sz w:val="18"/>
      <w:szCs w:val="18"/>
    </w:rPr>
  </w:style>
  <w:style w:type="paragraph" w:customStyle="1" w:styleId="xl65">
    <w:name w:val="xl65"/>
    <w:basedOn w:val="Normal"/>
    <w:rsid w:val="00946E1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66">
    <w:name w:val="xl66"/>
    <w:basedOn w:val="Normal"/>
    <w:rsid w:val="00946E1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67">
    <w:name w:val="xl67"/>
    <w:basedOn w:val="Normal"/>
    <w:rsid w:val="00946E1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68">
    <w:name w:val="xl68"/>
    <w:basedOn w:val="Normal"/>
    <w:rsid w:val="00946E1A"/>
    <w:pPr>
      <w:spacing w:before="100" w:beforeAutospacing="1" w:after="100" w:afterAutospacing="1"/>
    </w:pPr>
    <w:rPr>
      <w:sz w:val="18"/>
      <w:szCs w:val="18"/>
    </w:rPr>
  </w:style>
  <w:style w:type="paragraph" w:customStyle="1" w:styleId="xl69">
    <w:name w:val="xl69"/>
    <w:basedOn w:val="Normal"/>
    <w:rsid w:val="00946E1A"/>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18"/>
      <w:szCs w:val="18"/>
    </w:rPr>
  </w:style>
  <w:style w:type="paragraph" w:customStyle="1" w:styleId="xl70">
    <w:name w:val="xl70"/>
    <w:basedOn w:val="Normal"/>
    <w:rsid w:val="00946E1A"/>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71">
    <w:name w:val="xl71"/>
    <w:basedOn w:val="Normal"/>
    <w:rsid w:val="00946E1A"/>
    <w:pPr>
      <w:pBdr>
        <w:left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72">
    <w:name w:val="xl72"/>
    <w:basedOn w:val="Normal"/>
    <w:rsid w:val="00946E1A"/>
    <w:pPr>
      <w:pBdr>
        <w:left w:val="single" w:sz="4" w:space="0" w:color="auto"/>
        <w:bottom w:val="single" w:sz="4" w:space="0" w:color="auto"/>
        <w:right w:val="single" w:sz="4" w:space="0" w:color="auto"/>
      </w:pBdr>
      <w:spacing w:before="100" w:beforeAutospacing="1" w:after="100" w:afterAutospacing="1"/>
      <w:textAlignment w:val="center"/>
    </w:pPr>
    <w:rPr>
      <w:b/>
      <w:bCs/>
      <w:color w:val="000000"/>
      <w:sz w:val="18"/>
      <w:szCs w:val="18"/>
    </w:rPr>
  </w:style>
  <w:style w:type="paragraph" w:customStyle="1" w:styleId="xl73">
    <w:name w:val="xl73"/>
    <w:basedOn w:val="Normal"/>
    <w:rsid w:val="00946E1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74">
    <w:name w:val="xl74"/>
    <w:basedOn w:val="Normal"/>
    <w:rsid w:val="00946E1A"/>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75">
    <w:name w:val="xl75"/>
    <w:basedOn w:val="Normal"/>
    <w:rsid w:val="00946E1A"/>
    <w:pPr>
      <w:pBdr>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76">
    <w:name w:val="xl76"/>
    <w:basedOn w:val="Normal"/>
    <w:rsid w:val="00946E1A"/>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77">
    <w:name w:val="xl77"/>
    <w:basedOn w:val="Normal"/>
    <w:rsid w:val="00946E1A"/>
    <w:pPr>
      <w:shd w:val="clear" w:color="000000" w:fill="8ED973"/>
      <w:spacing w:before="100" w:beforeAutospacing="1" w:after="100" w:afterAutospacing="1"/>
    </w:pPr>
    <w:rPr>
      <w:rFonts w:ascii="Aptos Narrow" w:hAnsi="Aptos Narrow"/>
      <w:b/>
      <w:bCs/>
    </w:rPr>
  </w:style>
  <w:style w:type="paragraph" w:customStyle="1" w:styleId="xl78">
    <w:name w:val="xl78"/>
    <w:basedOn w:val="Normal"/>
    <w:rsid w:val="00946E1A"/>
    <w:pPr>
      <w:shd w:val="clear" w:color="000000" w:fill="8ED973"/>
      <w:spacing w:before="100" w:beforeAutospacing="1" w:after="100" w:afterAutospacing="1"/>
    </w:pPr>
    <w:rPr>
      <w:rFonts w:ascii="Aptos Narrow" w:hAnsi="Aptos Narrow"/>
      <w:b/>
      <w:bCs/>
      <w:sz w:val="18"/>
      <w:szCs w:val="18"/>
    </w:rPr>
  </w:style>
  <w:style w:type="paragraph" w:customStyle="1" w:styleId="xl79">
    <w:name w:val="xl79"/>
    <w:basedOn w:val="Normal"/>
    <w:rsid w:val="00946E1A"/>
    <w:pPr>
      <w:shd w:val="clear" w:color="000000" w:fill="DAF2D0"/>
      <w:spacing w:before="100" w:beforeAutospacing="1" w:after="100" w:afterAutospacing="1"/>
    </w:pPr>
    <w:rPr>
      <w:rFonts w:ascii="Aptos Narrow" w:hAnsi="Aptos Narrow"/>
      <w:b/>
      <w:bCs/>
    </w:rPr>
  </w:style>
  <w:style w:type="paragraph" w:customStyle="1" w:styleId="xl80">
    <w:name w:val="xl80"/>
    <w:basedOn w:val="Normal"/>
    <w:rsid w:val="00946E1A"/>
    <w:pPr>
      <w:shd w:val="clear" w:color="000000" w:fill="DAF2D0"/>
      <w:spacing w:before="100" w:beforeAutospacing="1" w:after="100" w:afterAutospacing="1"/>
    </w:pPr>
    <w:rPr>
      <w:rFonts w:ascii="Aptos Narrow" w:hAnsi="Aptos Narrow"/>
      <w:b/>
      <w:bCs/>
      <w:sz w:val="18"/>
      <w:szCs w:val="18"/>
    </w:rPr>
  </w:style>
  <w:style w:type="paragraph" w:customStyle="1" w:styleId="xl81">
    <w:name w:val="xl81"/>
    <w:basedOn w:val="Normal"/>
    <w:rsid w:val="00946E1A"/>
    <w:pPr>
      <w:shd w:val="clear" w:color="000000" w:fill="B5E6A2"/>
      <w:spacing w:before="100" w:beforeAutospacing="1" w:after="100" w:afterAutospacing="1"/>
    </w:pPr>
    <w:rPr>
      <w:rFonts w:ascii="Aptos Narrow" w:hAnsi="Aptos Narrow"/>
      <w:b/>
      <w:bCs/>
    </w:rPr>
  </w:style>
  <w:style w:type="paragraph" w:customStyle="1" w:styleId="xl82">
    <w:name w:val="xl82"/>
    <w:basedOn w:val="Normal"/>
    <w:rsid w:val="00946E1A"/>
    <w:pPr>
      <w:shd w:val="clear" w:color="000000" w:fill="B5E6A2"/>
      <w:spacing w:before="100" w:beforeAutospacing="1" w:after="100" w:afterAutospacing="1"/>
    </w:pPr>
    <w:rPr>
      <w:rFonts w:ascii="Aptos Narrow" w:hAnsi="Aptos Narrow"/>
      <w:b/>
      <w:bCs/>
      <w:sz w:val="18"/>
      <w:szCs w:val="18"/>
    </w:rPr>
  </w:style>
  <w:style w:type="paragraph" w:customStyle="1" w:styleId="xl83">
    <w:name w:val="xl83"/>
    <w:basedOn w:val="Normal"/>
    <w:rsid w:val="00946E1A"/>
    <w:pPr>
      <w:shd w:val="clear" w:color="000000" w:fill="3C7D22"/>
      <w:spacing w:before="100" w:beforeAutospacing="1" w:after="100" w:afterAutospacing="1"/>
    </w:pPr>
    <w:rPr>
      <w:rFonts w:ascii="Aptos Narrow" w:hAnsi="Aptos Narrow"/>
      <w:b/>
      <w:bCs/>
      <w:color w:val="FFFFFF"/>
    </w:rPr>
  </w:style>
  <w:style w:type="paragraph" w:customStyle="1" w:styleId="xl84">
    <w:name w:val="xl84"/>
    <w:basedOn w:val="Normal"/>
    <w:rsid w:val="00946E1A"/>
    <w:pPr>
      <w:shd w:val="clear" w:color="000000" w:fill="3C7D22"/>
      <w:spacing w:before="100" w:beforeAutospacing="1" w:after="100" w:afterAutospacing="1"/>
    </w:pPr>
    <w:rPr>
      <w:rFonts w:ascii="Aptos Narrow" w:hAnsi="Aptos Narrow"/>
      <w:b/>
      <w:bCs/>
      <w:color w:val="FFFFFF"/>
      <w:sz w:val="18"/>
      <w:szCs w:val="18"/>
    </w:rPr>
  </w:style>
  <w:style w:type="paragraph" w:customStyle="1" w:styleId="xl85">
    <w:name w:val="xl85"/>
    <w:basedOn w:val="Normal"/>
    <w:rsid w:val="00946E1A"/>
    <w:pPr>
      <w:shd w:val="clear" w:color="000000" w:fill="275317"/>
      <w:spacing w:before="100" w:beforeAutospacing="1" w:after="100" w:afterAutospacing="1"/>
    </w:pPr>
    <w:rPr>
      <w:rFonts w:ascii="Aptos Narrow" w:hAnsi="Aptos Narrow"/>
      <w:b/>
      <w:bCs/>
      <w:color w:val="FFFFFF"/>
    </w:rPr>
  </w:style>
  <w:style w:type="paragraph" w:customStyle="1" w:styleId="xl86">
    <w:name w:val="xl86"/>
    <w:basedOn w:val="Normal"/>
    <w:rsid w:val="00946E1A"/>
    <w:pPr>
      <w:shd w:val="clear" w:color="000000" w:fill="275317"/>
      <w:spacing w:before="100" w:beforeAutospacing="1" w:after="100" w:afterAutospacing="1"/>
    </w:pPr>
    <w:rPr>
      <w:rFonts w:ascii="Aptos Narrow" w:hAnsi="Aptos Narrow"/>
      <w:b/>
      <w:bCs/>
      <w:color w:val="FFFFFF"/>
      <w:sz w:val="18"/>
      <w:szCs w:val="18"/>
    </w:rPr>
  </w:style>
  <w:style w:type="paragraph" w:styleId="Revisin">
    <w:name w:val="Revision"/>
    <w:hidden/>
    <w:uiPriority w:val="99"/>
    <w:semiHidden/>
    <w:rsid w:val="00946E1A"/>
    <w:pPr>
      <w:spacing w:after="0" w:line="240" w:lineRule="auto"/>
    </w:pPr>
    <w:rPr>
      <w:rFonts w:ascii="Calibri" w:eastAsia="Calibri" w:hAnsi="Calibri" w:cs="Calibri"/>
      <w:kern w:val="0"/>
      <w:lang w:val="es-ES" w:eastAsia="es-ES"/>
      <w14:ligatures w14:val="none"/>
    </w:rPr>
  </w:style>
  <w:style w:type="character" w:styleId="Textoennegrita">
    <w:name w:val="Strong"/>
    <w:basedOn w:val="Fuentedeprrafopredeter"/>
    <w:uiPriority w:val="22"/>
    <w:qFormat/>
    <w:rsid w:val="00946E1A"/>
    <w:rPr>
      <w:b/>
      <w:bCs/>
    </w:rPr>
  </w:style>
  <w:style w:type="character" w:customStyle="1" w:styleId="apple-converted-space">
    <w:name w:val="apple-converted-space"/>
    <w:basedOn w:val="Fuentedeprrafopredeter"/>
    <w:rsid w:val="00946E1A"/>
  </w:style>
  <w:style w:type="paragraph" w:styleId="Asuntodelcomentario">
    <w:name w:val="annotation subject"/>
    <w:basedOn w:val="Textocomentario"/>
    <w:next w:val="Textocomentario"/>
    <w:link w:val="AsuntodelcomentarioCar"/>
    <w:uiPriority w:val="99"/>
    <w:unhideWhenUsed/>
    <w:rsid w:val="00946E1A"/>
    <w:rPr>
      <w:b/>
      <w:bCs/>
    </w:rPr>
  </w:style>
  <w:style w:type="character" w:customStyle="1" w:styleId="AsuntodelcomentarioCar">
    <w:name w:val="Asunto del comentario Car"/>
    <w:basedOn w:val="TextocomentarioCar"/>
    <w:link w:val="Asuntodelcomentario"/>
    <w:uiPriority w:val="99"/>
    <w:rsid w:val="00946E1A"/>
    <w:rPr>
      <w:rFonts w:ascii="Times New Roman" w:eastAsia="Times New Roman" w:hAnsi="Times New Roman" w:cs="Times New Roman"/>
      <w:b/>
      <w:bCs/>
      <w:kern w:val="0"/>
      <w:sz w:val="20"/>
      <w:szCs w:val="20"/>
      <w:lang w:val="es-ES" w:eastAsia="es-ES"/>
      <w14:ligatures w14:val="none"/>
    </w:rPr>
  </w:style>
  <w:style w:type="paragraph" w:styleId="TDC3">
    <w:name w:val="toc 3"/>
    <w:basedOn w:val="Normal"/>
    <w:next w:val="Normal"/>
    <w:autoRedefine/>
    <w:uiPriority w:val="39"/>
    <w:unhideWhenUsed/>
    <w:rsid w:val="00946E1A"/>
    <w:pPr>
      <w:ind w:left="440"/>
    </w:pPr>
    <w:rPr>
      <w:rFonts w:cstheme="minorHAnsi"/>
      <w:i/>
      <w:iCs/>
      <w:sz w:val="20"/>
      <w:szCs w:val="20"/>
    </w:rPr>
  </w:style>
  <w:style w:type="paragraph" w:styleId="TDC4">
    <w:name w:val="toc 4"/>
    <w:basedOn w:val="Normal"/>
    <w:next w:val="Normal"/>
    <w:autoRedefine/>
    <w:uiPriority w:val="39"/>
    <w:unhideWhenUsed/>
    <w:rsid w:val="00946E1A"/>
    <w:pPr>
      <w:ind w:left="660"/>
    </w:pPr>
    <w:rPr>
      <w:rFonts w:cstheme="minorHAnsi"/>
      <w:sz w:val="18"/>
      <w:szCs w:val="18"/>
    </w:rPr>
  </w:style>
  <w:style w:type="paragraph" w:styleId="TDC5">
    <w:name w:val="toc 5"/>
    <w:basedOn w:val="Normal"/>
    <w:next w:val="Normal"/>
    <w:autoRedefine/>
    <w:uiPriority w:val="39"/>
    <w:unhideWhenUsed/>
    <w:rsid w:val="00946E1A"/>
    <w:pPr>
      <w:ind w:left="880"/>
    </w:pPr>
    <w:rPr>
      <w:rFonts w:cstheme="minorHAnsi"/>
      <w:sz w:val="18"/>
      <w:szCs w:val="18"/>
    </w:rPr>
  </w:style>
  <w:style w:type="paragraph" w:styleId="TDC6">
    <w:name w:val="toc 6"/>
    <w:basedOn w:val="Normal"/>
    <w:next w:val="Normal"/>
    <w:autoRedefine/>
    <w:uiPriority w:val="39"/>
    <w:unhideWhenUsed/>
    <w:rsid w:val="00946E1A"/>
    <w:pPr>
      <w:ind w:left="1100"/>
    </w:pPr>
    <w:rPr>
      <w:rFonts w:cstheme="minorHAnsi"/>
      <w:sz w:val="18"/>
      <w:szCs w:val="18"/>
    </w:rPr>
  </w:style>
  <w:style w:type="paragraph" w:styleId="TDC7">
    <w:name w:val="toc 7"/>
    <w:basedOn w:val="Normal"/>
    <w:next w:val="Normal"/>
    <w:autoRedefine/>
    <w:uiPriority w:val="39"/>
    <w:unhideWhenUsed/>
    <w:rsid w:val="00946E1A"/>
    <w:pPr>
      <w:ind w:left="1320"/>
    </w:pPr>
    <w:rPr>
      <w:rFonts w:cstheme="minorHAnsi"/>
      <w:sz w:val="18"/>
      <w:szCs w:val="18"/>
    </w:rPr>
  </w:style>
  <w:style w:type="paragraph" w:styleId="TDC8">
    <w:name w:val="toc 8"/>
    <w:basedOn w:val="Normal"/>
    <w:next w:val="Normal"/>
    <w:autoRedefine/>
    <w:uiPriority w:val="39"/>
    <w:unhideWhenUsed/>
    <w:rsid w:val="00946E1A"/>
    <w:pPr>
      <w:ind w:left="1540"/>
    </w:pPr>
    <w:rPr>
      <w:rFonts w:cstheme="minorHAnsi"/>
      <w:sz w:val="18"/>
      <w:szCs w:val="18"/>
    </w:rPr>
  </w:style>
  <w:style w:type="paragraph" w:styleId="TDC9">
    <w:name w:val="toc 9"/>
    <w:basedOn w:val="Normal"/>
    <w:next w:val="Normal"/>
    <w:autoRedefine/>
    <w:uiPriority w:val="39"/>
    <w:unhideWhenUsed/>
    <w:rsid w:val="00946E1A"/>
    <w:pPr>
      <w:ind w:left="1760"/>
    </w:pPr>
    <w:rPr>
      <w:rFonts w:cstheme="minorHAnsi"/>
      <w:sz w:val="18"/>
      <w:szCs w:val="18"/>
    </w:rPr>
  </w:style>
  <w:style w:type="character" w:styleId="Nmerodelnea">
    <w:name w:val="line number"/>
    <w:basedOn w:val="Fuentedeprrafopredeter"/>
    <w:uiPriority w:val="99"/>
    <w:semiHidden/>
    <w:unhideWhenUsed/>
    <w:rsid w:val="002D719E"/>
  </w:style>
  <w:style w:type="character" w:styleId="Mencinsinresolver">
    <w:name w:val="Unresolved Mention"/>
    <w:basedOn w:val="Fuentedeprrafopredeter"/>
    <w:uiPriority w:val="99"/>
    <w:unhideWhenUsed/>
    <w:rsid w:val="008C5D04"/>
    <w:rPr>
      <w:color w:val="605E5C"/>
      <w:shd w:val="clear" w:color="auto" w:fill="E1DFDD"/>
    </w:rPr>
  </w:style>
  <w:style w:type="paragraph" w:styleId="Tabladeilustraciones">
    <w:name w:val="table of figures"/>
    <w:basedOn w:val="Normal"/>
    <w:next w:val="Normal"/>
    <w:uiPriority w:val="99"/>
    <w:unhideWhenUsed/>
    <w:rsid w:val="00FF748A"/>
    <w:pPr>
      <w:ind w:left="480" w:hanging="480"/>
    </w:pPr>
    <w:rPr>
      <w:rFonts w:asciiTheme="minorHAnsi" w:hAnsiTheme="minorHAnsi" w:cstheme="minorHAnsi"/>
      <w:smallCaps/>
      <w:sz w:val="20"/>
      <w:szCs w:val="20"/>
    </w:rPr>
  </w:style>
  <w:style w:type="paragraph" w:styleId="Textoindependiente2">
    <w:name w:val="Body Text 2"/>
    <w:basedOn w:val="Normal"/>
    <w:link w:val="Textoindependiente2Car"/>
    <w:rsid w:val="005A01D9"/>
    <w:pPr>
      <w:spacing w:after="120" w:line="480" w:lineRule="auto"/>
    </w:pPr>
    <w:rPr>
      <w:rFonts w:ascii="Arial" w:hAnsi="Arial" w:cs="Arial"/>
      <w:sz w:val="22"/>
      <w:szCs w:val="20"/>
      <w:lang w:val="en-US" w:eastAsia="en-US"/>
    </w:rPr>
  </w:style>
  <w:style w:type="character" w:customStyle="1" w:styleId="Textoindependiente2Car">
    <w:name w:val="Texto independiente 2 Car"/>
    <w:basedOn w:val="Fuentedeprrafopredeter"/>
    <w:link w:val="Textoindependiente2"/>
    <w:rsid w:val="005A01D9"/>
    <w:rPr>
      <w:rFonts w:ascii="Arial" w:eastAsia="Times New Roman" w:hAnsi="Arial" w:cs="Arial"/>
      <w:kern w:val="0"/>
      <w:szCs w:val="20"/>
      <w14:ligatures w14:val="none"/>
    </w:rPr>
  </w:style>
  <w:style w:type="paragraph" w:styleId="Sinespaciado">
    <w:name w:val="No Spacing"/>
    <w:uiPriority w:val="1"/>
    <w:qFormat/>
    <w:rsid w:val="00C02808"/>
    <w:pPr>
      <w:spacing w:after="0" w:line="240" w:lineRule="auto"/>
    </w:pPr>
    <w:rPr>
      <w:rFonts w:eastAsiaTheme="minorHAnsi"/>
      <w:sz w:val="24"/>
      <w:szCs w:val="24"/>
      <w:lang w:val="es-EC"/>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Refdenotaalpie"/>
    <w:uiPriority w:val="99"/>
    <w:rsid w:val="0041532C"/>
    <w:pPr>
      <w:spacing w:after="160" w:line="240" w:lineRule="exact"/>
      <w:jc w:val="both"/>
    </w:pPr>
    <w:rPr>
      <w:rFonts w:asciiTheme="minorHAnsi" w:eastAsiaTheme="minorEastAsia" w:hAnsiTheme="minorHAnsi" w:cstheme="minorBidi"/>
      <w:kern w:val="2"/>
      <w:sz w:val="22"/>
      <w:szCs w:val="22"/>
      <w:vertAlign w:val="superscript"/>
      <w:lang w:val="en-US" w:eastAsia="en-US"/>
      <w14:ligatures w14:val="standardContextual"/>
    </w:rPr>
  </w:style>
  <w:style w:type="paragraph" w:styleId="Encabezado">
    <w:name w:val="header"/>
    <w:basedOn w:val="Normal"/>
    <w:link w:val="EncabezadoCar"/>
    <w:uiPriority w:val="99"/>
    <w:unhideWhenUsed/>
    <w:rsid w:val="008612A0"/>
    <w:pPr>
      <w:tabs>
        <w:tab w:val="center" w:pos="4680"/>
        <w:tab w:val="right" w:pos="9360"/>
      </w:tabs>
    </w:pPr>
  </w:style>
  <w:style w:type="character" w:customStyle="1" w:styleId="EncabezadoCar">
    <w:name w:val="Encabezado Car"/>
    <w:basedOn w:val="Fuentedeprrafopredeter"/>
    <w:link w:val="Encabezado"/>
    <w:uiPriority w:val="99"/>
    <w:rsid w:val="008612A0"/>
    <w:rPr>
      <w:rFonts w:ascii="Times New Roman" w:eastAsia="Times New Roman" w:hAnsi="Times New Roman" w:cs="Times New Roman"/>
      <w:kern w:val="0"/>
      <w:sz w:val="24"/>
      <w:szCs w:val="24"/>
      <w:lang w:val="es-ES" w:eastAsia="es-ES"/>
      <w14:ligatures w14:val="none"/>
    </w:rPr>
  </w:style>
  <w:style w:type="paragraph" w:customStyle="1" w:styleId="pf0">
    <w:name w:val="pf0"/>
    <w:basedOn w:val="Normal"/>
    <w:rsid w:val="00351A87"/>
    <w:pPr>
      <w:spacing w:before="100" w:beforeAutospacing="1" w:after="100" w:afterAutospacing="1"/>
    </w:pPr>
  </w:style>
  <w:style w:type="character" w:customStyle="1" w:styleId="cf01">
    <w:name w:val="cf01"/>
    <w:basedOn w:val="Fuentedeprrafopredeter"/>
    <w:rsid w:val="00351A87"/>
    <w:rPr>
      <w:rFonts w:ascii="Segoe UI" w:hAnsi="Segoe UI" w:cs="Segoe UI" w:hint="default"/>
      <w:sz w:val="18"/>
      <w:szCs w:val="18"/>
    </w:rPr>
  </w:style>
  <w:style w:type="paragraph" w:styleId="Textoindependiente">
    <w:name w:val="Body Text"/>
    <w:basedOn w:val="Normal"/>
    <w:link w:val="TextoindependienteCar"/>
    <w:uiPriority w:val="1"/>
    <w:unhideWhenUsed/>
    <w:qFormat/>
    <w:rsid w:val="00831616"/>
    <w:pPr>
      <w:spacing w:after="120"/>
    </w:pPr>
  </w:style>
  <w:style w:type="character" w:customStyle="1" w:styleId="TextoindependienteCar">
    <w:name w:val="Texto independiente Car"/>
    <w:basedOn w:val="Fuentedeprrafopredeter"/>
    <w:link w:val="Textoindependiente"/>
    <w:uiPriority w:val="1"/>
    <w:rsid w:val="00831616"/>
    <w:rPr>
      <w:rFonts w:ascii="Times New Roman" w:eastAsia="Times New Roman" w:hAnsi="Times New Roman" w:cs="Times New Roman"/>
      <w:kern w:val="0"/>
      <w:sz w:val="24"/>
      <w:szCs w:val="24"/>
      <w:lang w:val="es-ES" w:eastAsia="es-ES"/>
      <w14:ligatures w14:val="none"/>
    </w:rPr>
  </w:style>
  <w:style w:type="paragraph" w:customStyle="1" w:styleId="ColorfulList-Accent11">
    <w:name w:val="Colorful List - Accent 11"/>
    <w:basedOn w:val="Normal"/>
    <w:qFormat/>
    <w:rsid w:val="00831616"/>
    <w:pPr>
      <w:ind w:left="720"/>
      <w:contextualSpacing/>
    </w:pPr>
    <w:rPr>
      <w:rFonts w:ascii="Calibri" w:eastAsia="MS Mincho" w:hAnsi="Calibri"/>
      <w:sz w:val="20"/>
      <w:lang w:val="en-US" w:eastAsia="ja-JP"/>
    </w:rPr>
  </w:style>
  <w:style w:type="paragraph" w:customStyle="1" w:styleId="TableParagraph">
    <w:name w:val="Table Paragraph"/>
    <w:basedOn w:val="Normal"/>
    <w:uiPriority w:val="1"/>
    <w:qFormat/>
    <w:rsid w:val="00831616"/>
    <w:pPr>
      <w:widowControl w:val="0"/>
      <w:autoSpaceDE w:val="0"/>
      <w:autoSpaceDN w:val="0"/>
    </w:pPr>
    <w:rPr>
      <w:rFonts w:ascii="Calibri" w:eastAsia="Calibri" w:hAnsi="Calibri" w:cs="Calibri"/>
      <w:sz w:val="22"/>
      <w:szCs w:val="22"/>
      <w:lang w:val="en-US" w:eastAsia="en-US"/>
    </w:rPr>
  </w:style>
  <w:style w:type="character" w:customStyle="1" w:styleId="rynqvb">
    <w:name w:val="rynqvb"/>
    <w:basedOn w:val="Fuentedeprrafopredeter"/>
    <w:rsid w:val="00831616"/>
  </w:style>
  <w:style w:type="character" w:customStyle="1" w:styleId="ztplmc">
    <w:name w:val="ztplmc"/>
    <w:basedOn w:val="Fuentedeprrafopredeter"/>
    <w:rsid w:val="00FC5ACA"/>
  </w:style>
  <w:style w:type="table" w:customStyle="1" w:styleId="Tablaconcuadrcula1clara-nfasis11">
    <w:name w:val="Tabla con cuadrícula 1 clara - Énfasis 11"/>
    <w:basedOn w:val="Tablanormal"/>
    <w:uiPriority w:val="46"/>
    <w:rsid w:val="00F1446C"/>
    <w:pPr>
      <w:spacing w:after="0" w:line="240" w:lineRule="auto"/>
    </w:pPr>
    <w:rPr>
      <w:rFonts w:ascii="Calibri" w:eastAsia="Calibri" w:hAnsi="Calibri" w:cs="Calibri"/>
      <w:kern w:val="0"/>
      <w:sz w:val="24"/>
      <w:szCs w:val="24"/>
      <w:lang w:eastAsia="es-EC"/>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TMLconformatoprevio">
    <w:name w:val="HTML Preformatted"/>
    <w:basedOn w:val="Normal"/>
    <w:link w:val="HTMLconformatoprevioCar"/>
    <w:uiPriority w:val="99"/>
    <w:unhideWhenUsed/>
    <w:rsid w:val="00F14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S_tradnl" w:eastAsia="es-ES_tradnl"/>
    </w:rPr>
  </w:style>
  <w:style w:type="character" w:customStyle="1" w:styleId="HTMLconformatoprevioCar">
    <w:name w:val="HTML con formato previo Car"/>
    <w:basedOn w:val="Fuentedeprrafopredeter"/>
    <w:link w:val="HTMLconformatoprevio"/>
    <w:uiPriority w:val="99"/>
    <w:rsid w:val="00F1446C"/>
    <w:rPr>
      <w:rFonts w:ascii="Courier New" w:eastAsia="Times New Roman" w:hAnsi="Courier New" w:cs="Courier New"/>
      <w:kern w:val="0"/>
      <w:sz w:val="20"/>
      <w:szCs w:val="20"/>
      <w:lang w:val="es-ES_tradnl" w:eastAsia="es-ES_tradnl"/>
      <w14:ligatures w14:val="none"/>
    </w:rPr>
  </w:style>
  <w:style w:type="character" w:customStyle="1" w:styleId="y2iqfc">
    <w:name w:val="y2iqfc"/>
    <w:basedOn w:val="Fuentedeprrafopredeter"/>
    <w:rsid w:val="00F1446C"/>
  </w:style>
  <w:style w:type="table" w:customStyle="1" w:styleId="Tablaconcuadrcula4-nfasis11">
    <w:name w:val="Tabla con cuadrícula 4 - Énfasis 11"/>
    <w:basedOn w:val="Tablanormal"/>
    <w:uiPriority w:val="49"/>
    <w:rsid w:val="00F1446C"/>
    <w:pPr>
      <w:spacing w:after="0" w:line="240" w:lineRule="auto"/>
    </w:pPr>
    <w:rPr>
      <w:rFonts w:ascii="Calibri" w:eastAsia="Calibri" w:hAnsi="Calibri" w:cs="Calibri"/>
      <w:lang w:eastAsia="es-EC"/>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next w:val="Tablaconcuadrcula"/>
    <w:uiPriority w:val="39"/>
    <w:rsid w:val="00F1446C"/>
    <w:pPr>
      <w:spacing w:after="0" w:line="276" w:lineRule="auto"/>
      <w:jc w:val="both"/>
    </w:pPr>
    <w:rPr>
      <w:rFonts w:ascii="Calibri" w:eastAsia="Calibri" w:hAnsi="Calibri" w:cs="Calibri"/>
      <w:lang w:eastAsia="es-EC"/>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99"/>
    <w:rsid w:val="00F1446C"/>
    <w:pPr>
      <w:spacing w:after="0" w:line="240" w:lineRule="auto"/>
    </w:pPr>
    <w:rPr>
      <w:rFonts w:ascii="Times New Roman" w:eastAsia="Times New Roman" w:hAnsi="Times New Roman" w:cs="Times New Roman"/>
      <w:kern w:val="0"/>
      <w:sz w:val="20"/>
      <w:szCs w:val="20"/>
      <w:lang w:eastAsia="es-EC"/>
      <w14:ligatures w14:val="none"/>
    </w:rPr>
    <w:tblPr>
      <w:tblCellMar>
        <w:left w:w="0" w:type="dxa"/>
        <w:right w:w="0" w:type="dxa"/>
      </w:tblCellMar>
    </w:tblPr>
  </w:style>
  <w:style w:type="table" w:customStyle="1" w:styleId="Tablaconcuadrcula2">
    <w:name w:val="Tabla con cuadrícula2"/>
    <w:basedOn w:val="Tablanormal"/>
    <w:next w:val="Tablaconcuadrcula"/>
    <w:uiPriority w:val="39"/>
    <w:rsid w:val="00F1446C"/>
    <w:pPr>
      <w:widowControl w:val="0"/>
      <w:spacing w:after="0" w:line="240" w:lineRule="auto"/>
    </w:pPr>
    <w:rPr>
      <w:rFonts w:ascii="Calibri" w:eastAsia="Calibri" w:hAnsi="Calibri" w:cs="Calibri"/>
      <w:kern w:val="0"/>
      <w:lang w:eastAsia="es-EC"/>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F1446C"/>
    <w:pPr>
      <w:spacing w:before="240" w:after="0" w:line="259" w:lineRule="auto"/>
      <w:outlineLvl w:val="9"/>
    </w:pPr>
    <w:rPr>
      <w:sz w:val="32"/>
      <w:szCs w:val="32"/>
      <w:lang w:val="es-ES_tradnl" w:eastAsia="es-EC"/>
    </w:rPr>
  </w:style>
  <w:style w:type="paragraph" w:customStyle="1" w:styleId="Prrafodelista1">
    <w:name w:val="Párrafo de lista1"/>
    <w:basedOn w:val="Normal"/>
    <w:rsid w:val="00F1446C"/>
    <w:pPr>
      <w:spacing w:before="100" w:beforeAutospacing="1" w:after="100" w:afterAutospacing="1"/>
      <w:contextualSpacing/>
    </w:pPr>
    <w:rPr>
      <w:rFonts w:ascii="Calibri" w:hAnsi="Calibri"/>
      <w:lang w:val="es-ES_tradnl" w:eastAsia="es-EC"/>
    </w:rPr>
  </w:style>
  <w:style w:type="character" w:customStyle="1" w:styleId="w7gcoc">
    <w:name w:val="w7gcoc"/>
    <w:basedOn w:val="Fuentedeprrafopredeter"/>
    <w:rsid w:val="00F1446C"/>
  </w:style>
  <w:style w:type="character" w:styleId="nfasis">
    <w:name w:val="Emphasis"/>
    <w:basedOn w:val="Fuentedeprrafopredeter"/>
    <w:uiPriority w:val="20"/>
    <w:qFormat/>
    <w:rsid w:val="0044003E"/>
    <w:rPr>
      <w:i/>
      <w:iCs/>
    </w:rPr>
  </w:style>
  <w:style w:type="character" w:customStyle="1" w:styleId="overflow-hidden">
    <w:name w:val="overflow-hidden"/>
    <w:basedOn w:val="Fuentedeprrafopredeter"/>
    <w:rsid w:val="0044003E"/>
  </w:style>
  <w:style w:type="character" w:customStyle="1" w:styleId="truncate">
    <w:name w:val="truncate"/>
    <w:basedOn w:val="Fuentedeprrafopredeter"/>
    <w:rsid w:val="0044003E"/>
  </w:style>
  <w:style w:type="table" w:styleId="Tablaconcuadrcula1clara-nfasis1">
    <w:name w:val="Grid Table 1 Light Accent 1"/>
    <w:basedOn w:val="Tablanormal"/>
    <w:uiPriority w:val="46"/>
    <w:rsid w:val="0044003E"/>
    <w:pPr>
      <w:spacing w:after="0" w:line="240" w:lineRule="auto"/>
    </w:pPr>
    <w:rPr>
      <w:rFonts w:eastAsiaTheme="minorHAnsi"/>
      <w:kern w:val="0"/>
      <w:sz w:val="24"/>
      <w:szCs w:val="24"/>
      <w:lang w:val="es-EC"/>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Nmerodepgina">
    <w:name w:val="page number"/>
    <w:basedOn w:val="Fuentedeprrafopredeter"/>
    <w:uiPriority w:val="99"/>
    <w:unhideWhenUsed/>
    <w:rsid w:val="0044003E"/>
  </w:style>
  <w:style w:type="paragraph" w:customStyle="1" w:styleId="Estilo5">
    <w:name w:val="Estilo 5"/>
    <w:basedOn w:val="NormalWeb"/>
    <w:link w:val="Estilo5Car"/>
    <w:qFormat/>
    <w:rsid w:val="0044003E"/>
    <w:pPr>
      <w:numPr>
        <w:numId w:val="59"/>
      </w:numPr>
      <w:spacing w:before="100" w:beforeAutospacing="1" w:after="100" w:afterAutospacing="1"/>
      <w:jc w:val="both"/>
    </w:pPr>
    <w:rPr>
      <w:b/>
      <w:bCs/>
      <w:lang w:val="es-EC"/>
    </w:rPr>
  </w:style>
  <w:style w:type="character" w:customStyle="1" w:styleId="NormalWebCar">
    <w:name w:val="Normal (Web) Car"/>
    <w:basedOn w:val="Fuentedeprrafopredeter"/>
    <w:link w:val="NormalWeb"/>
    <w:uiPriority w:val="99"/>
    <w:rsid w:val="0044003E"/>
    <w:rPr>
      <w:rFonts w:ascii="Times New Roman" w:eastAsia="Times New Roman" w:hAnsi="Times New Roman" w:cs="Times New Roman"/>
      <w:kern w:val="0"/>
      <w:sz w:val="24"/>
      <w:szCs w:val="24"/>
      <w:lang w:val="es-ES" w:eastAsia="es-ES"/>
      <w14:ligatures w14:val="none"/>
    </w:rPr>
  </w:style>
  <w:style w:type="character" w:customStyle="1" w:styleId="Estilo5Car">
    <w:name w:val="Estilo 5 Car"/>
    <w:basedOn w:val="NormalWebCar"/>
    <w:link w:val="Estilo5"/>
    <w:rsid w:val="0044003E"/>
    <w:rPr>
      <w:rFonts w:ascii="Times New Roman" w:eastAsia="Times New Roman" w:hAnsi="Times New Roman" w:cs="Times New Roman"/>
      <w:b/>
      <w:bCs/>
      <w:kern w:val="0"/>
      <w:sz w:val="24"/>
      <w:szCs w:val="24"/>
      <w:lang w:val="es-EC" w:eastAsia="es-ES"/>
      <w14:ligatures w14:val="none"/>
    </w:rPr>
  </w:style>
  <w:style w:type="table" w:customStyle="1" w:styleId="TableNormal2">
    <w:name w:val="Table Normal2"/>
    <w:rsid w:val="00226BDA"/>
    <w:pPr>
      <w:spacing w:after="0" w:line="240" w:lineRule="auto"/>
    </w:pPr>
    <w:rPr>
      <w:rFonts w:ascii="Calibri" w:eastAsia="Calibri" w:hAnsi="Calibri" w:cs="Calibri"/>
      <w:kern w:val="0"/>
      <w:sz w:val="24"/>
      <w:szCs w:val="24"/>
      <w:lang w:eastAsia="es-EC"/>
      <w14:ligatures w14:val="none"/>
    </w:rPr>
    <w:tblPr>
      <w:tblCellMar>
        <w:top w:w="0" w:type="dxa"/>
        <w:left w:w="0" w:type="dxa"/>
        <w:bottom w:w="0" w:type="dxa"/>
        <w:right w:w="0" w:type="dxa"/>
      </w:tblCellMar>
    </w:tblPr>
  </w:style>
  <w:style w:type="character" w:customStyle="1" w:styleId="hwtze">
    <w:name w:val="hwtze"/>
    <w:basedOn w:val="Fuentedeprrafopredeter"/>
    <w:rsid w:val="00FC5ACA"/>
  </w:style>
  <w:style w:type="character" w:customStyle="1" w:styleId="qgyq3b">
    <w:name w:val="qgyq3b"/>
    <w:basedOn w:val="Fuentedeprrafopredeter"/>
    <w:rsid w:val="00FC5ACA"/>
  </w:style>
  <w:style w:type="paragraph" w:customStyle="1" w:styleId="xmsonormal">
    <w:name w:val="xmsonormal"/>
    <w:basedOn w:val="Normal"/>
    <w:rsid w:val="00FC5ACA"/>
    <w:pPr>
      <w:spacing w:before="100" w:beforeAutospacing="1" w:after="100" w:afterAutospacing="1"/>
    </w:pPr>
    <w:rPr>
      <w:rFonts w:ascii="Calibri" w:eastAsiaTheme="minorHAnsi" w:hAnsi="Calibri" w:cs="Calibri"/>
      <w:sz w:val="22"/>
      <w:szCs w:val="22"/>
      <w:lang w:val="en-US" w:eastAsia="en-US"/>
    </w:rPr>
  </w:style>
  <w:style w:type="paragraph" w:customStyle="1" w:styleId="CharCharChar1">
    <w:name w:val="Char Char Char1"/>
    <w:basedOn w:val="Normal"/>
    <w:uiPriority w:val="99"/>
    <w:rsid w:val="00FC5ACA"/>
    <w:pPr>
      <w:spacing w:after="160" w:line="240" w:lineRule="exact"/>
    </w:pPr>
    <w:rPr>
      <w:rFonts w:ascii="Calibri" w:eastAsia="SimSun" w:hAnsi="Calibri" w:cs="Arial"/>
      <w:sz w:val="20"/>
      <w:szCs w:val="20"/>
      <w:lang w:val="en-US" w:eastAsia="en-US"/>
    </w:rPr>
  </w:style>
  <w:style w:type="numbering" w:customStyle="1" w:styleId="Sinlista1">
    <w:name w:val="Sin lista1"/>
    <w:next w:val="Sinlista"/>
    <w:uiPriority w:val="99"/>
    <w:semiHidden/>
    <w:unhideWhenUsed/>
    <w:rsid w:val="00C512FA"/>
  </w:style>
  <w:style w:type="paragraph" w:customStyle="1" w:styleId="Outline">
    <w:name w:val="Outline"/>
    <w:basedOn w:val="Normal"/>
    <w:rsid w:val="00C512FA"/>
    <w:pPr>
      <w:spacing w:before="240"/>
      <w:ind w:left="187"/>
    </w:pPr>
    <w:rPr>
      <w:rFonts w:ascii="Arial" w:hAnsi="Arial"/>
      <w:kern w:val="28"/>
      <w:sz w:val="22"/>
      <w:szCs w:val="20"/>
      <w:lang w:val="es-ES_tradnl" w:eastAsia="en-US"/>
    </w:rPr>
  </w:style>
  <w:style w:type="paragraph" w:styleId="Sangra2detindependiente">
    <w:name w:val="Body Text Indent 2"/>
    <w:basedOn w:val="Normal"/>
    <w:link w:val="Sangra2detindependienteCar"/>
    <w:rsid w:val="00C512FA"/>
    <w:pPr>
      <w:ind w:left="360"/>
    </w:pPr>
    <w:rPr>
      <w:rFonts w:ascii="Arial" w:hAnsi="Arial"/>
      <w:i/>
      <w:iCs/>
      <w:sz w:val="22"/>
      <w:lang w:val="es-ES_tradnl" w:eastAsia="en-US"/>
    </w:rPr>
  </w:style>
  <w:style w:type="character" w:customStyle="1" w:styleId="Sangra2detindependienteCar">
    <w:name w:val="Sangría 2 de t. independiente Car"/>
    <w:basedOn w:val="Fuentedeprrafopredeter"/>
    <w:link w:val="Sangra2detindependiente"/>
    <w:rsid w:val="00C512FA"/>
    <w:rPr>
      <w:rFonts w:ascii="Arial" w:eastAsia="Times New Roman" w:hAnsi="Arial" w:cs="Times New Roman"/>
      <w:i/>
      <w:iCs/>
      <w:kern w:val="0"/>
      <w:szCs w:val="24"/>
      <w:lang w:val="es-ES_tradnl"/>
      <w14:ligatures w14:val="none"/>
    </w:rPr>
  </w:style>
  <w:style w:type="paragraph" w:styleId="Sangradetextonormal">
    <w:name w:val="Body Text Indent"/>
    <w:basedOn w:val="Normal"/>
    <w:link w:val="SangradetextonormalCar"/>
    <w:rsid w:val="00C512FA"/>
    <w:pPr>
      <w:spacing w:after="80"/>
      <w:ind w:left="1080"/>
      <w:jc w:val="both"/>
    </w:pPr>
    <w:rPr>
      <w:rFonts w:ascii="Arial" w:hAnsi="Arial"/>
      <w:sz w:val="22"/>
      <w:lang w:val="es-ES_tradnl" w:eastAsia="en-US"/>
    </w:rPr>
  </w:style>
  <w:style w:type="character" w:customStyle="1" w:styleId="SangradetextonormalCar">
    <w:name w:val="Sangría de texto normal Car"/>
    <w:basedOn w:val="Fuentedeprrafopredeter"/>
    <w:link w:val="Sangradetextonormal"/>
    <w:rsid w:val="00C512FA"/>
    <w:rPr>
      <w:rFonts w:ascii="Arial" w:eastAsia="Times New Roman" w:hAnsi="Arial" w:cs="Times New Roman"/>
      <w:kern w:val="0"/>
      <w:szCs w:val="24"/>
      <w:lang w:val="es-ES_tradnl"/>
      <w14:ligatures w14:val="none"/>
    </w:rPr>
  </w:style>
  <w:style w:type="paragraph" w:styleId="Sangra3detindependiente">
    <w:name w:val="Body Text Indent 3"/>
    <w:basedOn w:val="Normal"/>
    <w:link w:val="Sangra3detindependienteCar"/>
    <w:rsid w:val="00C512FA"/>
    <w:pPr>
      <w:ind w:left="540"/>
    </w:pPr>
    <w:rPr>
      <w:rFonts w:ascii="Arial" w:hAnsi="Arial"/>
      <w:sz w:val="22"/>
      <w:lang w:val="es-ES_tradnl" w:eastAsia="en-US"/>
    </w:rPr>
  </w:style>
  <w:style w:type="character" w:customStyle="1" w:styleId="Sangra3detindependienteCar">
    <w:name w:val="Sangría 3 de t. independiente Car"/>
    <w:basedOn w:val="Fuentedeprrafopredeter"/>
    <w:link w:val="Sangra3detindependiente"/>
    <w:rsid w:val="00C512FA"/>
    <w:rPr>
      <w:rFonts w:ascii="Arial" w:eastAsia="Times New Roman" w:hAnsi="Arial" w:cs="Times New Roman"/>
      <w:kern w:val="0"/>
      <w:szCs w:val="24"/>
      <w:lang w:val="es-ES_tradnl"/>
      <w14:ligatures w14:val="none"/>
    </w:rPr>
  </w:style>
  <w:style w:type="table" w:customStyle="1" w:styleId="Tablaconcuadrcula3">
    <w:name w:val="Tabla con cuadrícula3"/>
    <w:basedOn w:val="Tablanormal"/>
    <w:next w:val="Tablaconcuadrcula"/>
    <w:uiPriority w:val="39"/>
    <w:rsid w:val="00C512F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rsid w:val="00C512FA"/>
    <w:pPr>
      <w:numPr>
        <w:numId w:val="86"/>
      </w:numPr>
    </w:pPr>
    <w:rPr>
      <w:rFonts w:ascii="Arial" w:hAnsi="Arial"/>
      <w:color w:val="000000"/>
      <w:sz w:val="22"/>
      <w:szCs w:val="20"/>
      <w:lang w:val="es-ES_tradnl" w:eastAsia="en-US"/>
    </w:rPr>
  </w:style>
  <w:style w:type="paragraph" w:customStyle="1" w:styleId="GEFTableHeading">
    <w:name w:val="GEF Table Heading"/>
    <w:basedOn w:val="Normal"/>
    <w:next w:val="Normal"/>
    <w:qFormat/>
    <w:rsid w:val="00C512FA"/>
    <w:pPr>
      <w:ind w:left="-720"/>
    </w:pPr>
    <w:rPr>
      <w:rFonts w:ascii="Arial" w:hAnsi="Arial"/>
      <w:b/>
      <w:bCs/>
      <w:smallCaps/>
      <w:color w:val="000000"/>
      <w:sz w:val="22"/>
      <w:szCs w:val="22"/>
      <w:lang w:val="es-ES_tradnl" w:eastAsia="en-US"/>
    </w:rPr>
  </w:style>
  <w:style w:type="paragraph" w:customStyle="1" w:styleId="Table">
    <w:name w:val="Table"/>
    <w:basedOn w:val="Normal"/>
    <w:link w:val="TableChar"/>
    <w:qFormat/>
    <w:rsid w:val="00C512FA"/>
    <w:pPr>
      <w:ind w:left="187"/>
    </w:pPr>
    <w:rPr>
      <w:rFonts w:ascii="Arial" w:hAnsi="Arial"/>
      <w:color w:val="000000"/>
      <w:sz w:val="20"/>
      <w:szCs w:val="20"/>
      <w:lang w:val="es-ES_tradnl" w:eastAsia="en-US"/>
    </w:rPr>
  </w:style>
  <w:style w:type="character" w:customStyle="1" w:styleId="TableChar">
    <w:name w:val="Table Char"/>
    <w:link w:val="Table"/>
    <w:rsid w:val="00C512FA"/>
    <w:rPr>
      <w:rFonts w:ascii="Arial" w:eastAsia="Times New Roman" w:hAnsi="Arial" w:cs="Times New Roman"/>
      <w:color w:val="000000"/>
      <w:kern w:val="0"/>
      <w:sz w:val="20"/>
      <w:szCs w:val="20"/>
      <w:lang w:val="es-ES_tradnl"/>
      <w14:ligatures w14:val="none"/>
    </w:rPr>
  </w:style>
  <w:style w:type="paragraph" w:customStyle="1" w:styleId="GEFFieldtoFillout">
    <w:name w:val="GEF Field to Fill out"/>
    <w:basedOn w:val="Normal"/>
    <w:link w:val="GEFFieldtoFilloutChar"/>
    <w:qFormat/>
    <w:rsid w:val="00C512FA"/>
    <w:pPr>
      <w:ind w:left="-720"/>
    </w:pPr>
    <w:rPr>
      <w:color w:val="000000"/>
      <w:sz w:val="22"/>
      <w:szCs w:val="22"/>
      <w:lang w:val="es-ES_tradnl" w:eastAsia="en-US"/>
    </w:rPr>
  </w:style>
  <w:style w:type="paragraph" w:customStyle="1" w:styleId="GEFQuestion">
    <w:name w:val="GEF Question"/>
    <w:basedOn w:val="Normal"/>
    <w:next w:val="Normal"/>
    <w:qFormat/>
    <w:rsid w:val="00C512FA"/>
    <w:pPr>
      <w:ind w:left="-720"/>
    </w:pPr>
    <w:rPr>
      <w:sz w:val="22"/>
      <w:lang w:val="es-ES_tradnl" w:eastAsia="en-US"/>
    </w:rPr>
  </w:style>
  <w:style w:type="character" w:customStyle="1" w:styleId="GEFFieldtoFilloutChar">
    <w:name w:val="GEF Field to Fill out Char"/>
    <w:link w:val="GEFFieldtoFillout"/>
    <w:rsid w:val="00C512FA"/>
    <w:rPr>
      <w:rFonts w:ascii="Times New Roman" w:eastAsia="Times New Roman" w:hAnsi="Times New Roman" w:cs="Times New Roman"/>
      <w:color w:val="000000"/>
      <w:kern w:val="0"/>
      <w:lang w:val="es-ES_tradnl"/>
      <w14:ligatures w14:val="none"/>
    </w:rPr>
  </w:style>
  <w:style w:type="paragraph" w:customStyle="1" w:styleId="GEFInstruction">
    <w:name w:val="GEF Instruction"/>
    <w:basedOn w:val="Normal"/>
    <w:next w:val="Normal"/>
    <w:qFormat/>
    <w:rsid w:val="00C512FA"/>
    <w:pPr>
      <w:ind w:left="-540"/>
    </w:pPr>
    <w:rPr>
      <w:sz w:val="20"/>
      <w:lang w:val="es-ES_tradnl" w:eastAsia="en-US"/>
    </w:rPr>
  </w:style>
  <w:style w:type="paragraph" w:customStyle="1" w:styleId="Default">
    <w:name w:val="Default"/>
    <w:rsid w:val="00C512FA"/>
    <w:pPr>
      <w:autoSpaceDE w:val="0"/>
      <w:autoSpaceDN w:val="0"/>
      <w:adjustRightInd w:val="0"/>
      <w:spacing w:after="0" w:line="240" w:lineRule="auto"/>
    </w:pPr>
    <w:rPr>
      <w:rFonts w:ascii="Calibri" w:eastAsiaTheme="minorHAnsi" w:hAnsi="Calibri" w:cs="Calibri"/>
      <w:color w:val="000000"/>
      <w:kern w:val="0"/>
      <w:sz w:val="24"/>
      <w:szCs w:val="24"/>
      <w14:ligatures w14:val="none"/>
    </w:rPr>
  </w:style>
  <w:style w:type="paragraph" w:customStyle="1" w:styleId="Subheading">
    <w:name w:val="Subheading"/>
    <w:basedOn w:val="Descripcin"/>
    <w:link w:val="SubheadingChar"/>
    <w:qFormat/>
    <w:rsid w:val="00C512FA"/>
    <w:pPr>
      <w:spacing w:after="0"/>
      <w:ind w:left="187"/>
    </w:pPr>
    <w:rPr>
      <w:rFonts w:ascii="Times New Roman Bold" w:hAnsi="Times New Roman Bold"/>
      <w:b/>
      <w:bCs/>
      <w:i w:val="0"/>
      <w:iCs w:val="0"/>
      <w:caps/>
      <w:szCs w:val="24"/>
      <w:lang w:val="es-ES_tradnl" w:eastAsia="en-US"/>
    </w:rPr>
  </w:style>
  <w:style w:type="character" w:customStyle="1" w:styleId="SubheadingChar">
    <w:name w:val="Subheading Char"/>
    <w:basedOn w:val="DescripcinCar"/>
    <w:link w:val="Subheading"/>
    <w:rsid w:val="00C512FA"/>
    <w:rPr>
      <w:rFonts w:ascii="Times New Roman Bold" w:eastAsia="Times New Roman" w:hAnsi="Times New Roman Bold" w:cs="Times New Roman"/>
      <w:b/>
      <w:bCs/>
      <w:i w:val="0"/>
      <w:iCs w:val="0"/>
      <w:caps/>
      <w:color w:val="44546A" w:themeColor="text2"/>
      <w:kern w:val="0"/>
      <w:sz w:val="18"/>
      <w:szCs w:val="24"/>
      <w:lang w:val="es-ES_tradnl"/>
      <w14:ligatures w14:val="none"/>
    </w:rPr>
  </w:style>
  <w:style w:type="paragraph" w:customStyle="1" w:styleId="paragraph">
    <w:name w:val="paragraph"/>
    <w:basedOn w:val="Normal"/>
    <w:rsid w:val="00C512FA"/>
    <w:pPr>
      <w:spacing w:before="100" w:beforeAutospacing="1" w:after="100" w:afterAutospacing="1"/>
    </w:pPr>
    <w:rPr>
      <w:lang w:val="es-ES_tradnl" w:eastAsia="en-US"/>
    </w:rPr>
  </w:style>
  <w:style w:type="character" w:customStyle="1" w:styleId="normaltextrun">
    <w:name w:val="normaltextrun"/>
    <w:basedOn w:val="Fuentedeprrafopredeter"/>
    <w:rsid w:val="00C512FA"/>
  </w:style>
  <w:style w:type="character" w:customStyle="1" w:styleId="eop">
    <w:name w:val="eop"/>
    <w:basedOn w:val="Fuentedeprrafopredeter"/>
    <w:rsid w:val="00C512FA"/>
  </w:style>
  <w:style w:type="character" w:styleId="Textodelmarcadordeposicin">
    <w:name w:val="Placeholder Text"/>
    <w:basedOn w:val="Fuentedeprrafopredeter"/>
    <w:uiPriority w:val="99"/>
    <w:semiHidden/>
    <w:rsid w:val="00C512FA"/>
    <w:rPr>
      <w:color w:val="808080"/>
    </w:rPr>
  </w:style>
  <w:style w:type="paragraph" w:customStyle="1" w:styleId="SESPbodynumbered">
    <w:name w:val="SESP body numbered"/>
    <w:basedOn w:val="Normal"/>
    <w:qFormat/>
    <w:rsid w:val="00C512FA"/>
    <w:pPr>
      <w:numPr>
        <w:numId w:val="87"/>
      </w:numPr>
      <w:tabs>
        <w:tab w:val="left" w:pos="360"/>
      </w:tabs>
      <w:spacing w:before="120" w:after="120" w:line="264" w:lineRule="auto"/>
    </w:pPr>
    <w:rPr>
      <w:rFonts w:ascii="Calibri" w:eastAsia="MS Mincho" w:hAnsi="Calibri"/>
      <w:sz w:val="20"/>
      <w:szCs w:val="20"/>
      <w:lang w:val="en-US" w:eastAsia="ja-JP"/>
    </w:rPr>
  </w:style>
  <w:style w:type="paragraph" w:styleId="Textonotaalfinal">
    <w:name w:val="endnote text"/>
    <w:basedOn w:val="Normal"/>
    <w:link w:val="TextonotaalfinalCar"/>
    <w:uiPriority w:val="99"/>
    <w:semiHidden/>
    <w:unhideWhenUsed/>
    <w:rsid w:val="00C512FA"/>
    <w:rPr>
      <w:rFonts w:asciiTheme="minorHAnsi" w:eastAsiaTheme="minorHAnsi" w:hAnsiTheme="minorHAnsi" w:cstheme="minorBidi"/>
      <w:sz w:val="20"/>
      <w:szCs w:val="20"/>
      <w:lang w:val="es-EC" w:eastAsia="en-US"/>
    </w:rPr>
  </w:style>
  <w:style w:type="character" w:customStyle="1" w:styleId="TextonotaalfinalCar">
    <w:name w:val="Texto nota al final Car"/>
    <w:basedOn w:val="Fuentedeprrafopredeter"/>
    <w:link w:val="Textonotaalfinal"/>
    <w:uiPriority w:val="99"/>
    <w:semiHidden/>
    <w:rsid w:val="00C512FA"/>
    <w:rPr>
      <w:rFonts w:eastAsiaTheme="minorHAnsi"/>
      <w:kern w:val="0"/>
      <w:sz w:val="20"/>
      <w:szCs w:val="20"/>
      <w:lang w:val="es-EC"/>
      <w14:ligatures w14:val="none"/>
    </w:rPr>
  </w:style>
  <w:style w:type="character" w:styleId="Refdenotaalfinal">
    <w:name w:val="endnote reference"/>
    <w:basedOn w:val="Fuentedeprrafopredeter"/>
    <w:uiPriority w:val="99"/>
    <w:semiHidden/>
    <w:unhideWhenUsed/>
    <w:rsid w:val="00C512FA"/>
    <w:rPr>
      <w:vertAlign w:val="superscript"/>
    </w:rPr>
  </w:style>
  <w:style w:type="numbering" w:customStyle="1" w:styleId="Sinlista11">
    <w:name w:val="Sin lista11"/>
    <w:next w:val="Sinlista"/>
    <w:uiPriority w:val="99"/>
    <w:semiHidden/>
    <w:unhideWhenUsed/>
    <w:rsid w:val="00C512FA"/>
  </w:style>
  <w:style w:type="paragraph" w:customStyle="1" w:styleId="Ttulo10">
    <w:name w:val="Título1"/>
    <w:basedOn w:val="Normal"/>
    <w:next w:val="Normal"/>
    <w:uiPriority w:val="10"/>
    <w:qFormat/>
    <w:rsid w:val="00C512FA"/>
    <w:pPr>
      <w:spacing w:after="80"/>
      <w:contextualSpacing/>
    </w:pPr>
    <w:rPr>
      <w:rFonts w:ascii="Aptos Display" w:hAnsi="Aptos Display"/>
      <w:spacing w:val="-10"/>
      <w:kern w:val="28"/>
      <w:sz w:val="56"/>
      <w:szCs w:val="56"/>
      <w:lang w:val="en-US" w:eastAsia="en-US"/>
      <w14:ligatures w14:val="standardContextual"/>
    </w:rPr>
  </w:style>
  <w:style w:type="paragraph" w:customStyle="1" w:styleId="Subttulo1">
    <w:name w:val="Subtítulo1"/>
    <w:basedOn w:val="Normal"/>
    <w:next w:val="Normal"/>
    <w:uiPriority w:val="11"/>
    <w:qFormat/>
    <w:rsid w:val="00C512FA"/>
    <w:pPr>
      <w:numPr>
        <w:ilvl w:val="1"/>
      </w:numPr>
      <w:spacing w:after="160" w:line="278" w:lineRule="auto"/>
    </w:pPr>
    <w:rPr>
      <w:rFonts w:ascii="Aptos" w:hAnsi="Aptos"/>
      <w:color w:val="595959"/>
      <w:spacing w:val="15"/>
      <w:kern w:val="2"/>
      <w:sz w:val="28"/>
      <w:szCs w:val="28"/>
      <w:lang w:val="en-US" w:eastAsia="en-US"/>
      <w14:ligatures w14:val="standardContextual"/>
    </w:rPr>
  </w:style>
  <w:style w:type="paragraph" w:customStyle="1" w:styleId="Cita1">
    <w:name w:val="Cita1"/>
    <w:basedOn w:val="Normal"/>
    <w:next w:val="Normal"/>
    <w:uiPriority w:val="29"/>
    <w:qFormat/>
    <w:rsid w:val="00C512FA"/>
    <w:pPr>
      <w:spacing w:before="160" w:after="160" w:line="278" w:lineRule="auto"/>
      <w:jc w:val="center"/>
    </w:pPr>
    <w:rPr>
      <w:rFonts w:ascii="Aptos" w:eastAsia="Aptos" w:hAnsi="Aptos"/>
      <w:i/>
      <w:iCs/>
      <w:color w:val="404040"/>
      <w:kern w:val="2"/>
      <w:lang w:val="en-US" w:eastAsia="en-US"/>
      <w14:ligatures w14:val="standardContextual"/>
    </w:rPr>
  </w:style>
  <w:style w:type="character" w:customStyle="1" w:styleId="nfasisintenso1">
    <w:name w:val="Énfasis intenso1"/>
    <w:basedOn w:val="Fuentedeprrafopredeter"/>
    <w:uiPriority w:val="21"/>
    <w:qFormat/>
    <w:rsid w:val="00C512FA"/>
    <w:rPr>
      <w:i/>
      <w:iCs/>
      <w:color w:val="0F4761"/>
    </w:rPr>
  </w:style>
  <w:style w:type="paragraph" w:customStyle="1" w:styleId="Citadestacada1">
    <w:name w:val="Cita destacada1"/>
    <w:basedOn w:val="Normal"/>
    <w:next w:val="Normal"/>
    <w:uiPriority w:val="30"/>
    <w:qFormat/>
    <w:rsid w:val="00C512FA"/>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lang w:val="en-US" w:eastAsia="en-US"/>
      <w14:ligatures w14:val="standardContextual"/>
    </w:rPr>
  </w:style>
  <w:style w:type="character" w:customStyle="1" w:styleId="Referenciaintensa1">
    <w:name w:val="Referencia intensa1"/>
    <w:basedOn w:val="Fuentedeprrafopredeter"/>
    <w:uiPriority w:val="32"/>
    <w:qFormat/>
    <w:rsid w:val="00C512FA"/>
    <w:rPr>
      <w:b/>
      <w:bCs/>
      <w:smallCaps/>
      <w:color w:val="0F4761"/>
      <w:spacing w:val="5"/>
    </w:rPr>
  </w:style>
  <w:style w:type="paragraph" w:customStyle="1" w:styleId="xl87">
    <w:name w:val="xl87"/>
    <w:basedOn w:val="Normal"/>
    <w:rsid w:val="00C512FA"/>
    <w:pPr>
      <w:pBdr>
        <w:left w:val="single" w:sz="8" w:space="0" w:color="auto"/>
        <w:right w:val="single" w:sz="8" w:space="0" w:color="auto"/>
      </w:pBdr>
      <w:spacing w:before="100" w:beforeAutospacing="1" w:after="100" w:afterAutospacing="1"/>
      <w:textAlignment w:val="center"/>
    </w:pPr>
    <w:rPr>
      <w:sz w:val="16"/>
      <w:szCs w:val="16"/>
      <w:lang w:val="en-US" w:eastAsia="en-US"/>
    </w:rPr>
  </w:style>
  <w:style w:type="paragraph" w:customStyle="1" w:styleId="xl88">
    <w:name w:val="xl88"/>
    <w:basedOn w:val="Normal"/>
    <w:rsid w:val="00C512FA"/>
    <w:pPr>
      <w:pBdr>
        <w:left w:val="single" w:sz="8" w:space="0" w:color="auto"/>
        <w:bottom w:val="single" w:sz="4" w:space="0" w:color="auto"/>
        <w:right w:val="single" w:sz="8" w:space="0" w:color="auto"/>
      </w:pBdr>
      <w:spacing w:before="100" w:beforeAutospacing="1" w:after="100" w:afterAutospacing="1"/>
      <w:textAlignment w:val="center"/>
    </w:pPr>
    <w:rPr>
      <w:sz w:val="16"/>
      <w:szCs w:val="16"/>
      <w:lang w:val="en-US" w:eastAsia="en-US"/>
    </w:rPr>
  </w:style>
  <w:style w:type="paragraph" w:customStyle="1" w:styleId="xl89">
    <w:name w:val="xl89"/>
    <w:basedOn w:val="Normal"/>
    <w:rsid w:val="00C512FA"/>
    <w:pPr>
      <w:pBdr>
        <w:left w:val="single" w:sz="8" w:space="0" w:color="auto"/>
        <w:bottom w:val="single" w:sz="8" w:space="0" w:color="auto"/>
        <w:right w:val="single" w:sz="8" w:space="0" w:color="auto"/>
      </w:pBdr>
      <w:spacing w:before="100" w:beforeAutospacing="1" w:after="100" w:afterAutospacing="1"/>
      <w:textAlignment w:val="center"/>
    </w:pPr>
    <w:rPr>
      <w:sz w:val="16"/>
      <w:szCs w:val="16"/>
      <w:lang w:val="en-US" w:eastAsia="en-US"/>
    </w:rPr>
  </w:style>
  <w:style w:type="character" w:customStyle="1" w:styleId="TtuloCar1">
    <w:name w:val="Título Car1"/>
    <w:basedOn w:val="Fuentedeprrafopredeter"/>
    <w:uiPriority w:val="10"/>
    <w:rsid w:val="00C512FA"/>
    <w:rPr>
      <w:rFonts w:asciiTheme="majorHAnsi" w:eastAsiaTheme="majorEastAsia" w:hAnsiTheme="majorHAnsi" w:cstheme="majorBidi"/>
      <w:spacing w:val="-10"/>
      <w:kern w:val="28"/>
      <w:sz w:val="56"/>
      <w:szCs w:val="56"/>
      <w:lang w:val="es-ES_tradnl"/>
    </w:rPr>
  </w:style>
  <w:style w:type="character" w:customStyle="1" w:styleId="SubttuloCar1">
    <w:name w:val="Subtítulo Car1"/>
    <w:basedOn w:val="Fuentedeprrafopredeter"/>
    <w:uiPriority w:val="11"/>
    <w:rsid w:val="00C512FA"/>
    <w:rPr>
      <w:rFonts w:eastAsiaTheme="minorEastAsia"/>
      <w:color w:val="5A5A5A" w:themeColor="text1" w:themeTint="A5"/>
      <w:spacing w:val="15"/>
      <w:lang w:val="es-ES_tradnl"/>
    </w:rPr>
  </w:style>
  <w:style w:type="character" w:customStyle="1" w:styleId="CitaCar1">
    <w:name w:val="Cita Car1"/>
    <w:basedOn w:val="Fuentedeprrafopredeter"/>
    <w:uiPriority w:val="29"/>
    <w:rsid w:val="00C512FA"/>
    <w:rPr>
      <w:rFonts w:ascii="Arial" w:eastAsia="Times New Roman" w:hAnsi="Arial" w:cs="Times New Roman"/>
      <w:i/>
      <w:iCs/>
      <w:color w:val="404040" w:themeColor="text1" w:themeTint="BF"/>
      <w:szCs w:val="24"/>
      <w:lang w:val="es-ES_tradnl"/>
    </w:rPr>
  </w:style>
  <w:style w:type="character" w:customStyle="1" w:styleId="CitadestacadaCar1">
    <w:name w:val="Cita destacada Car1"/>
    <w:basedOn w:val="Fuentedeprrafopredeter"/>
    <w:uiPriority w:val="30"/>
    <w:rsid w:val="00C512FA"/>
    <w:rPr>
      <w:rFonts w:ascii="Arial" w:eastAsia="Times New Roman" w:hAnsi="Arial" w:cs="Times New Roman"/>
      <w:i/>
      <w:iCs/>
      <w:color w:val="4472C4" w:themeColor="accent1"/>
      <w:szCs w:val="24"/>
      <w:lang w:val="es-ES_tradnl"/>
    </w:rPr>
  </w:style>
  <w:style w:type="paragraph" w:customStyle="1" w:styleId="ds-markdown-paragraph">
    <w:name w:val="ds-markdown-paragraph"/>
    <w:basedOn w:val="Normal"/>
    <w:rsid w:val="00E93691"/>
    <w:pPr>
      <w:spacing w:before="100" w:beforeAutospacing="1" w:after="100" w:afterAutospacing="1"/>
    </w:pPr>
    <w:rPr>
      <w:lang w:val="es-EC"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611">
      <w:bodyDiv w:val="1"/>
      <w:marLeft w:val="0"/>
      <w:marRight w:val="0"/>
      <w:marTop w:val="0"/>
      <w:marBottom w:val="0"/>
      <w:divBdr>
        <w:top w:val="none" w:sz="0" w:space="0" w:color="auto"/>
        <w:left w:val="none" w:sz="0" w:space="0" w:color="auto"/>
        <w:bottom w:val="none" w:sz="0" w:space="0" w:color="auto"/>
        <w:right w:val="none" w:sz="0" w:space="0" w:color="auto"/>
      </w:divBdr>
    </w:div>
    <w:div w:id="4021291">
      <w:bodyDiv w:val="1"/>
      <w:marLeft w:val="0"/>
      <w:marRight w:val="0"/>
      <w:marTop w:val="0"/>
      <w:marBottom w:val="0"/>
      <w:divBdr>
        <w:top w:val="none" w:sz="0" w:space="0" w:color="auto"/>
        <w:left w:val="none" w:sz="0" w:space="0" w:color="auto"/>
        <w:bottom w:val="none" w:sz="0" w:space="0" w:color="auto"/>
        <w:right w:val="none" w:sz="0" w:space="0" w:color="auto"/>
      </w:divBdr>
    </w:div>
    <w:div w:id="4211383">
      <w:bodyDiv w:val="1"/>
      <w:marLeft w:val="0"/>
      <w:marRight w:val="0"/>
      <w:marTop w:val="0"/>
      <w:marBottom w:val="0"/>
      <w:divBdr>
        <w:top w:val="none" w:sz="0" w:space="0" w:color="auto"/>
        <w:left w:val="none" w:sz="0" w:space="0" w:color="auto"/>
        <w:bottom w:val="none" w:sz="0" w:space="0" w:color="auto"/>
        <w:right w:val="none" w:sz="0" w:space="0" w:color="auto"/>
      </w:divBdr>
    </w:div>
    <w:div w:id="5138203">
      <w:bodyDiv w:val="1"/>
      <w:marLeft w:val="0"/>
      <w:marRight w:val="0"/>
      <w:marTop w:val="0"/>
      <w:marBottom w:val="0"/>
      <w:divBdr>
        <w:top w:val="none" w:sz="0" w:space="0" w:color="auto"/>
        <w:left w:val="none" w:sz="0" w:space="0" w:color="auto"/>
        <w:bottom w:val="none" w:sz="0" w:space="0" w:color="auto"/>
        <w:right w:val="none" w:sz="0" w:space="0" w:color="auto"/>
      </w:divBdr>
    </w:div>
    <w:div w:id="7173453">
      <w:bodyDiv w:val="1"/>
      <w:marLeft w:val="0"/>
      <w:marRight w:val="0"/>
      <w:marTop w:val="0"/>
      <w:marBottom w:val="0"/>
      <w:divBdr>
        <w:top w:val="none" w:sz="0" w:space="0" w:color="auto"/>
        <w:left w:val="none" w:sz="0" w:space="0" w:color="auto"/>
        <w:bottom w:val="none" w:sz="0" w:space="0" w:color="auto"/>
        <w:right w:val="none" w:sz="0" w:space="0" w:color="auto"/>
      </w:divBdr>
    </w:div>
    <w:div w:id="8484818">
      <w:bodyDiv w:val="1"/>
      <w:marLeft w:val="0"/>
      <w:marRight w:val="0"/>
      <w:marTop w:val="0"/>
      <w:marBottom w:val="0"/>
      <w:divBdr>
        <w:top w:val="none" w:sz="0" w:space="0" w:color="auto"/>
        <w:left w:val="none" w:sz="0" w:space="0" w:color="auto"/>
        <w:bottom w:val="none" w:sz="0" w:space="0" w:color="auto"/>
        <w:right w:val="none" w:sz="0" w:space="0" w:color="auto"/>
      </w:divBdr>
    </w:div>
    <w:div w:id="8918707">
      <w:bodyDiv w:val="1"/>
      <w:marLeft w:val="0"/>
      <w:marRight w:val="0"/>
      <w:marTop w:val="0"/>
      <w:marBottom w:val="0"/>
      <w:divBdr>
        <w:top w:val="none" w:sz="0" w:space="0" w:color="auto"/>
        <w:left w:val="none" w:sz="0" w:space="0" w:color="auto"/>
        <w:bottom w:val="none" w:sz="0" w:space="0" w:color="auto"/>
        <w:right w:val="none" w:sz="0" w:space="0" w:color="auto"/>
      </w:divBdr>
    </w:div>
    <w:div w:id="15543388">
      <w:bodyDiv w:val="1"/>
      <w:marLeft w:val="0"/>
      <w:marRight w:val="0"/>
      <w:marTop w:val="0"/>
      <w:marBottom w:val="0"/>
      <w:divBdr>
        <w:top w:val="none" w:sz="0" w:space="0" w:color="auto"/>
        <w:left w:val="none" w:sz="0" w:space="0" w:color="auto"/>
        <w:bottom w:val="none" w:sz="0" w:space="0" w:color="auto"/>
        <w:right w:val="none" w:sz="0" w:space="0" w:color="auto"/>
      </w:divBdr>
    </w:div>
    <w:div w:id="22362726">
      <w:bodyDiv w:val="1"/>
      <w:marLeft w:val="0"/>
      <w:marRight w:val="0"/>
      <w:marTop w:val="0"/>
      <w:marBottom w:val="0"/>
      <w:divBdr>
        <w:top w:val="none" w:sz="0" w:space="0" w:color="auto"/>
        <w:left w:val="none" w:sz="0" w:space="0" w:color="auto"/>
        <w:bottom w:val="none" w:sz="0" w:space="0" w:color="auto"/>
        <w:right w:val="none" w:sz="0" w:space="0" w:color="auto"/>
      </w:divBdr>
    </w:div>
    <w:div w:id="28452960">
      <w:bodyDiv w:val="1"/>
      <w:marLeft w:val="0"/>
      <w:marRight w:val="0"/>
      <w:marTop w:val="0"/>
      <w:marBottom w:val="0"/>
      <w:divBdr>
        <w:top w:val="none" w:sz="0" w:space="0" w:color="auto"/>
        <w:left w:val="none" w:sz="0" w:space="0" w:color="auto"/>
        <w:bottom w:val="none" w:sz="0" w:space="0" w:color="auto"/>
        <w:right w:val="none" w:sz="0" w:space="0" w:color="auto"/>
      </w:divBdr>
    </w:div>
    <w:div w:id="34086945">
      <w:bodyDiv w:val="1"/>
      <w:marLeft w:val="0"/>
      <w:marRight w:val="0"/>
      <w:marTop w:val="0"/>
      <w:marBottom w:val="0"/>
      <w:divBdr>
        <w:top w:val="none" w:sz="0" w:space="0" w:color="auto"/>
        <w:left w:val="none" w:sz="0" w:space="0" w:color="auto"/>
        <w:bottom w:val="none" w:sz="0" w:space="0" w:color="auto"/>
        <w:right w:val="none" w:sz="0" w:space="0" w:color="auto"/>
      </w:divBdr>
    </w:div>
    <w:div w:id="40248171">
      <w:bodyDiv w:val="1"/>
      <w:marLeft w:val="0"/>
      <w:marRight w:val="0"/>
      <w:marTop w:val="0"/>
      <w:marBottom w:val="0"/>
      <w:divBdr>
        <w:top w:val="none" w:sz="0" w:space="0" w:color="auto"/>
        <w:left w:val="none" w:sz="0" w:space="0" w:color="auto"/>
        <w:bottom w:val="none" w:sz="0" w:space="0" w:color="auto"/>
        <w:right w:val="none" w:sz="0" w:space="0" w:color="auto"/>
      </w:divBdr>
    </w:div>
    <w:div w:id="51126326">
      <w:bodyDiv w:val="1"/>
      <w:marLeft w:val="0"/>
      <w:marRight w:val="0"/>
      <w:marTop w:val="0"/>
      <w:marBottom w:val="0"/>
      <w:divBdr>
        <w:top w:val="none" w:sz="0" w:space="0" w:color="auto"/>
        <w:left w:val="none" w:sz="0" w:space="0" w:color="auto"/>
        <w:bottom w:val="none" w:sz="0" w:space="0" w:color="auto"/>
        <w:right w:val="none" w:sz="0" w:space="0" w:color="auto"/>
      </w:divBdr>
    </w:div>
    <w:div w:id="62148682">
      <w:bodyDiv w:val="1"/>
      <w:marLeft w:val="0"/>
      <w:marRight w:val="0"/>
      <w:marTop w:val="0"/>
      <w:marBottom w:val="0"/>
      <w:divBdr>
        <w:top w:val="none" w:sz="0" w:space="0" w:color="auto"/>
        <w:left w:val="none" w:sz="0" w:space="0" w:color="auto"/>
        <w:bottom w:val="none" w:sz="0" w:space="0" w:color="auto"/>
        <w:right w:val="none" w:sz="0" w:space="0" w:color="auto"/>
      </w:divBdr>
      <w:divsChild>
        <w:div w:id="1340424430">
          <w:marLeft w:val="0"/>
          <w:marRight w:val="0"/>
          <w:marTop w:val="0"/>
          <w:marBottom w:val="0"/>
          <w:divBdr>
            <w:top w:val="none" w:sz="0" w:space="0" w:color="auto"/>
            <w:left w:val="none" w:sz="0" w:space="0" w:color="auto"/>
            <w:bottom w:val="none" w:sz="0" w:space="0" w:color="auto"/>
            <w:right w:val="none" w:sz="0" w:space="0" w:color="auto"/>
          </w:divBdr>
        </w:div>
      </w:divsChild>
    </w:div>
    <w:div w:id="63842111">
      <w:bodyDiv w:val="1"/>
      <w:marLeft w:val="0"/>
      <w:marRight w:val="0"/>
      <w:marTop w:val="0"/>
      <w:marBottom w:val="0"/>
      <w:divBdr>
        <w:top w:val="none" w:sz="0" w:space="0" w:color="auto"/>
        <w:left w:val="none" w:sz="0" w:space="0" w:color="auto"/>
        <w:bottom w:val="none" w:sz="0" w:space="0" w:color="auto"/>
        <w:right w:val="none" w:sz="0" w:space="0" w:color="auto"/>
      </w:divBdr>
      <w:divsChild>
        <w:div w:id="901403437">
          <w:marLeft w:val="0"/>
          <w:marRight w:val="0"/>
          <w:marTop w:val="0"/>
          <w:marBottom w:val="0"/>
          <w:divBdr>
            <w:top w:val="none" w:sz="0" w:space="0" w:color="auto"/>
            <w:left w:val="none" w:sz="0" w:space="0" w:color="auto"/>
            <w:bottom w:val="none" w:sz="0" w:space="0" w:color="auto"/>
            <w:right w:val="none" w:sz="0" w:space="0" w:color="auto"/>
          </w:divBdr>
        </w:div>
      </w:divsChild>
    </w:div>
    <w:div w:id="66998060">
      <w:bodyDiv w:val="1"/>
      <w:marLeft w:val="0"/>
      <w:marRight w:val="0"/>
      <w:marTop w:val="0"/>
      <w:marBottom w:val="0"/>
      <w:divBdr>
        <w:top w:val="none" w:sz="0" w:space="0" w:color="auto"/>
        <w:left w:val="none" w:sz="0" w:space="0" w:color="auto"/>
        <w:bottom w:val="none" w:sz="0" w:space="0" w:color="auto"/>
        <w:right w:val="none" w:sz="0" w:space="0" w:color="auto"/>
      </w:divBdr>
    </w:div>
    <w:div w:id="70736006">
      <w:bodyDiv w:val="1"/>
      <w:marLeft w:val="0"/>
      <w:marRight w:val="0"/>
      <w:marTop w:val="0"/>
      <w:marBottom w:val="0"/>
      <w:divBdr>
        <w:top w:val="none" w:sz="0" w:space="0" w:color="auto"/>
        <w:left w:val="none" w:sz="0" w:space="0" w:color="auto"/>
        <w:bottom w:val="none" w:sz="0" w:space="0" w:color="auto"/>
        <w:right w:val="none" w:sz="0" w:space="0" w:color="auto"/>
      </w:divBdr>
    </w:div>
    <w:div w:id="71121664">
      <w:bodyDiv w:val="1"/>
      <w:marLeft w:val="0"/>
      <w:marRight w:val="0"/>
      <w:marTop w:val="0"/>
      <w:marBottom w:val="0"/>
      <w:divBdr>
        <w:top w:val="none" w:sz="0" w:space="0" w:color="auto"/>
        <w:left w:val="none" w:sz="0" w:space="0" w:color="auto"/>
        <w:bottom w:val="none" w:sz="0" w:space="0" w:color="auto"/>
        <w:right w:val="none" w:sz="0" w:space="0" w:color="auto"/>
      </w:divBdr>
    </w:div>
    <w:div w:id="74208165">
      <w:bodyDiv w:val="1"/>
      <w:marLeft w:val="0"/>
      <w:marRight w:val="0"/>
      <w:marTop w:val="0"/>
      <w:marBottom w:val="0"/>
      <w:divBdr>
        <w:top w:val="none" w:sz="0" w:space="0" w:color="auto"/>
        <w:left w:val="none" w:sz="0" w:space="0" w:color="auto"/>
        <w:bottom w:val="none" w:sz="0" w:space="0" w:color="auto"/>
        <w:right w:val="none" w:sz="0" w:space="0" w:color="auto"/>
      </w:divBdr>
    </w:div>
    <w:div w:id="76096203">
      <w:bodyDiv w:val="1"/>
      <w:marLeft w:val="0"/>
      <w:marRight w:val="0"/>
      <w:marTop w:val="0"/>
      <w:marBottom w:val="0"/>
      <w:divBdr>
        <w:top w:val="none" w:sz="0" w:space="0" w:color="auto"/>
        <w:left w:val="none" w:sz="0" w:space="0" w:color="auto"/>
        <w:bottom w:val="none" w:sz="0" w:space="0" w:color="auto"/>
        <w:right w:val="none" w:sz="0" w:space="0" w:color="auto"/>
      </w:divBdr>
    </w:div>
    <w:div w:id="77137374">
      <w:bodyDiv w:val="1"/>
      <w:marLeft w:val="0"/>
      <w:marRight w:val="0"/>
      <w:marTop w:val="0"/>
      <w:marBottom w:val="0"/>
      <w:divBdr>
        <w:top w:val="none" w:sz="0" w:space="0" w:color="auto"/>
        <w:left w:val="none" w:sz="0" w:space="0" w:color="auto"/>
        <w:bottom w:val="none" w:sz="0" w:space="0" w:color="auto"/>
        <w:right w:val="none" w:sz="0" w:space="0" w:color="auto"/>
      </w:divBdr>
    </w:div>
    <w:div w:id="77290803">
      <w:bodyDiv w:val="1"/>
      <w:marLeft w:val="0"/>
      <w:marRight w:val="0"/>
      <w:marTop w:val="0"/>
      <w:marBottom w:val="0"/>
      <w:divBdr>
        <w:top w:val="none" w:sz="0" w:space="0" w:color="auto"/>
        <w:left w:val="none" w:sz="0" w:space="0" w:color="auto"/>
        <w:bottom w:val="none" w:sz="0" w:space="0" w:color="auto"/>
        <w:right w:val="none" w:sz="0" w:space="0" w:color="auto"/>
      </w:divBdr>
    </w:div>
    <w:div w:id="77678183">
      <w:bodyDiv w:val="1"/>
      <w:marLeft w:val="0"/>
      <w:marRight w:val="0"/>
      <w:marTop w:val="0"/>
      <w:marBottom w:val="0"/>
      <w:divBdr>
        <w:top w:val="none" w:sz="0" w:space="0" w:color="auto"/>
        <w:left w:val="none" w:sz="0" w:space="0" w:color="auto"/>
        <w:bottom w:val="none" w:sz="0" w:space="0" w:color="auto"/>
        <w:right w:val="none" w:sz="0" w:space="0" w:color="auto"/>
      </w:divBdr>
    </w:div>
    <w:div w:id="89935796">
      <w:bodyDiv w:val="1"/>
      <w:marLeft w:val="0"/>
      <w:marRight w:val="0"/>
      <w:marTop w:val="0"/>
      <w:marBottom w:val="0"/>
      <w:divBdr>
        <w:top w:val="none" w:sz="0" w:space="0" w:color="auto"/>
        <w:left w:val="none" w:sz="0" w:space="0" w:color="auto"/>
        <w:bottom w:val="none" w:sz="0" w:space="0" w:color="auto"/>
        <w:right w:val="none" w:sz="0" w:space="0" w:color="auto"/>
      </w:divBdr>
    </w:div>
    <w:div w:id="91825680">
      <w:bodyDiv w:val="1"/>
      <w:marLeft w:val="0"/>
      <w:marRight w:val="0"/>
      <w:marTop w:val="0"/>
      <w:marBottom w:val="0"/>
      <w:divBdr>
        <w:top w:val="none" w:sz="0" w:space="0" w:color="auto"/>
        <w:left w:val="none" w:sz="0" w:space="0" w:color="auto"/>
        <w:bottom w:val="none" w:sz="0" w:space="0" w:color="auto"/>
        <w:right w:val="none" w:sz="0" w:space="0" w:color="auto"/>
      </w:divBdr>
    </w:div>
    <w:div w:id="102652408">
      <w:bodyDiv w:val="1"/>
      <w:marLeft w:val="0"/>
      <w:marRight w:val="0"/>
      <w:marTop w:val="0"/>
      <w:marBottom w:val="0"/>
      <w:divBdr>
        <w:top w:val="none" w:sz="0" w:space="0" w:color="auto"/>
        <w:left w:val="none" w:sz="0" w:space="0" w:color="auto"/>
        <w:bottom w:val="none" w:sz="0" w:space="0" w:color="auto"/>
        <w:right w:val="none" w:sz="0" w:space="0" w:color="auto"/>
      </w:divBdr>
      <w:divsChild>
        <w:div w:id="25906688">
          <w:marLeft w:val="0"/>
          <w:marRight w:val="0"/>
          <w:marTop w:val="0"/>
          <w:marBottom w:val="0"/>
          <w:divBdr>
            <w:top w:val="none" w:sz="0" w:space="0" w:color="auto"/>
            <w:left w:val="none" w:sz="0" w:space="0" w:color="auto"/>
            <w:bottom w:val="none" w:sz="0" w:space="0" w:color="auto"/>
            <w:right w:val="none" w:sz="0" w:space="0" w:color="auto"/>
          </w:divBdr>
        </w:div>
      </w:divsChild>
    </w:div>
    <w:div w:id="103696057">
      <w:bodyDiv w:val="1"/>
      <w:marLeft w:val="0"/>
      <w:marRight w:val="0"/>
      <w:marTop w:val="0"/>
      <w:marBottom w:val="0"/>
      <w:divBdr>
        <w:top w:val="none" w:sz="0" w:space="0" w:color="auto"/>
        <w:left w:val="none" w:sz="0" w:space="0" w:color="auto"/>
        <w:bottom w:val="none" w:sz="0" w:space="0" w:color="auto"/>
        <w:right w:val="none" w:sz="0" w:space="0" w:color="auto"/>
      </w:divBdr>
    </w:div>
    <w:div w:id="108360624">
      <w:bodyDiv w:val="1"/>
      <w:marLeft w:val="0"/>
      <w:marRight w:val="0"/>
      <w:marTop w:val="0"/>
      <w:marBottom w:val="0"/>
      <w:divBdr>
        <w:top w:val="none" w:sz="0" w:space="0" w:color="auto"/>
        <w:left w:val="none" w:sz="0" w:space="0" w:color="auto"/>
        <w:bottom w:val="none" w:sz="0" w:space="0" w:color="auto"/>
        <w:right w:val="none" w:sz="0" w:space="0" w:color="auto"/>
      </w:divBdr>
    </w:div>
    <w:div w:id="112286877">
      <w:bodyDiv w:val="1"/>
      <w:marLeft w:val="0"/>
      <w:marRight w:val="0"/>
      <w:marTop w:val="0"/>
      <w:marBottom w:val="0"/>
      <w:divBdr>
        <w:top w:val="none" w:sz="0" w:space="0" w:color="auto"/>
        <w:left w:val="none" w:sz="0" w:space="0" w:color="auto"/>
        <w:bottom w:val="none" w:sz="0" w:space="0" w:color="auto"/>
        <w:right w:val="none" w:sz="0" w:space="0" w:color="auto"/>
      </w:divBdr>
      <w:divsChild>
        <w:div w:id="72359067">
          <w:marLeft w:val="0"/>
          <w:marRight w:val="0"/>
          <w:marTop w:val="0"/>
          <w:marBottom w:val="0"/>
          <w:divBdr>
            <w:top w:val="none" w:sz="0" w:space="0" w:color="auto"/>
            <w:left w:val="none" w:sz="0" w:space="0" w:color="auto"/>
            <w:bottom w:val="none" w:sz="0" w:space="0" w:color="auto"/>
            <w:right w:val="none" w:sz="0" w:space="0" w:color="auto"/>
          </w:divBdr>
        </w:div>
      </w:divsChild>
    </w:div>
    <w:div w:id="115028248">
      <w:bodyDiv w:val="1"/>
      <w:marLeft w:val="0"/>
      <w:marRight w:val="0"/>
      <w:marTop w:val="0"/>
      <w:marBottom w:val="0"/>
      <w:divBdr>
        <w:top w:val="none" w:sz="0" w:space="0" w:color="auto"/>
        <w:left w:val="none" w:sz="0" w:space="0" w:color="auto"/>
        <w:bottom w:val="none" w:sz="0" w:space="0" w:color="auto"/>
        <w:right w:val="none" w:sz="0" w:space="0" w:color="auto"/>
      </w:divBdr>
    </w:div>
    <w:div w:id="117142767">
      <w:bodyDiv w:val="1"/>
      <w:marLeft w:val="0"/>
      <w:marRight w:val="0"/>
      <w:marTop w:val="0"/>
      <w:marBottom w:val="0"/>
      <w:divBdr>
        <w:top w:val="none" w:sz="0" w:space="0" w:color="auto"/>
        <w:left w:val="none" w:sz="0" w:space="0" w:color="auto"/>
        <w:bottom w:val="none" w:sz="0" w:space="0" w:color="auto"/>
        <w:right w:val="none" w:sz="0" w:space="0" w:color="auto"/>
      </w:divBdr>
    </w:div>
    <w:div w:id="118766098">
      <w:bodyDiv w:val="1"/>
      <w:marLeft w:val="0"/>
      <w:marRight w:val="0"/>
      <w:marTop w:val="0"/>
      <w:marBottom w:val="0"/>
      <w:divBdr>
        <w:top w:val="none" w:sz="0" w:space="0" w:color="auto"/>
        <w:left w:val="none" w:sz="0" w:space="0" w:color="auto"/>
        <w:bottom w:val="none" w:sz="0" w:space="0" w:color="auto"/>
        <w:right w:val="none" w:sz="0" w:space="0" w:color="auto"/>
      </w:divBdr>
    </w:div>
    <w:div w:id="129636530">
      <w:bodyDiv w:val="1"/>
      <w:marLeft w:val="0"/>
      <w:marRight w:val="0"/>
      <w:marTop w:val="0"/>
      <w:marBottom w:val="0"/>
      <w:divBdr>
        <w:top w:val="none" w:sz="0" w:space="0" w:color="auto"/>
        <w:left w:val="none" w:sz="0" w:space="0" w:color="auto"/>
        <w:bottom w:val="none" w:sz="0" w:space="0" w:color="auto"/>
        <w:right w:val="none" w:sz="0" w:space="0" w:color="auto"/>
      </w:divBdr>
      <w:divsChild>
        <w:div w:id="1162089533">
          <w:marLeft w:val="0"/>
          <w:marRight w:val="0"/>
          <w:marTop w:val="0"/>
          <w:marBottom w:val="0"/>
          <w:divBdr>
            <w:top w:val="none" w:sz="0" w:space="0" w:color="auto"/>
            <w:left w:val="none" w:sz="0" w:space="0" w:color="auto"/>
            <w:bottom w:val="none" w:sz="0" w:space="0" w:color="auto"/>
            <w:right w:val="none" w:sz="0" w:space="0" w:color="auto"/>
          </w:divBdr>
        </w:div>
      </w:divsChild>
    </w:div>
    <w:div w:id="131757219">
      <w:bodyDiv w:val="1"/>
      <w:marLeft w:val="0"/>
      <w:marRight w:val="0"/>
      <w:marTop w:val="0"/>
      <w:marBottom w:val="0"/>
      <w:divBdr>
        <w:top w:val="none" w:sz="0" w:space="0" w:color="auto"/>
        <w:left w:val="none" w:sz="0" w:space="0" w:color="auto"/>
        <w:bottom w:val="none" w:sz="0" w:space="0" w:color="auto"/>
        <w:right w:val="none" w:sz="0" w:space="0" w:color="auto"/>
      </w:divBdr>
    </w:div>
    <w:div w:id="137190186">
      <w:bodyDiv w:val="1"/>
      <w:marLeft w:val="0"/>
      <w:marRight w:val="0"/>
      <w:marTop w:val="0"/>
      <w:marBottom w:val="0"/>
      <w:divBdr>
        <w:top w:val="none" w:sz="0" w:space="0" w:color="auto"/>
        <w:left w:val="none" w:sz="0" w:space="0" w:color="auto"/>
        <w:bottom w:val="none" w:sz="0" w:space="0" w:color="auto"/>
        <w:right w:val="none" w:sz="0" w:space="0" w:color="auto"/>
      </w:divBdr>
    </w:div>
    <w:div w:id="139806398">
      <w:bodyDiv w:val="1"/>
      <w:marLeft w:val="0"/>
      <w:marRight w:val="0"/>
      <w:marTop w:val="0"/>
      <w:marBottom w:val="0"/>
      <w:divBdr>
        <w:top w:val="none" w:sz="0" w:space="0" w:color="auto"/>
        <w:left w:val="none" w:sz="0" w:space="0" w:color="auto"/>
        <w:bottom w:val="none" w:sz="0" w:space="0" w:color="auto"/>
        <w:right w:val="none" w:sz="0" w:space="0" w:color="auto"/>
      </w:divBdr>
    </w:div>
    <w:div w:id="142552245">
      <w:bodyDiv w:val="1"/>
      <w:marLeft w:val="0"/>
      <w:marRight w:val="0"/>
      <w:marTop w:val="0"/>
      <w:marBottom w:val="0"/>
      <w:divBdr>
        <w:top w:val="none" w:sz="0" w:space="0" w:color="auto"/>
        <w:left w:val="none" w:sz="0" w:space="0" w:color="auto"/>
        <w:bottom w:val="none" w:sz="0" w:space="0" w:color="auto"/>
        <w:right w:val="none" w:sz="0" w:space="0" w:color="auto"/>
      </w:divBdr>
    </w:div>
    <w:div w:id="142744048">
      <w:bodyDiv w:val="1"/>
      <w:marLeft w:val="0"/>
      <w:marRight w:val="0"/>
      <w:marTop w:val="0"/>
      <w:marBottom w:val="0"/>
      <w:divBdr>
        <w:top w:val="none" w:sz="0" w:space="0" w:color="auto"/>
        <w:left w:val="none" w:sz="0" w:space="0" w:color="auto"/>
        <w:bottom w:val="none" w:sz="0" w:space="0" w:color="auto"/>
        <w:right w:val="none" w:sz="0" w:space="0" w:color="auto"/>
      </w:divBdr>
    </w:div>
    <w:div w:id="147094669">
      <w:bodyDiv w:val="1"/>
      <w:marLeft w:val="0"/>
      <w:marRight w:val="0"/>
      <w:marTop w:val="0"/>
      <w:marBottom w:val="0"/>
      <w:divBdr>
        <w:top w:val="none" w:sz="0" w:space="0" w:color="auto"/>
        <w:left w:val="none" w:sz="0" w:space="0" w:color="auto"/>
        <w:bottom w:val="none" w:sz="0" w:space="0" w:color="auto"/>
        <w:right w:val="none" w:sz="0" w:space="0" w:color="auto"/>
      </w:divBdr>
      <w:divsChild>
        <w:div w:id="2069917824">
          <w:marLeft w:val="0"/>
          <w:marRight w:val="0"/>
          <w:marTop w:val="0"/>
          <w:marBottom w:val="0"/>
          <w:divBdr>
            <w:top w:val="none" w:sz="0" w:space="0" w:color="auto"/>
            <w:left w:val="none" w:sz="0" w:space="0" w:color="auto"/>
            <w:bottom w:val="none" w:sz="0" w:space="0" w:color="auto"/>
            <w:right w:val="none" w:sz="0" w:space="0" w:color="auto"/>
          </w:divBdr>
        </w:div>
      </w:divsChild>
    </w:div>
    <w:div w:id="153305398">
      <w:bodyDiv w:val="1"/>
      <w:marLeft w:val="0"/>
      <w:marRight w:val="0"/>
      <w:marTop w:val="0"/>
      <w:marBottom w:val="0"/>
      <w:divBdr>
        <w:top w:val="none" w:sz="0" w:space="0" w:color="auto"/>
        <w:left w:val="none" w:sz="0" w:space="0" w:color="auto"/>
        <w:bottom w:val="none" w:sz="0" w:space="0" w:color="auto"/>
        <w:right w:val="none" w:sz="0" w:space="0" w:color="auto"/>
      </w:divBdr>
    </w:div>
    <w:div w:id="154886127">
      <w:bodyDiv w:val="1"/>
      <w:marLeft w:val="0"/>
      <w:marRight w:val="0"/>
      <w:marTop w:val="0"/>
      <w:marBottom w:val="0"/>
      <w:divBdr>
        <w:top w:val="none" w:sz="0" w:space="0" w:color="auto"/>
        <w:left w:val="none" w:sz="0" w:space="0" w:color="auto"/>
        <w:bottom w:val="none" w:sz="0" w:space="0" w:color="auto"/>
        <w:right w:val="none" w:sz="0" w:space="0" w:color="auto"/>
      </w:divBdr>
    </w:div>
    <w:div w:id="158929671">
      <w:bodyDiv w:val="1"/>
      <w:marLeft w:val="0"/>
      <w:marRight w:val="0"/>
      <w:marTop w:val="0"/>
      <w:marBottom w:val="0"/>
      <w:divBdr>
        <w:top w:val="none" w:sz="0" w:space="0" w:color="auto"/>
        <w:left w:val="none" w:sz="0" w:space="0" w:color="auto"/>
        <w:bottom w:val="none" w:sz="0" w:space="0" w:color="auto"/>
        <w:right w:val="none" w:sz="0" w:space="0" w:color="auto"/>
      </w:divBdr>
    </w:div>
    <w:div w:id="163208624">
      <w:bodyDiv w:val="1"/>
      <w:marLeft w:val="0"/>
      <w:marRight w:val="0"/>
      <w:marTop w:val="0"/>
      <w:marBottom w:val="0"/>
      <w:divBdr>
        <w:top w:val="none" w:sz="0" w:space="0" w:color="auto"/>
        <w:left w:val="none" w:sz="0" w:space="0" w:color="auto"/>
        <w:bottom w:val="none" w:sz="0" w:space="0" w:color="auto"/>
        <w:right w:val="none" w:sz="0" w:space="0" w:color="auto"/>
      </w:divBdr>
    </w:div>
    <w:div w:id="163250794">
      <w:bodyDiv w:val="1"/>
      <w:marLeft w:val="0"/>
      <w:marRight w:val="0"/>
      <w:marTop w:val="0"/>
      <w:marBottom w:val="0"/>
      <w:divBdr>
        <w:top w:val="none" w:sz="0" w:space="0" w:color="auto"/>
        <w:left w:val="none" w:sz="0" w:space="0" w:color="auto"/>
        <w:bottom w:val="none" w:sz="0" w:space="0" w:color="auto"/>
        <w:right w:val="none" w:sz="0" w:space="0" w:color="auto"/>
      </w:divBdr>
    </w:div>
    <w:div w:id="164983877">
      <w:bodyDiv w:val="1"/>
      <w:marLeft w:val="0"/>
      <w:marRight w:val="0"/>
      <w:marTop w:val="0"/>
      <w:marBottom w:val="0"/>
      <w:divBdr>
        <w:top w:val="none" w:sz="0" w:space="0" w:color="auto"/>
        <w:left w:val="none" w:sz="0" w:space="0" w:color="auto"/>
        <w:bottom w:val="none" w:sz="0" w:space="0" w:color="auto"/>
        <w:right w:val="none" w:sz="0" w:space="0" w:color="auto"/>
      </w:divBdr>
    </w:div>
    <w:div w:id="169180741">
      <w:bodyDiv w:val="1"/>
      <w:marLeft w:val="0"/>
      <w:marRight w:val="0"/>
      <w:marTop w:val="0"/>
      <w:marBottom w:val="0"/>
      <w:divBdr>
        <w:top w:val="none" w:sz="0" w:space="0" w:color="auto"/>
        <w:left w:val="none" w:sz="0" w:space="0" w:color="auto"/>
        <w:bottom w:val="none" w:sz="0" w:space="0" w:color="auto"/>
        <w:right w:val="none" w:sz="0" w:space="0" w:color="auto"/>
      </w:divBdr>
    </w:div>
    <w:div w:id="171068375">
      <w:bodyDiv w:val="1"/>
      <w:marLeft w:val="0"/>
      <w:marRight w:val="0"/>
      <w:marTop w:val="0"/>
      <w:marBottom w:val="0"/>
      <w:divBdr>
        <w:top w:val="none" w:sz="0" w:space="0" w:color="auto"/>
        <w:left w:val="none" w:sz="0" w:space="0" w:color="auto"/>
        <w:bottom w:val="none" w:sz="0" w:space="0" w:color="auto"/>
        <w:right w:val="none" w:sz="0" w:space="0" w:color="auto"/>
      </w:divBdr>
    </w:div>
    <w:div w:id="173109689">
      <w:bodyDiv w:val="1"/>
      <w:marLeft w:val="0"/>
      <w:marRight w:val="0"/>
      <w:marTop w:val="0"/>
      <w:marBottom w:val="0"/>
      <w:divBdr>
        <w:top w:val="none" w:sz="0" w:space="0" w:color="auto"/>
        <w:left w:val="none" w:sz="0" w:space="0" w:color="auto"/>
        <w:bottom w:val="none" w:sz="0" w:space="0" w:color="auto"/>
        <w:right w:val="none" w:sz="0" w:space="0" w:color="auto"/>
      </w:divBdr>
    </w:div>
    <w:div w:id="178280104">
      <w:bodyDiv w:val="1"/>
      <w:marLeft w:val="0"/>
      <w:marRight w:val="0"/>
      <w:marTop w:val="0"/>
      <w:marBottom w:val="0"/>
      <w:divBdr>
        <w:top w:val="none" w:sz="0" w:space="0" w:color="auto"/>
        <w:left w:val="none" w:sz="0" w:space="0" w:color="auto"/>
        <w:bottom w:val="none" w:sz="0" w:space="0" w:color="auto"/>
        <w:right w:val="none" w:sz="0" w:space="0" w:color="auto"/>
      </w:divBdr>
    </w:div>
    <w:div w:id="178738180">
      <w:bodyDiv w:val="1"/>
      <w:marLeft w:val="0"/>
      <w:marRight w:val="0"/>
      <w:marTop w:val="0"/>
      <w:marBottom w:val="0"/>
      <w:divBdr>
        <w:top w:val="none" w:sz="0" w:space="0" w:color="auto"/>
        <w:left w:val="none" w:sz="0" w:space="0" w:color="auto"/>
        <w:bottom w:val="none" w:sz="0" w:space="0" w:color="auto"/>
        <w:right w:val="none" w:sz="0" w:space="0" w:color="auto"/>
      </w:divBdr>
      <w:divsChild>
        <w:div w:id="1434787158">
          <w:marLeft w:val="0"/>
          <w:marRight w:val="0"/>
          <w:marTop w:val="0"/>
          <w:marBottom w:val="0"/>
          <w:divBdr>
            <w:top w:val="none" w:sz="0" w:space="0" w:color="auto"/>
            <w:left w:val="none" w:sz="0" w:space="0" w:color="auto"/>
            <w:bottom w:val="none" w:sz="0" w:space="0" w:color="auto"/>
            <w:right w:val="none" w:sz="0" w:space="0" w:color="auto"/>
          </w:divBdr>
        </w:div>
      </w:divsChild>
    </w:div>
    <w:div w:id="181165146">
      <w:bodyDiv w:val="1"/>
      <w:marLeft w:val="0"/>
      <w:marRight w:val="0"/>
      <w:marTop w:val="0"/>
      <w:marBottom w:val="0"/>
      <w:divBdr>
        <w:top w:val="none" w:sz="0" w:space="0" w:color="auto"/>
        <w:left w:val="none" w:sz="0" w:space="0" w:color="auto"/>
        <w:bottom w:val="none" w:sz="0" w:space="0" w:color="auto"/>
        <w:right w:val="none" w:sz="0" w:space="0" w:color="auto"/>
      </w:divBdr>
    </w:div>
    <w:div w:id="187377877">
      <w:bodyDiv w:val="1"/>
      <w:marLeft w:val="0"/>
      <w:marRight w:val="0"/>
      <w:marTop w:val="0"/>
      <w:marBottom w:val="0"/>
      <w:divBdr>
        <w:top w:val="none" w:sz="0" w:space="0" w:color="auto"/>
        <w:left w:val="none" w:sz="0" w:space="0" w:color="auto"/>
        <w:bottom w:val="none" w:sz="0" w:space="0" w:color="auto"/>
        <w:right w:val="none" w:sz="0" w:space="0" w:color="auto"/>
      </w:divBdr>
    </w:div>
    <w:div w:id="187715761">
      <w:bodyDiv w:val="1"/>
      <w:marLeft w:val="0"/>
      <w:marRight w:val="0"/>
      <w:marTop w:val="0"/>
      <w:marBottom w:val="0"/>
      <w:divBdr>
        <w:top w:val="none" w:sz="0" w:space="0" w:color="auto"/>
        <w:left w:val="none" w:sz="0" w:space="0" w:color="auto"/>
        <w:bottom w:val="none" w:sz="0" w:space="0" w:color="auto"/>
        <w:right w:val="none" w:sz="0" w:space="0" w:color="auto"/>
      </w:divBdr>
    </w:div>
    <w:div w:id="190074930">
      <w:bodyDiv w:val="1"/>
      <w:marLeft w:val="0"/>
      <w:marRight w:val="0"/>
      <w:marTop w:val="0"/>
      <w:marBottom w:val="0"/>
      <w:divBdr>
        <w:top w:val="none" w:sz="0" w:space="0" w:color="auto"/>
        <w:left w:val="none" w:sz="0" w:space="0" w:color="auto"/>
        <w:bottom w:val="none" w:sz="0" w:space="0" w:color="auto"/>
        <w:right w:val="none" w:sz="0" w:space="0" w:color="auto"/>
      </w:divBdr>
    </w:div>
    <w:div w:id="195628573">
      <w:bodyDiv w:val="1"/>
      <w:marLeft w:val="0"/>
      <w:marRight w:val="0"/>
      <w:marTop w:val="0"/>
      <w:marBottom w:val="0"/>
      <w:divBdr>
        <w:top w:val="none" w:sz="0" w:space="0" w:color="auto"/>
        <w:left w:val="none" w:sz="0" w:space="0" w:color="auto"/>
        <w:bottom w:val="none" w:sz="0" w:space="0" w:color="auto"/>
        <w:right w:val="none" w:sz="0" w:space="0" w:color="auto"/>
      </w:divBdr>
      <w:divsChild>
        <w:div w:id="454981450">
          <w:marLeft w:val="0"/>
          <w:marRight w:val="0"/>
          <w:marTop w:val="0"/>
          <w:marBottom w:val="0"/>
          <w:divBdr>
            <w:top w:val="none" w:sz="0" w:space="0" w:color="auto"/>
            <w:left w:val="none" w:sz="0" w:space="0" w:color="auto"/>
            <w:bottom w:val="none" w:sz="0" w:space="0" w:color="auto"/>
            <w:right w:val="none" w:sz="0" w:space="0" w:color="auto"/>
          </w:divBdr>
        </w:div>
      </w:divsChild>
    </w:div>
    <w:div w:id="197011902">
      <w:bodyDiv w:val="1"/>
      <w:marLeft w:val="0"/>
      <w:marRight w:val="0"/>
      <w:marTop w:val="0"/>
      <w:marBottom w:val="0"/>
      <w:divBdr>
        <w:top w:val="none" w:sz="0" w:space="0" w:color="auto"/>
        <w:left w:val="none" w:sz="0" w:space="0" w:color="auto"/>
        <w:bottom w:val="none" w:sz="0" w:space="0" w:color="auto"/>
        <w:right w:val="none" w:sz="0" w:space="0" w:color="auto"/>
      </w:divBdr>
    </w:div>
    <w:div w:id="201481483">
      <w:bodyDiv w:val="1"/>
      <w:marLeft w:val="0"/>
      <w:marRight w:val="0"/>
      <w:marTop w:val="0"/>
      <w:marBottom w:val="0"/>
      <w:divBdr>
        <w:top w:val="none" w:sz="0" w:space="0" w:color="auto"/>
        <w:left w:val="none" w:sz="0" w:space="0" w:color="auto"/>
        <w:bottom w:val="none" w:sz="0" w:space="0" w:color="auto"/>
        <w:right w:val="none" w:sz="0" w:space="0" w:color="auto"/>
      </w:divBdr>
    </w:div>
    <w:div w:id="203716754">
      <w:bodyDiv w:val="1"/>
      <w:marLeft w:val="0"/>
      <w:marRight w:val="0"/>
      <w:marTop w:val="0"/>
      <w:marBottom w:val="0"/>
      <w:divBdr>
        <w:top w:val="none" w:sz="0" w:space="0" w:color="auto"/>
        <w:left w:val="none" w:sz="0" w:space="0" w:color="auto"/>
        <w:bottom w:val="none" w:sz="0" w:space="0" w:color="auto"/>
        <w:right w:val="none" w:sz="0" w:space="0" w:color="auto"/>
      </w:divBdr>
    </w:div>
    <w:div w:id="210505395">
      <w:bodyDiv w:val="1"/>
      <w:marLeft w:val="0"/>
      <w:marRight w:val="0"/>
      <w:marTop w:val="0"/>
      <w:marBottom w:val="0"/>
      <w:divBdr>
        <w:top w:val="none" w:sz="0" w:space="0" w:color="auto"/>
        <w:left w:val="none" w:sz="0" w:space="0" w:color="auto"/>
        <w:bottom w:val="none" w:sz="0" w:space="0" w:color="auto"/>
        <w:right w:val="none" w:sz="0" w:space="0" w:color="auto"/>
      </w:divBdr>
    </w:div>
    <w:div w:id="210507436">
      <w:bodyDiv w:val="1"/>
      <w:marLeft w:val="0"/>
      <w:marRight w:val="0"/>
      <w:marTop w:val="0"/>
      <w:marBottom w:val="0"/>
      <w:divBdr>
        <w:top w:val="none" w:sz="0" w:space="0" w:color="auto"/>
        <w:left w:val="none" w:sz="0" w:space="0" w:color="auto"/>
        <w:bottom w:val="none" w:sz="0" w:space="0" w:color="auto"/>
        <w:right w:val="none" w:sz="0" w:space="0" w:color="auto"/>
      </w:divBdr>
    </w:div>
    <w:div w:id="211772562">
      <w:bodyDiv w:val="1"/>
      <w:marLeft w:val="0"/>
      <w:marRight w:val="0"/>
      <w:marTop w:val="0"/>
      <w:marBottom w:val="0"/>
      <w:divBdr>
        <w:top w:val="none" w:sz="0" w:space="0" w:color="auto"/>
        <w:left w:val="none" w:sz="0" w:space="0" w:color="auto"/>
        <w:bottom w:val="none" w:sz="0" w:space="0" w:color="auto"/>
        <w:right w:val="none" w:sz="0" w:space="0" w:color="auto"/>
      </w:divBdr>
    </w:div>
    <w:div w:id="213197835">
      <w:bodyDiv w:val="1"/>
      <w:marLeft w:val="0"/>
      <w:marRight w:val="0"/>
      <w:marTop w:val="0"/>
      <w:marBottom w:val="0"/>
      <w:divBdr>
        <w:top w:val="none" w:sz="0" w:space="0" w:color="auto"/>
        <w:left w:val="none" w:sz="0" w:space="0" w:color="auto"/>
        <w:bottom w:val="none" w:sz="0" w:space="0" w:color="auto"/>
        <w:right w:val="none" w:sz="0" w:space="0" w:color="auto"/>
      </w:divBdr>
      <w:divsChild>
        <w:div w:id="1934239273">
          <w:marLeft w:val="0"/>
          <w:marRight w:val="0"/>
          <w:marTop w:val="0"/>
          <w:marBottom w:val="0"/>
          <w:divBdr>
            <w:top w:val="none" w:sz="0" w:space="0" w:color="auto"/>
            <w:left w:val="none" w:sz="0" w:space="0" w:color="auto"/>
            <w:bottom w:val="none" w:sz="0" w:space="0" w:color="auto"/>
            <w:right w:val="none" w:sz="0" w:space="0" w:color="auto"/>
          </w:divBdr>
        </w:div>
      </w:divsChild>
    </w:div>
    <w:div w:id="219900483">
      <w:bodyDiv w:val="1"/>
      <w:marLeft w:val="0"/>
      <w:marRight w:val="0"/>
      <w:marTop w:val="0"/>
      <w:marBottom w:val="0"/>
      <w:divBdr>
        <w:top w:val="none" w:sz="0" w:space="0" w:color="auto"/>
        <w:left w:val="none" w:sz="0" w:space="0" w:color="auto"/>
        <w:bottom w:val="none" w:sz="0" w:space="0" w:color="auto"/>
        <w:right w:val="none" w:sz="0" w:space="0" w:color="auto"/>
      </w:divBdr>
    </w:div>
    <w:div w:id="220558872">
      <w:bodyDiv w:val="1"/>
      <w:marLeft w:val="0"/>
      <w:marRight w:val="0"/>
      <w:marTop w:val="0"/>
      <w:marBottom w:val="0"/>
      <w:divBdr>
        <w:top w:val="none" w:sz="0" w:space="0" w:color="auto"/>
        <w:left w:val="none" w:sz="0" w:space="0" w:color="auto"/>
        <w:bottom w:val="none" w:sz="0" w:space="0" w:color="auto"/>
        <w:right w:val="none" w:sz="0" w:space="0" w:color="auto"/>
      </w:divBdr>
    </w:div>
    <w:div w:id="220754268">
      <w:bodyDiv w:val="1"/>
      <w:marLeft w:val="0"/>
      <w:marRight w:val="0"/>
      <w:marTop w:val="0"/>
      <w:marBottom w:val="0"/>
      <w:divBdr>
        <w:top w:val="none" w:sz="0" w:space="0" w:color="auto"/>
        <w:left w:val="none" w:sz="0" w:space="0" w:color="auto"/>
        <w:bottom w:val="none" w:sz="0" w:space="0" w:color="auto"/>
        <w:right w:val="none" w:sz="0" w:space="0" w:color="auto"/>
      </w:divBdr>
      <w:divsChild>
        <w:div w:id="146751763">
          <w:marLeft w:val="0"/>
          <w:marRight w:val="0"/>
          <w:marTop w:val="0"/>
          <w:marBottom w:val="0"/>
          <w:divBdr>
            <w:top w:val="none" w:sz="0" w:space="0" w:color="auto"/>
            <w:left w:val="none" w:sz="0" w:space="0" w:color="auto"/>
            <w:bottom w:val="none" w:sz="0" w:space="0" w:color="auto"/>
            <w:right w:val="none" w:sz="0" w:space="0" w:color="auto"/>
          </w:divBdr>
        </w:div>
      </w:divsChild>
    </w:div>
    <w:div w:id="235479817">
      <w:bodyDiv w:val="1"/>
      <w:marLeft w:val="0"/>
      <w:marRight w:val="0"/>
      <w:marTop w:val="0"/>
      <w:marBottom w:val="0"/>
      <w:divBdr>
        <w:top w:val="none" w:sz="0" w:space="0" w:color="auto"/>
        <w:left w:val="none" w:sz="0" w:space="0" w:color="auto"/>
        <w:bottom w:val="none" w:sz="0" w:space="0" w:color="auto"/>
        <w:right w:val="none" w:sz="0" w:space="0" w:color="auto"/>
      </w:divBdr>
      <w:divsChild>
        <w:div w:id="1219434087">
          <w:marLeft w:val="0"/>
          <w:marRight w:val="0"/>
          <w:marTop w:val="0"/>
          <w:marBottom w:val="0"/>
          <w:divBdr>
            <w:top w:val="none" w:sz="0" w:space="0" w:color="auto"/>
            <w:left w:val="none" w:sz="0" w:space="0" w:color="auto"/>
            <w:bottom w:val="none" w:sz="0" w:space="0" w:color="auto"/>
            <w:right w:val="none" w:sz="0" w:space="0" w:color="auto"/>
          </w:divBdr>
        </w:div>
      </w:divsChild>
    </w:div>
    <w:div w:id="238251076">
      <w:bodyDiv w:val="1"/>
      <w:marLeft w:val="0"/>
      <w:marRight w:val="0"/>
      <w:marTop w:val="0"/>
      <w:marBottom w:val="0"/>
      <w:divBdr>
        <w:top w:val="none" w:sz="0" w:space="0" w:color="auto"/>
        <w:left w:val="none" w:sz="0" w:space="0" w:color="auto"/>
        <w:bottom w:val="none" w:sz="0" w:space="0" w:color="auto"/>
        <w:right w:val="none" w:sz="0" w:space="0" w:color="auto"/>
      </w:divBdr>
    </w:div>
    <w:div w:id="242449342">
      <w:bodyDiv w:val="1"/>
      <w:marLeft w:val="0"/>
      <w:marRight w:val="0"/>
      <w:marTop w:val="0"/>
      <w:marBottom w:val="0"/>
      <w:divBdr>
        <w:top w:val="none" w:sz="0" w:space="0" w:color="auto"/>
        <w:left w:val="none" w:sz="0" w:space="0" w:color="auto"/>
        <w:bottom w:val="none" w:sz="0" w:space="0" w:color="auto"/>
        <w:right w:val="none" w:sz="0" w:space="0" w:color="auto"/>
      </w:divBdr>
      <w:divsChild>
        <w:div w:id="1146584970">
          <w:marLeft w:val="0"/>
          <w:marRight w:val="0"/>
          <w:marTop w:val="0"/>
          <w:marBottom w:val="0"/>
          <w:divBdr>
            <w:top w:val="none" w:sz="0" w:space="0" w:color="auto"/>
            <w:left w:val="none" w:sz="0" w:space="0" w:color="auto"/>
            <w:bottom w:val="none" w:sz="0" w:space="0" w:color="auto"/>
            <w:right w:val="none" w:sz="0" w:space="0" w:color="auto"/>
          </w:divBdr>
        </w:div>
      </w:divsChild>
    </w:div>
    <w:div w:id="242761992">
      <w:bodyDiv w:val="1"/>
      <w:marLeft w:val="0"/>
      <w:marRight w:val="0"/>
      <w:marTop w:val="0"/>
      <w:marBottom w:val="0"/>
      <w:divBdr>
        <w:top w:val="none" w:sz="0" w:space="0" w:color="auto"/>
        <w:left w:val="none" w:sz="0" w:space="0" w:color="auto"/>
        <w:bottom w:val="none" w:sz="0" w:space="0" w:color="auto"/>
        <w:right w:val="none" w:sz="0" w:space="0" w:color="auto"/>
      </w:divBdr>
    </w:div>
    <w:div w:id="244195876">
      <w:bodyDiv w:val="1"/>
      <w:marLeft w:val="0"/>
      <w:marRight w:val="0"/>
      <w:marTop w:val="0"/>
      <w:marBottom w:val="0"/>
      <w:divBdr>
        <w:top w:val="none" w:sz="0" w:space="0" w:color="auto"/>
        <w:left w:val="none" w:sz="0" w:space="0" w:color="auto"/>
        <w:bottom w:val="none" w:sz="0" w:space="0" w:color="auto"/>
        <w:right w:val="none" w:sz="0" w:space="0" w:color="auto"/>
      </w:divBdr>
    </w:div>
    <w:div w:id="244803656">
      <w:bodyDiv w:val="1"/>
      <w:marLeft w:val="0"/>
      <w:marRight w:val="0"/>
      <w:marTop w:val="0"/>
      <w:marBottom w:val="0"/>
      <w:divBdr>
        <w:top w:val="none" w:sz="0" w:space="0" w:color="auto"/>
        <w:left w:val="none" w:sz="0" w:space="0" w:color="auto"/>
        <w:bottom w:val="none" w:sz="0" w:space="0" w:color="auto"/>
        <w:right w:val="none" w:sz="0" w:space="0" w:color="auto"/>
      </w:divBdr>
    </w:div>
    <w:div w:id="245966685">
      <w:bodyDiv w:val="1"/>
      <w:marLeft w:val="0"/>
      <w:marRight w:val="0"/>
      <w:marTop w:val="0"/>
      <w:marBottom w:val="0"/>
      <w:divBdr>
        <w:top w:val="none" w:sz="0" w:space="0" w:color="auto"/>
        <w:left w:val="none" w:sz="0" w:space="0" w:color="auto"/>
        <w:bottom w:val="none" w:sz="0" w:space="0" w:color="auto"/>
        <w:right w:val="none" w:sz="0" w:space="0" w:color="auto"/>
      </w:divBdr>
    </w:div>
    <w:div w:id="252976556">
      <w:bodyDiv w:val="1"/>
      <w:marLeft w:val="0"/>
      <w:marRight w:val="0"/>
      <w:marTop w:val="0"/>
      <w:marBottom w:val="0"/>
      <w:divBdr>
        <w:top w:val="none" w:sz="0" w:space="0" w:color="auto"/>
        <w:left w:val="none" w:sz="0" w:space="0" w:color="auto"/>
        <w:bottom w:val="none" w:sz="0" w:space="0" w:color="auto"/>
        <w:right w:val="none" w:sz="0" w:space="0" w:color="auto"/>
      </w:divBdr>
    </w:div>
    <w:div w:id="254748026">
      <w:bodyDiv w:val="1"/>
      <w:marLeft w:val="0"/>
      <w:marRight w:val="0"/>
      <w:marTop w:val="0"/>
      <w:marBottom w:val="0"/>
      <w:divBdr>
        <w:top w:val="none" w:sz="0" w:space="0" w:color="auto"/>
        <w:left w:val="none" w:sz="0" w:space="0" w:color="auto"/>
        <w:bottom w:val="none" w:sz="0" w:space="0" w:color="auto"/>
        <w:right w:val="none" w:sz="0" w:space="0" w:color="auto"/>
      </w:divBdr>
    </w:div>
    <w:div w:id="257445228">
      <w:bodyDiv w:val="1"/>
      <w:marLeft w:val="0"/>
      <w:marRight w:val="0"/>
      <w:marTop w:val="0"/>
      <w:marBottom w:val="0"/>
      <w:divBdr>
        <w:top w:val="none" w:sz="0" w:space="0" w:color="auto"/>
        <w:left w:val="none" w:sz="0" w:space="0" w:color="auto"/>
        <w:bottom w:val="none" w:sz="0" w:space="0" w:color="auto"/>
        <w:right w:val="none" w:sz="0" w:space="0" w:color="auto"/>
      </w:divBdr>
    </w:div>
    <w:div w:id="258295398">
      <w:bodyDiv w:val="1"/>
      <w:marLeft w:val="0"/>
      <w:marRight w:val="0"/>
      <w:marTop w:val="0"/>
      <w:marBottom w:val="0"/>
      <w:divBdr>
        <w:top w:val="none" w:sz="0" w:space="0" w:color="auto"/>
        <w:left w:val="none" w:sz="0" w:space="0" w:color="auto"/>
        <w:bottom w:val="none" w:sz="0" w:space="0" w:color="auto"/>
        <w:right w:val="none" w:sz="0" w:space="0" w:color="auto"/>
      </w:divBdr>
      <w:divsChild>
        <w:div w:id="852494794">
          <w:marLeft w:val="0"/>
          <w:marRight w:val="0"/>
          <w:marTop w:val="0"/>
          <w:marBottom w:val="0"/>
          <w:divBdr>
            <w:top w:val="none" w:sz="0" w:space="0" w:color="auto"/>
            <w:left w:val="none" w:sz="0" w:space="0" w:color="auto"/>
            <w:bottom w:val="none" w:sz="0" w:space="0" w:color="auto"/>
            <w:right w:val="none" w:sz="0" w:space="0" w:color="auto"/>
          </w:divBdr>
        </w:div>
      </w:divsChild>
    </w:div>
    <w:div w:id="259991720">
      <w:bodyDiv w:val="1"/>
      <w:marLeft w:val="0"/>
      <w:marRight w:val="0"/>
      <w:marTop w:val="0"/>
      <w:marBottom w:val="0"/>
      <w:divBdr>
        <w:top w:val="none" w:sz="0" w:space="0" w:color="auto"/>
        <w:left w:val="none" w:sz="0" w:space="0" w:color="auto"/>
        <w:bottom w:val="none" w:sz="0" w:space="0" w:color="auto"/>
        <w:right w:val="none" w:sz="0" w:space="0" w:color="auto"/>
      </w:divBdr>
    </w:div>
    <w:div w:id="262807252">
      <w:bodyDiv w:val="1"/>
      <w:marLeft w:val="0"/>
      <w:marRight w:val="0"/>
      <w:marTop w:val="0"/>
      <w:marBottom w:val="0"/>
      <w:divBdr>
        <w:top w:val="none" w:sz="0" w:space="0" w:color="auto"/>
        <w:left w:val="none" w:sz="0" w:space="0" w:color="auto"/>
        <w:bottom w:val="none" w:sz="0" w:space="0" w:color="auto"/>
        <w:right w:val="none" w:sz="0" w:space="0" w:color="auto"/>
      </w:divBdr>
    </w:div>
    <w:div w:id="265312081">
      <w:bodyDiv w:val="1"/>
      <w:marLeft w:val="0"/>
      <w:marRight w:val="0"/>
      <w:marTop w:val="0"/>
      <w:marBottom w:val="0"/>
      <w:divBdr>
        <w:top w:val="none" w:sz="0" w:space="0" w:color="auto"/>
        <w:left w:val="none" w:sz="0" w:space="0" w:color="auto"/>
        <w:bottom w:val="none" w:sz="0" w:space="0" w:color="auto"/>
        <w:right w:val="none" w:sz="0" w:space="0" w:color="auto"/>
      </w:divBdr>
    </w:div>
    <w:div w:id="269430763">
      <w:bodyDiv w:val="1"/>
      <w:marLeft w:val="0"/>
      <w:marRight w:val="0"/>
      <w:marTop w:val="0"/>
      <w:marBottom w:val="0"/>
      <w:divBdr>
        <w:top w:val="none" w:sz="0" w:space="0" w:color="auto"/>
        <w:left w:val="none" w:sz="0" w:space="0" w:color="auto"/>
        <w:bottom w:val="none" w:sz="0" w:space="0" w:color="auto"/>
        <w:right w:val="none" w:sz="0" w:space="0" w:color="auto"/>
      </w:divBdr>
    </w:div>
    <w:div w:id="272712309">
      <w:bodyDiv w:val="1"/>
      <w:marLeft w:val="0"/>
      <w:marRight w:val="0"/>
      <w:marTop w:val="0"/>
      <w:marBottom w:val="0"/>
      <w:divBdr>
        <w:top w:val="none" w:sz="0" w:space="0" w:color="auto"/>
        <w:left w:val="none" w:sz="0" w:space="0" w:color="auto"/>
        <w:bottom w:val="none" w:sz="0" w:space="0" w:color="auto"/>
        <w:right w:val="none" w:sz="0" w:space="0" w:color="auto"/>
      </w:divBdr>
      <w:divsChild>
        <w:div w:id="577518383">
          <w:marLeft w:val="0"/>
          <w:marRight w:val="0"/>
          <w:marTop w:val="0"/>
          <w:marBottom w:val="0"/>
          <w:divBdr>
            <w:top w:val="none" w:sz="0" w:space="0" w:color="auto"/>
            <w:left w:val="none" w:sz="0" w:space="0" w:color="auto"/>
            <w:bottom w:val="none" w:sz="0" w:space="0" w:color="auto"/>
            <w:right w:val="none" w:sz="0" w:space="0" w:color="auto"/>
          </w:divBdr>
        </w:div>
      </w:divsChild>
    </w:div>
    <w:div w:id="274824232">
      <w:bodyDiv w:val="1"/>
      <w:marLeft w:val="0"/>
      <w:marRight w:val="0"/>
      <w:marTop w:val="0"/>
      <w:marBottom w:val="0"/>
      <w:divBdr>
        <w:top w:val="none" w:sz="0" w:space="0" w:color="auto"/>
        <w:left w:val="none" w:sz="0" w:space="0" w:color="auto"/>
        <w:bottom w:val="none" w:sz="0" w:space="0" w:color="auto"/>
        <w:right w:val="none" w:sz="0" w:space="0" w:color="auto"/>
      </w:divBdr>
    </w:div>
    <w:div w:id="282468937">
      <w:bodyDiv w:val="1"/>
      <w:marLeft w:val="0"/>
      <w:marRight w:val="0"/>
      <w:marTop w:val="0"/>
      <w:marBottom w:val="0"/>
      <w:divBdr>
        <w:top w:val="none" w:sz="0" w:space="0" w:color="auto"/>
        <w:left w:val="none" w:sz="0" w:space="0" w:color="auto"/>
        <w:bottom w:val="none" w:sz="0" w:space="0" w:color="auto"/>
        <w:right w:val="none" w:sz="0" w:space="0" w:color="auto"/>
      </w:divBdr>
    </w:div>
    <w:div w:id="284896485">
      <w:bodyDiv w:val="1"/>
      <w:marLeft w:val="0"/>
      <w:marRight w:val="0"/>
      <w:marTop w:val="0"/>
      <w:marBottom w:val="0"/>
      <w:divBdr>
        <w:top w:val="none" w:sz="0" w:space="0" w:color="auto"/>
        <w:left w:val="none" w:sz="0" w:space="0" w:color="auto"/>
        <w:bottom w:val="none" w:sz="0" w:space="0" w:color="auto"/>
        <w:right w:val="none" w:sz="0" w:space="0" w:color="auto"/>
      </w:divBdr>
    </w:div>
    <w:div w:id="290862051">
      <w:bodyDiv w:val="1"/>
      <w:marLeft w:val="0"/>
      <w:marRight w:val="0"/>
      <w:marTop w:val="0"/>
      <w:marBottom w:val="0"/>
      <w:divBdr>
        <w:top w:val="none" w:sz="0" w:space="0" w:color="auto"/>
        <w:left w:val="none" w:sz="0" w:space="0" w:color="auto"/>
        <w:bottom w:val="none" w:sz="0" w:space="0" w:color="auto"/>
        <w:right w:val="none" w:sz="0" w:space="0" w:color="auto"/>
      </w:divBdr>
      <w:divsChild>
        <w:div w:id="1393046095">
          <w:marLeft w:val="0"/>
          <w:marRight w:val="0"/>
          <w:marTop w:val="0"/>
          <w:marBottom w:val="0"/>
          <w:divBdr>
            <w:top w:val="none" w:sz="0" w:space="0" w:color="auto"/>
            <w:left w:val="none" w:sz="0" w:space="0" w:color="auto"/>
            <w:bottom w:val="none" w:sz="0" w:space="0" w:color="auto"/>
            <w:right w:val="none" w:sz="0" w:space="0" w:color="auto"/>
          </w:divBdr>
        </w:div>
      </w:divsChild>
    </w:div>
    <w:div w:id="296909441">
      <w:bodyDiv w:val="1"/>
      <w:marLeft w:val="0"/>
      <w:marRight w:val="0"/>
      <w:marTop w:val="0"/>
      <w:marBottom w:val="0"/>
      <w:divBdr>
        <w:top w:val="none" w:sz="0" w:space="0" w:color="auto"/>
        <w:left w:val="none" w:sz="0" w:space="0" w:color="auto"/>
        <w:bottom w:val="none" w:sz="0" w:space="0" w:color="auto"/>
        <w:right w:val="none" w:sz="0" w:space="0" w:color="auto"/>
      </w:divBdr>
    </w:div>
    <w:div w:id="297104362">
      <w:bodyDiv w:val="1"/>
      <w:marLeft w:val="0"/>
      <w:marRight w:val="0"/>
      <w:marTop w:val="0"/>
      <w:marBottom w:val="0"/>
      <w:divBdr>
        <w:top w:val="none" w:sz="0" w:space="0" w:color="auto"/>
        <w:left w:val="none" w:sz="0" w:space="0" w:color="auto"/>
        <w:bottom w:val="none" w:sz="0" w:space="0" w:color="auto"/>
        <w:right w:val="none" w:sz="0" w:space="0" w:color="auto"/>
      </w:divBdr>
    </w:div>
    <w:div w:id="298537584">
      <w:bodyDiv w:val="1"/>
      <w:marLeft w:val="0"/>
      <w:marRight w:val="0"/>
      <w:marTop w:val="0"/>
      <w:marBottom w:val="0"/>
      <w:divBdr>
        <w:top w:val="none" w:sz="0" w:space="0" w:color="auto"/>
        <w:left w:val="none" w:sz="0" w:space="0" w:color="auto"/>
        <w:bottom w:val="none" w:sz="0" w:space="0" w:color="auto"/>
        <w:right w:val="none" w:sz="0" w:space="0" w:color="auto"/>
      </w:divBdr>
    </w:div>
    <w:div w:id="298927243">
      <w:bodyDiv w:val="1"/>
      <w:marLeft w:val="0"/>
      <w:marRight w:val="0"/>
      <w:marTop w:val="0"/>
      <w:marBottom w:val="0"/>
      <w:divBdr>
        <w:top w:val="none" w:sz="0" w:space="0" w:color="auto"/>
        <w:left w:val="none" w:sz="0" w:space="0" w:color="auto"/>
        <w:bottom w:val="none" w:sz="0" w:space="0" w:color="auto"/>
        <w:right w:val="none" w:sz="0" w:space="0" w:color="auto"/>
      </w:divBdr>
    </w:div>
    <w:div w:id="302085489">
      <w:bodyDiv w:val="1"/>
      <w:marLeft w:val="0"/>
      <w:marRight w:val="0"/>
      <w:marTop w:val="0"/>
      <w:marBottom w:val="0"/>
      <w:divBdr>
        <w:top w:val="none" w:sz="0" w:space="0" w:color="auto"/>
        <w:left w:val="none" w:sz="0" w:space="0" w:color="auto"/>
        <w:bottom w:val="none" w:sz="0" w:space="0" w:color="auto"/>
        <w:right w:val="none" w:sz="0" w:space="0" w:color="auto"/>
      </w:divBdr>
    </w:div>
    <w:div w:id="311107177">
      <w:bodyDiv w:val="1"/>
      <w:marLeft w:val="0"/>
      <w:marRight w:val="0"/>
      <w:marTop w:val="0"/>
      <w:marBottom w:val="0"/>
      <w:divBdr>
        <w:top w:val="none" w:sz="0" w:space="0" w:color="auto"/>
        <w:left w:val="none" w:sz="0" w:space="0" w:color="auto"/>
        <w:bottom w:val="none" w:sz="0" w:space="0" w:color="auto"/>
        <w:right w:val="none" w:sz="0" w:space="0" w:color="auto"/>
      </w:divBdr>
    </w:div>
    <w:div w:id="313486464">
      <w:bodyDiv w:val="1"/>
      <w:marLeft w:val="0"/>
      <w:marRight w:val="0"/>
      <w:marTop w:val="0"/>
      <w:marBottom w:val="0"/>
      <w:divBdr>
        <w:top w:val="none" w:sz="0" w:space="0" w:color="auto"/>
        <w:left w:val="none" w:sz="0" w:space="0" w:color="auto"/>
        <w:bottom w:val="none" w:sz="0" w:space="0" w:color="auto"/>
        <w:right w:val="none" w:sz="0" w:space="0" w:color="auto"/>
      </w:divBdr>
    </w:div>
    <w:div w:id="317805665">
      <w:bodyDiv w:val="1"/>
      <w:marLeft w:val="0"/>
      <w:marRight w:val="0"/>
      <w:marTop w:val="0"/>
      <w:marBottom w:val="0"/>
      <w:divBdr>
        <w:top w:val="none" w:sz="0" w:space="0" w:color="auto"/>
        <w:left w:val="none" w:sz="0" w:space="0" w:color="auto"/>
        <w:bottom w:val="none" w:sz="0" w:space="0" w:color="auto"/>
        <w:right w:val="none" w:sz="0" w:space="0" w:color="auto"/>
      </w:divBdr>
      <w:divsChild>
        <w:div w:id="676078625">
          <w:marLeft w:val="0"/>
          <w:marRight w:val="0"/>
          <w:marTop w:val="0"/>
          <w:marBottom w:val="0"/>
          <w:divBdr>
            <w:top w:val="none" w:sz="0" w:space="0" w:color="auto"/>
            <w:left w:val="none" w:sz="0" w:space="0" w:color="auto"/>
            <w:bottom w:val="none" w:sz="0" w:space="0" w:color="auto"/>
            <w:right w:val="none" w:sz="0" w:space="0" w:color="auto"/>
          </w:divBdr>
        </w:div>
      </w:divsChild>
    </w:div>
    <w:div w:id="319693200">
      <w:bodyDiv w:val="1"/>
      <w:marLeft w:val="0"/>
      <w:marRight w:val="0"/>
      <w:marTop w:val="0"/>
      <w:marBottom w:val="0"/>
      <w:divBdr>
        <w:top w:val="none" w:sz="0" w:space="0" w:color="auto"/>
        <w:left w:val="none" w:sz="0" w:space="0" w:color="auto"/>
        <w:bottom w:val="none" w:sz="0" w:space="0" w:color="auto"/>
        <w:right w:val="none" w:sz="0" w:space="0" w:color="auto"/>
      </w:divBdr>
    </w:div>
    <w:div w:id="322973897">
      <w:bodyDiv w:val="1"/>
      <w:marLeft w:val="0"/>
      <w:marRight w:val="0"/>
      <w:marTop w:val="0"/>
      <w:marBottom w:val="0"/>
      <w:divBdr>
        <w:top w:val="none" w:sz="0" w:space="0" w:color="auto"/>
        <w:left w:val="none" w:sz="0" w:space="0" w:color="auto"/>
        <w:bottom w:val="none" w:sz="0" w:space="0" w:color="auto"/>
        <w:right w:val="none" w:sz="0" w:space="0" w:color="auto"/>
      </w:divBdr>
    </w:div>
    <w:div w:id="324825936">
      <w:bodyDiv w:val="1"/>
      <w:marLeft w:val="0"/>
      <w:marRight w:val="0"/>
      <w:marTop w:val="0"/>
      <w:marBottom w:val="0"/>
      <w:divBdr>
        <w:top w:val="none" w:sz="0" w:space="0" w:color="auto"/>
        <w:left w:val="none" w:sz="0" w:space="0" w:color="auto"/>
        <w:bottom w:val="none" w:sz="0" w:space="0" w:color="auto"/>
        <w:right w:val="none" w:sz="0" w:space="0" w:color="auto"/>
      </w:divBdr>
      <w:divsChild>
        <w:div w:id="973870505">
          <w:marLeft w:val="0"/>
          <w:marRight w:val="0"/>
          <w:marTop w:val="0"/>
          <w:marBottom w:val="0"/>
          <w:divBdr>
            <w:top w:val="none" w:sz="0" w:space="0" w:color="auto"/>
            <w:left w:val="none" w:sz="0" w:space="0" w:color="auto"/>
            <w:bottom w:val="none" w:sz="0" w:space="0" w:color="auto"/>
            <w:right w:val="none" w:sz="0" w:space="0" w:color="auto"/>
          </w:divBdr>
        </w:div>
      </w:divsChild>
    </w:div>
    <w:div w:id="328563913">
      <w:bodyDiv w:val="1"/>
      <w:marLeft w:val="0"/>
      <w:marRight w:val="0"/>
      <w:marTop w:val="0"/>
      <w:marBottom w:val="0"/>
      <w:divBdr>
        <w:top w:val="none" w:sz="0" w:space="0" w:color="auto"/>
        <w:left w:val="none" w:sz="0" w:space="0" w:color="auto"/>
        <w:bottom w:val="none" w:sz="0" w:space="0" w:color="auto"/>
        <w:right w:val="none" w:sz="0" w:space="0" w:color="auto"/>
      </w:divBdr>
      <w:divsChild>
        <w:div w:id="608440138">
          <w:marLeft w:val="0"/>
          <w:marRight w:val="0"/>
          <w:marTop w:val="0"/>
          <w:marBottom w:val="0"/>
          <w:divBdr>
            <w:top w:val="none" w:sz="0" w:space="0" w:color="auto"/>
            <w:left w:val="none" w:sz="0" w:space="0" w:color="auto"/>
            <w:bottom w:val="none" w:sz="0" w:space="0" w:color="auto"/>
            <w:right w:val="none" w:sz="0" w:space="0" w:color="auto"/>
          </w:divBdr>
        </w:div>
      </w:divsChild>
    </w:div>
    <w:div w:id="332687329">
      <w:bodyDiv w:val="1"/>
      <w:marLeft w:val="0"/>
      <w:marRight w:val="0"/>
      <w:marTop w:val="0"/>
      <w:marBottom w:val="0"/>
      <w:divBdr>
        <w:top w:val="none" w:sz="0" w:space="0" w:color="auto"/>
        <w:left w:val="none" w:sz="0" w:space="0" w:color="auto"/>
        <w:bottom w:val="none" w:sz="0" w:space="0" w:color="auto"/>
        <w:right w:val="none" w:sz="0" w:space="0" w:color="auto"/>
      </w:divBdr>
      <w:divsChild>
        <w:div w:id="921988988">
          <w:marLeft w:val="0"/>
          <w:marRight w:val="0"/>
          <w:marTop w:val="0"/>
          <w:marBottom w:val="0"/>
          <w:divBdr>
            <w:top w:val="none" w:sz="0" w:space="0" w:color="auto"/>
            <w:left w:val="none" w:sz="0" w:space="0" w:color="auto"/>
            <w:bottom w:val="none" w:sz="0" w:space="0" w:color="auto"/>
            <w:right w:val="none" w:sz="0" w:space="0" w:color="auto"/>
          </w:divBdr>
        </w:div>
      </w:divsChild>
    </w:div>
    <w:div w:id="333799389">
      <w:bodyDiv w:val="1"/>
      <w:marLeft w:val="0"/>
      <w:marRight w:val="0"/>
      <w:marTop w:val="0"/>
      <w:marBottom w:val="0"/>
      <w:divBdr>
        <w:top w:val="none" w:sz="0" w:space="0" w:color="auto"/>
        <w:left w:val="none" w:sz="0" w:space="0" w:color="auto"/>
        <w:bottom w:val="none" w:sz="0" w:space="0" w:color="auto"/>
        <w:right w:val="none" w:sz="0" w:space="0" w:color="auto"/>
      </w:divBdr>
    </w:div>
    <w:div w:id="344945812">
      <w:bodyDiv w:val="1"/>
      <w:marLeft w:val="0"/>
      <w:marRight w:val="0"/>
      <w:marTop w:val="0"/>
      <w:marBottom w:val="0"/>
      <w:divBdr>
        <w:top w:val="none" w:sz="0" w:space="0" w:color="auto"/>
        <w:left w:val="none" w:sz="0" w:space="0" w:color="auto"/>
        <w:bottom w:val="none" w:sz="0" w:space="0" w:color="auto"/>
        <w:right w:val="none" w:sz="0" w:space="0" w:color="auto"/>
      </w:divBdr>
    </w:div>
    <w:div w:id="346444224">
      <w:bodyDiv w:val="1"/>
      <w:marLeft w:val="0"/>
      <w:marRight w:val="0"/>
      <w:marTop w:val="0"/>
      <w:marBottom w:val="0"/>
      <w:divBdr>
        <w:top w:val="none" w:sz="0" w:space="0" w:color="auto"/>
        <w:left w:val="none" w:sz="0" w:space="0" w:color="auto"/>
        <w:bottom w:val="none" w:sz="0" w:space="0" w:color="auto"/>
        <w:right w:val="none" w:sz="0" w:space="0" w:color="auto"/>
      </w:divBdr>
    </w:div>
    <w:div w:id="347755174">
      <w:bodyDiv w:val="1"/>
      <w:marLeft w:val="0"/>
      <w:marRight w:val="0"/>
      <w:marTop w:val="0"/>
      <w:marBottom w:val="0"/>
      <w:divBdr>
        <w:top w:val="none" w:sz="0" w:space="0" w:color="auto"/>
        <w:left w:val="none" w:sz="0" w:space="0" w:color="auto"/>
        <w:bottom w:val="none" w:sz="0" w:space="0" w:color="auto"/>
        <w:right w:val="none" w:sz="0" w:space="0" w:color="auto"/>
      </w:divBdr>
    </w:div>
    <w:div w:id="351878145">
      <w:bodyDiv w:val="1"/>
      <w:marLeft w:val="0"/>
      <w:marRight w:val="0"/>
      <w:marTop w:val="0"/>
      <w:marBottom w:val="0"/>
      <w:divBdr>
        <w:top w:val="none" w:sz="0" w:space="0" w:color="auto"/>
        <w:left w:val="none" w:sz="0" w:space="0" w:color="auto"/>
        <w:bottom w:val="none" w:sz="0" w:space="0" w:color="auto"/>
        <w:right w:val="none" w:sz="0" w:space="0" w:color="auto"/>
      </w:divBdr>
    </w:div>
    <w:div w:id="354044069">
      <w:bodyDiv w:val="1"/>
      <w:marLeft w:val="0"/>
      <w:marRight w:val="0"/>
      <w:marTop w:val="0"/>
      <w:marBottom w:val="0"/>
      <w:divBdr>
        <w:top w:val="none" w:sz="0" w:space="0" w:color="auto"/>
        <w:left w:val="none" w:sz="0" w:space="0" w:color="auto"/>
        <w:bottom w:val="none" w:sz="0" w:space="0" w:color="auto"/>
        <w:right w:val="none" w:sz="0" w:space="0" w:color="auto"/>
      </w:divBdr>
    </w:div>
    <w:div w:id="355930799">
      <w:bodyDiv w:val="1"/>
      <w:marLeft w:val="0"/>
      <w:marRight w:val="0"/>
      <w:marTop w:val="0"/>
      <w:marBottom w:val="0"/>
      <w:divBdr>
        <w:top w:val="none" w:sz="0" w:space="0" w:color="auto"/>
        <w:left w:val="none" w:sz="0" w:space="0" w:color="auto"/>
        <w:bottom w:val="none" w:sz="0" w:space="0" w:color="auto"/>
        <w:right w:val="none" w:sz="0" w:space="0" w:color="auto"/>
      </w:divBdr>
    </w:div>
    <w:div w:id="356198487">
      <w:bodyDiv w:val="1"/>
      <w:marLeft w:val="0"/>
      <w:marRight w:val="0"/>
      <w:marTop w:val="0"/>
      <w:marBottom w:val="0"/>
      <w:divBdr>
        <w:top w:val="none" w:sz="0" w:space="0" w:color="auto"/>
        <w:left w:val="none" w:sz="0" w:space="0" w:color="auto"/>
        <w:bottom w:val="none" w:sz="0" w:space="0" w:color="auto"/>
        <w:right w:val="none" w:sz="0" w:space="0" w:color="auto"/>
      </w:divBdr>
    </w:div>
    <w:div w:id="357849873">
      <w:bodyDiv w:val="1"/>
      <w:marLeft w:val="0"/>
      <w:marRight w:val="0"/>
      <w:marTop w:val="0"/>
      <w:marBottom w:val="0"/>
      <w:divBdr>
        <w:top w:val="none" w:sz="0" w:space="0" w:color="auto"/>
        <w:left w:val="none" w:sz="0" w:space="0" w:color="auto"/>
        <w:bottom w:val="none" w:sz="0" w:space="0" w:color="auto"/>
        <w:right w:val="none" w:sz="0" w:space="0" w:color="auto"/>
      </w:divBdr>
    </w:div>
    <w:div w:id="362562954">
      <w:bodyDiv w:val="1"/>
      <w:marLeft w:val="0"/>
      <w:marRight w:val="0"/>
      <w:marTop w:val="0"/>
      <w:marBottom w:val="0"/>
      <w:divBdr>
        <w:top w:val="none" w:sz="0" w:space="0" w:color="auto"/>
        <w:left w:val="none" w:sz="0" w:space="0" w:color="auto"/>
        <w:bottom w:val="none" w:sz="0" w:space="0" w:color="auto"/>
        <w:right w:val="none" w:sz="0" w:space="0" w:color="auto"/>
      </w:divBdr>
    </w:div>
    <w:div w:id="363481527">
      <w:bodyDiv w:val="1"/>
      <w:marLeft w:val="0"/>
      <w:marRight w:val="0"/>
      <w:marTop w:val="0"/>
      <w:marBottom w:val="0"/>
      <w:divBdr>
        <w:top w:val="none" w:sz="0" w:space="0" w:color="auto"/>
        <w:left w:val="none" w:sz="0" w:space="0" w:color="auto"/>
        <w:bottom w:val="none" w:sz="0" w:space="0" w:color="auto"/>
        <w:right w:val="none" w:sz="0" w:space="0" w:color="auto"/>
      </w:divBdr>
    </w:div>
    <w:div w:id="364453159">
      <w:bodyDiv w:val="1"/>
      <w:marLeft w:val="0"/>
      <w:marRight w:val="0"/>
      <w:marTop w:val="0"/>
      <w:marBottom w:val="0"/>
      <w:divBdr>
        <w:top w:val="none" w:sz="0" w:space="0" w:color="auto"/>
        <w:left w:val="none" w:sz="0" w:space="0" w:color="auto"/>
        <w:bottom w:val="none" w:sz="0" w:space="0" w:color="auto"/>
        <w:right w:val="none" w:sz="0" w:space="0" w:color="auto"/>
      </w:divBdr>
    </w:div>
    <w:div w:id="364713951">
      <w:bodyDiv w:val="1"/>
      <w:marLeft w:val="0"/>
      <w:marRight w:val="0"/>
      <w:marTop w:val="0"/>
      <w:marBottom w:val="0"/>
      <w:divBdr>
        <w:top w:val="none" w:sz="0" w:space="0" w:color="auto"/>
        <w:left w:val="none" w:sz="0" w:space="0" w:color="auto"/>
        <w:bottom w:val="none" w:sz="0" w:space="0" w:color="auto"/>
        <w:right w:val="none" w:sz="0" w:space="0" w:color="auto"/>
      </w:divBdr>
    </w:div>
    <w:div w:id="376273088">
      <w:bodyDiv w:val="1"/>
      <w:marLeft w:val="0"/>
      <w:marRight w:val="0"/>
      <w:marTop w:val="0"/>
      <w:marBottom w:val="0"/>
      <w:divBdr>
        <w:top w:val="none" w:sz="0" w:space="0" w:color="auto"/>
        <w:left w:val="none" w:sz="0" w:space="0" w:color="auto"/>
        <w:bottom w:val="none" w:sz="0" w:space="0" w:color="auto"/>
        <w:right w:val="none" w:sz="0" w:space="0" w:color="auto"/>
      </w:divBdr>
      <w:divsChild>
        <w:div w:id="2062747489">
          <w:marLeft w:val="0"/>
          <w:marRight w:val="0"/>
          <w:marTop w:val="0"/>
          <w:marBottom w:val="0"/>
          <w:divBdr>
            <w:top w:val="none" w:sz="0" w:space="0" w:color="auto"/>
            <w:left w:val="none" w:sz="0" w:space="0" w:color="auto"/>
            <w:bottom w:val="none" w:sz="0" w:space="0" w:color="auto"/>
            <w:right w:val="none" w:sz="0" w:space="0" w:color="auto"/>
          </w:divBdr>
        </w:div>
      </w:divsChild>
    </w:div>
    <w:div w:id="378936131">
      <w:bodyDiv w:val="1"/>
      <w:marLeft w:val="0"/>
      <w:marRight w:val="0"/>
      <w:marTop w:val="0"/>
      <w:marBottom w:val="0"/>
      <w:divBdr>
        <w:top w:val="none" w:sz="0" w:space="0" w:color="auto"/>
        <w:left w:val="none" w:sz="0" w:space="0" w:color="auto"/>
        <w:bottom w:val="none" w:sz="0" w:space="0" w:color="auto"/>
        <w:right w:val="none" w:sz="0" w:space="0" w:color="auto"/>
      </w:divBdr>
      <w:divsChild>
        <w:div w:id="397171455">
          <w:marLeft w:val="0"/>
          <w:marRight w:val="0"/>
          <w:marTop w:val="0"/>
          <w:marBottom w:val="0"/>
          <w:divBdr>
            <w:top w:val="none" w:sz="0" w:space="0" w:color="auto"/>
            <w:left w:val="none" w:sz="0" w:space="0" w:color="auto"/>
            <w:bottom w:val="none" w:sz="0" w:space="0" w:color="auto"/>
            <w:right w:val="none" w:sz="0" w:space="0" w:color="auto"/>
          </w:divBdr>
        </w:div>
      </w:divsChild>
    </w:div>
    <w:div w:id="383061406">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393967302">
      <w:bodyDiv w:val="1"/>
      <w:marLeft w:val="0"/>
      <w:marRight w:val="0"/>
      <w:marTop w:val="0"/>
      <w:marBottom w:val="0"/>
      <w:divBdr>
        <w:top w:val="none" w:sz="0" w:space="0" w:color="auto"/>
        <w:left w:val="none" w:sz="0" w:space="0" w:color="auto"/>
        <w:bottom w:val="none" w:sz="0" w:space="0" w:color="auto"/>
        <w:right w:val="none" w:sz="0" w:space="0" w:color="auto"/>
      </w:divBdr>
      <w:divsChild>
        <w:div w:id="292910642">
          <w:marLeft w:val="0"/>
          <w:marRight w:val="0"/>
          <w:marTop w:val="0"/>
          <w:marBottom w:val="0"/>
          <w:divBdr>
            <w:top w:val="none" w:sz="0" w:space="0" w:color="auto"/>
            <w:left w:val="none" w:sz="0" w:space="0" w:color="auto"/>
            <w:bottom w:val="none" w:sz="0" w:space="0" w:color="auto"/>
            <w:right w:val="none" w:sz="0" w:space="0" w:color="auto"/>
          </w:divBdr>
        </w:div>
      </w:divsChild>
    </w:div>
    <w:div w:id="395857698">
      <w:bodyDiv w:val="1"/>
      <w:marLeft w:val="0"/>
      <w:marRight w:val="0"/>
      <w:marTop w:val="0"/>
      <w:marBottom w:val="0"/>
      <w:divBdr>
        <w:top w:val="none" w:sz="0" w:space="0" w:color="auto"/>
        <w:left w:val="none" w:sz="0" w:space="0" w:color="auto"/>
        <w:bottom w:val="none" w:sz="0" w:space="0" w:color="auto"/>
        <w:right w:val="none" w:sz="0" w:space="0" w:color="auto"/>
      </w:divBdr>
    </w:div>
    <w:div w:id="409544110">
      <w:bodyDiv w:val="1"/>
      <w:marLeft w:val="0"/>
      <w:marRight w:val="0"/>
      <w:marTop w:val="0"/>
      <w:marBottom w:val="0"/>
      <w:divBdr>
        <w:top w:val="none" w:sz="0" w:space="0" w:color="auto"/>
        <w:left w:val="none" w:sz="0" w:space="0" w:color="auto"/>
        <w:bottom w:val="none" w:sz="0" w:space="0" w:color="auto"/>
        <w:right w:val="none" w:sz="0" w:space="0" w:color="auto"/>
      </w:divBdr>
      <w:divsChild>
        <w:div w:id="2018533747">
          <w:marLeft w:val="0"/>
          <w:marRight w:val="0"/>
          <w:marTop w:val="0"/>
          <w:marBottom w:val="0"/>
          <w:divBdr>
            <w:top w:val="none" w:sz="0" w:space="0" w:color="auto"/>
            <w:left w:val="none" w:sz="0" w:space="0" w:color="auto"/>
            <w:bottom w:val="none" w:sz="0" w:space="0" w:color="auto"/>
            <w:right w:val="none" w:sz="0" w:space="0" w:color="auto"/>
          </w:divBdr>
        </w:div>
      </w:divsChild>
    </w:div>
    <w:div w:id="411245935">
      <w:bodyDiv w:val="1"/>
      <w:marLeft w:val="0"/>
      <w:marRight w:val="0"/>
      <w:marTop w:val="0"/>
      <w:marBottom w:val="0"/>
      <w:divBdr>
        <w:top w:val="none" w:sz="0" w:space="0" w:color="auto"/>
        <w:left w:val="none" w:sz="0" w:space="0" w:color="auto"/>
        <w:bottom w:val="none" w:sz="0" w:space="0" w:color="auto"/>
        <w:right w:val="none" w:sz="0" w:space="0" w:color="auto"/>
      </w:divBdr>
      <w:divsChild>
        <w:div w:id="1260597522">
          <w:marLeft w:val="0"/>
          <w:marRight w:val="0"/>
          <w:marTop w:val="0"/>
          <w:marBottom w:val="0"/>
          <w:divBdr>
            <w:top w:val="none" w:sz="0" w:space="0" w:color="auto"/>
            <w:left w:val="none" w:sz="0" w:space="0" w:color="auto"/>
            <w:bottom w:val="none" w:sz="0" w:space="0" w:color="auto"/>
            <w:right w:val="none" w:sz="0" w:space="0" w:color="auto"/>
          </w:divBdr>
        </w:div>
      </w:divsChild>
    </w:div>
    <w:div w:id="413744695">
      <w:bodyDiv w:val="1"/>
      <w:marLeft w:val="0"/>
      <w:marRight w:val="0"/>
      <w:marTop w:val="0"/>
      <w:marBottom w:val="0"/>
      <w:divBdr>
        <w:top w:val="none" w:sz="0" w:space="0" w:color="auto"/>
        <w:left w:val="none" w:sz="0" w:space="0" w:color="auto"/>
        <w:bottom w:val="none" w:sz="0" w:space="0" w:color="auto"/>
        <w:right w:val="none" w:sz="0" w:space="0" w:color="auto"/>
      </w:divBdr>
    </w:div>
    <w:div w:id="414669969">
      <w:bodyDiv w:val="1"/>
      <w:marLeft w:val="0"/>
      <w:marRight w:val="0"/>
      <w:marTop w:val="0"/>
      <w:marBottom w:val="0"/>
      <w:divBdr>
        <w:top w:val="none" w:sz="0" w:space="0" w:color="auto"/>
        <w:left w:val="none" w:sz="0" w:space="0" w:color="auto"/>
        <w:bottom w:val="none" w:sz="0" w:space="0" w:color="auto"/>
        <w:right w:val="none" w:sz="0" w:space="0" w:color="auto"/>
      </w:divBdr>
    </w:div>
    <w:div w:id="424806924">
      <w:bodyDiv w:val="1"/>
      <w:marLeft w:val="0"/>
      <w:marRight w:val="0"/>
      <w:marTop w:val="0"/>
      <w:marBottom w:val="0"/>
      <w:divBdr>
        <w:top w:val="none" w:sz="0" w:space="0" w:color="auto"/>
        <w:left w:val="none" w:sz="0" w:space="0" w:color="auto"/>
        <w:bottom w:val="none" w:sz="0" w:space="0" w:color="auto"/>
        <w:right w:val="none" w:sz="0" w:space="0" w:color="auto"/>
      </w:divBdr>
    </w:div>
    <w:div w:id="426777904">
      <w:bodyDiv w:val="1"/>
      <w:marLeft w:val="0"/>
      <w:marRight w:val="0"/>
      <w:marTop w:val="0"/>
      <w:marBottom w:val="0"/>
      <w:divBdr>
        <w:top w:val="none" w:sz="0" w:space="0" w:color="auto"/>
        <w:left w:val="none" w:sz="0" w:space="0" w:color="auto"/>
        <w:bottom w:val="none" w:sz="0" w:space="0" w:color="auto"/>
        <w:right w:val="none" w:sz="0" w:space="0" w:color="auto"/>
      </w:divBdr>
    </w:div>
    <w:div w:id="429088744">
      <w:bodyDiv w:val="1"/>
      <w:marLeft w:val="0"/>
      <w:marRight w:val="0"/>
      <w:marTop w:val="0"/>
      <w:marBottom w:val="0"/>
      <w:divBdr>
        <w:top w:val="none" w:sz="0" w:space="0" w:color="auto"/>
        <w:left w:val="none" w:sz="0" w:space="0" w:color="auto"/>
        <w:bottom w:val="none" w:sz="0" w:space="0" w:color="auto"/>
        <w:right w:val="none" w:sz="0" w:space="0" w:color="auto"/>
      </w:divBdr>
    </w:div>
    <w:div w:id="430593590">
      <w:bodyDiv w:val="1"/>
      <w:marLeft w:val="0"/>
      <w:marRight w:val="0"/>
      <w:marTop w:val="0"/>
      <w:marBottom w:val="0"/>
      <w:divBdr>
        <w:top w:val="none" w:sz="0" w:space="0" w:color="auto"/>
        <w:left w:val="none" w:sz="0" w:space="0" w:color="auto"/>
        <w:bottom w:val="none" w:sz="0" w:space="0" w:color="auto"/>
        <w:right w:val="none" w:sz="0" w:space="0" w:color="auto"/>
      </w:divBdr>
    </w:div>
    <w:div w:id="434712925">
      <w:bodyDiv w:val="1"/>
      <w:marLeft w:val="0"/>
      <w:marRight w:val="0"/>
      <w:marTop w:val="0"/>
      <w:marBottom w:val="0"/>
      <w:divBdr>
        <w:top w:val="none" w:sz="0" w:space="0" w:color="auto"/>
        <w:left w:val="none" w:sz="0" w:space="0" w:color="auto"/>
        <w:bottom w:val="none" w:sz="0" w:space="0" w:color="auto"/>
        <w:right w:val="none" w:sz="0" w:space="0" w:color="auto"/>
      </w:divBdr>
    </w:div>
    <w:div w:id="437602874">
      <w:bodyDiv w:val="1"/>
      <w:marLeft w:val="0"/>
      <w:marRight w:val="0"/>
      <w:marTop w:val="0"/>
      <w:marBottom w:val="0"/>
      <w:divBdr>
        <w:top w:val="none" w:sz="0" w:space="0" w:color="auto"/>
        <w:left w:val="none" w:sz="0" w:space="0" w:color="auto"/>
        <w:bottom w:val="none" w:sz="0" w:space="0" w:color="auto"/>
        <w:right w:val="none" w:sz="0" w:space="0" w:color="auto"/>
      </w:divBdr>
    </w:div>
    <w:div w:id="441342622">
      <w:bodyDiv w:val="1"/>
      <w:marLeft w:val="0"/>
      <w:marRight w:val="0"/>
      <w:marTop w:val="0"/>
      <w:marBottom w:val="0"/>
      <w:divBdr>
        <w:top w:val="none" w:sz="0" w:space="0" w:color="auto"/>
        <w:left w:val="none" w:sz="0" w:space="0" w:color="auto"/>
        <w:bottom w:val="none" w:sz="0" w:space="0" w:color="auto"/>
        <w:right w:val="none" w:sz="0" w:space="0" w:color="auto"/>
      </w:divBdr>
    </w:div>
    <w:div w:id="441804903">
      <w:bodyDiv w:val="1"/>
      <w:marLeft w:val="0"/>
      <w:marRight w:val="0"/>
      <w:marTop w:val="0"/>
      <w:marBottom w:val="0"/>
      <w:divBdr>
        <w:top w:val="none" w:sz="0" w:space="0" w:color="auto"/>
        <w:left w:val="none" w:sz="0" w:space="0" w:color="auto"/>
        <w:bottom w:val="none" w:sz="0" w:space="0" w:color="auto"/>
        <w:right w:val="none" w:sz="0" w:space="0" w:color="auto"/>
      </w:divBdr>
      <w:divsChild>
        <w:div w:id="904991462">
          <w:marLeft w:val="0"/>
          <w:marRight w:val="0"/>
          <w:marTop w:val="0"/>
          <w:marBottom w:val="0"/>
          <w:divBdr>
            <w:top w:val="none" w:sz="0" w:space="0" w:color="auto"/>
            <w:left w:val="none" w:sz="0" w:space="0" w:color="auto"/>
            <w:bottom w:val="none" w:sz="0" w:space="0" w:color="auto"/>
            <w:right w:val="none" w:sz="0" w:space="0" w:color="auto"/>
          </w:divBdr>
        </w:div>
      </w:divsChild>
    </w:div>
    <w:div w:id="442186711">
      <w:bodyDiv w:val="1"/>
      <w:marLeft w:val="0"/>
      <w:marRight w:val="0"/>
      <w:marTop w:val="0"/>
      <w:marBottom w:val="0"/>
      <w:divBdr>
        <w:top w:val="none" w:sz="0" w:space="0" w:color="auto"/>
        <w:left w:val="none" w:sz="0" w:space="0" w:color="auto"/>
        <w:bottom w:val="none" w:sz="0" w:space="0" w:color="auto"/>
        <w:right w:val="none" w:sz="0" w:space="0" w:color="auto"/>
      </w:divBdr>
    </w:div>
    <w:div w:id="449975904">
      <w:bodyDiv w:val="1"/>
      <w:marLeft w:val="0"/>
      <w:marRight w:val="0"/>
      <w:marTop w:val="0"/>
      <w:marBottom w:val="0"/>
      <w:divBdr>
        <w:top w:val="none" w:sz="0" w:space="0" w:color="auto"/>
        <w:left w:val="none" w:sz="0" w:space="0" w:color="auto"/>
        <w:bottom w:val="none" w:sz="0" w:space="0" w:color="auto"/>
        <w:right w:val="none" w:sz="0" w:space="0" w:color="auto"/>
      </w:divBdr>
    </w:div>
    <w:div w:id="454446231">
      <w:bodyDiv w:val="1"/>
      <w:marLeft w:val="0"/>
      <w:marRight w:val="0"/>
      <w:marTop w:val="0"/>
      <w:marBottom w:val="0"/>
      <w:divBdr>
        <w:top w:val="none" w:sz="0" w:space="0" w:color="auto"/>
        <w:left w:val="none" w:sz="0" w:space="0" w:color="auto"/>
        <w:bottom w:val="none" w:sz="0" w:space="0" w:color="auto"/>
        <w:right w:val="none" w:sz="0" w:space="0" w:color="auto"/>
      </w:divBdr>
    </w:div>
    <w:div w:id="472143549">
      <w:bodyDiv w:val="1"/>
      <w:marLeft w:val="0"/>
      <w:marRight w:val="0"/>
      <w:marTop w:val="0"/>
      <w:marBottom w:val="0"/>
      <w:divBdr>
        <w:top w:val="none" w:sz="0" w:space="0" w:color="auto"/>
        <w:left w:val="none" w:sz="0" w:space="0" w:color="auto"/>
        <w:bottom w:val="none" w:sz="0" w:space="0" w:color="auto"/>
        <w:right w:val="none" w:sz="0" w:space="0" w:color="auto"/>
      </w:divBdr>
      <w:divsChild>
        <w:div w:id="631637877">
          <w:marLeft w:val="0"/>
          <w:marRight w:val="0"/>
          <w:marTop w:val="0"/>
          <w:marBottom w:val="0"/>
          <w:divBdr>
            <w:top w:val="none" w:sz="0" w:space="0" w:color="auto"/>
            <w:left w:val="none" w:sz="0" w:space="0" w:color="auto"/>
            <w:bottom w:val="none" w:sz="0" w:space="0" w:color="auto"/>
            <w:right w:val="none" w:sz="0" w:space="0" w:color="auto"/>
          </w:divBdr>
        </w:div>
      </w:divsChild>
    </w:div>
    <w:div w:id="472523951">
      <w:bodyDiv w:val="1"/>
      <w:marLeft w:val="0"/>
      <w:marRight w:val="0"/>
      <w:marTop w:val="0"/>
      <w:marBottom w:val="0"/>
      <w:divBdr>
        <w:top w:val="none" w:sz="0" w:space="0" w:color="auto"/>
        <w:left w:val="none" w:sz="0" w:space="0" w:color="auto"/>
        <w:bottom w:val="none" w:sz="0" w:space="0" w:color="auto"/>
        <w:right w:val="none" w:sz="0" w:space="0" w:color="auto"/>
      </w:divBdr>
    </w:div>
    <w:div w:id="480081646">
      <w:bodyDiv w:val="1"/>
      <w:marLeft w:val="0"/>
      <w:marRight w:val="0"/>
      <w:marTop w:val="0"/>
      <w:marBottom w:val="0"/>
      <w:divBdr>
        <w:top w:val="none" w:sz="0" w:space="0" w:color="auto"/>
        <w:left w:val="none" w:sz="0" w:space="0" w:color="auto"/>
        <w:bottom w:val="none" w:sz="0" w:space="0" w:color="auto"/>
        <w:right w:val="none" w:sz="0" w:space="0" w:color="auto"/>
      </w:divBdr>
    </w:div>
    <w:div w:id="483467798">
      <w:bodyDiv w:val="1"/>
      <w:marLeft w:val="0"/>
      <w:marRight w:val="0"/>
      <w:marTop w:val="0"/>
      <w:marBottom w:val="0"/>
      <w:divBdr>
        <w:top w:val="none" w:sz="0" w:space="0" w:color="auto"/>
        <w:left w:val="none" w:sz="0" w:space="0" w:color="auto"/>
        <w:bottom w:val="none" w:sz="0" w:space="0" w:color="auto"/>
        <w:right w:val="none" w:sz="0" w:space="0" w:color="auto"/>
      </w:divBdr>
      <w:divsChild>
        <w:div w:id="365377530">
          <w:marLeft w:val="0"/>
          <w:marRight w:val="0"/>
          <w:marTop w:val="0"/>
          <w:marBottom w:val="0"/>
          <w:divBdr>
            <w:top w:val="none" w:sz="0" w:space="0" w:color="auto"/>
            <w:left w:val="none" w:sz="0" w:space="0" w:color="auto"/>
            <w:bottom w:val="none" w:sz="0" w:space="0" w:color="auto"/>
            <w:right w:val="none" w:sz="0" w:space="0" w:color="auto"/>
          </w:divBdr>
        </w:div>
      </w:divsChild>
    </w:div>
    <w:div w:id="492526819">
      <w:bodyDiv w:val="1"/>
      <w:marLeft w:val="0"/>
      <w:marRight w:val="0"/>
      <w:marTop w:val="0"/>
      <w:marBottom w:val="0"/>
      <w:divBdr>
        <w:top w:val="none" w:sz="0" w:space="0" w:color="auto"/>
        <w:left w:val="none" w:sz="0" w:space="0" w:color="auto"/>
        <w:bottom w:val="none" w:sz="0" w:space="0" w:color="auto"/>
        <w:right w:val="none" w:sz="0" w:space="0" w:color="auto"/>
      </w:divBdr>
    </w:div>
    <w:div w:id="495460265">
      <w:bodyDiv w:val="1"/>
      <w:marLeft w:val="0"/>
      <w:marRight w:val="0"/>
      <w:marTop w:val="0"/>
      <w:marBottom w:val="0"/>
      <w:divBdr>
        <w:top w:val="none" w:sz="0" w:space="0" w:color="auto"/>
        <w:left w:val="none" w:sz="0" w:space="0" w:color="auto"/>
        <w:bottom w:val="none" w:sz="0" w:space="0" w:color="auto"/>
        <w:right w:val="none" w:sz="0" w:space="0" w:color="auto"/>
      </w:divBdr>
    </w:div>
    <w:div w:id="496697704">
      <w:bodyDiv w:val="1"/>
      <w:marLeft w:val="0"/>
      <w:marRight w:val="0"/>
      <w:marTop w:val="0"/>
      <w:marBottom w:val="0"/>
      <w:divBdr>
        <w:top w:val="none" w:sz="0" w:space="0" w:color="auto"/>
        <w:left w:val="none" w:sz="0" w:space="0" w:color="auto"/>
        <w:bottom w:val="none" w:sz="0" w:space="0" w:color="auto"/>
        <w:right w:val="none" w:sz="0" w:space="0" w:color="auto"/>
      </w:divBdr>
    </w:div>
    <w:div w:id="499346979">
      <w:bodyDiv w:val="1"/>
      <w:marLeft w:val="0"/>
      <w:marRight w:val="0"/>
      <w:marTop w:val="0"/>
      <w:marBottom w:val="0"/>
      <w:divBdr>
        <w:top w:val="none" w:sz="0" w:space="0" w:color="auto"/>
        <w:left w:val="none" w:sz="0" w:space="0" w:color="auto"/>
        <w:bottom w:val="none" w:sz="0" w:space="0" w:color="auto"/>
        <w:right w:val="none" w:sz="0" w:space="0" w:color="auto"/>
      </w:divBdr>
    </w:div>
    <w:div w:id="500512180">
      <w:bodyDiv w:val="1"/>
      <w:marLeft w:val="0"/>
      <w:marRight w:val="0"/>
      <w:marTop w:val="0"/>
      <w:marBottom w:val="0"/>
      <w:divBdr>
        <w:top w:val="none" w:sz="0" w:space="0" w:color="auto"/>
        <w:left w:val="none" w:sz="0" w:space="0" w:color="auto"/>
        <w:bottom w:val="none" w:sz="0" w:space="0" w:color="auto"/>
        <w:right w:val="none" w:sz="0" w:space="0" w:color="auto"/>
      </w:divBdr>
    </w:div>
    <w:div w:id="502554083">
      <w:bodyDiv w:val="1"/>
      <w:marLeft w:val="0"/>
      <w:marRight w:val="0"/>
      <w:marTop w:val="0"/>
      <w:marBottom w:val="0"/>
      <w:divBdr>
        <w:top w:val="none" w:sz="0" w:space="0" w:color="auto"/>
        <w:left w:val="none" w:sz="0" w:space="0" w:color="auto"/>
        <w:bottom w:val="none" w:sz="0" w:space="0" w:color="auto"/>
        <w:right w:val="none" w:sz="0" w:space="0" w:color="auto"/>
      </w:divBdr>
    </w:div>
    <w:div w:id="504517060">
      <w:bodyDiv w:val="1"/>
      <w:marLeft w:val="0"/>
      <w:marRight w:val="0"/>
      <w:marTop w:val="0"/>
      <w:marBottom w:val="0"/>
      <w:divBdr>
        <w:top w:val="none" w:sz="0" w:space="0" w:color="auto"/>
        <w:left w:val="none" w:sz="0" w:space="0" w:color="auto"/>
        <w:bottom w:val="none" w:sz="0" w:space="0" w:color="auto"/>
        <w:right w:val="none" w:sz="0" w:space="0" w:color="auto"/>
      </w:divBdr>
    </w:div>
    <w:div w:id="504518748">
      <w:bodyDiv w:val="1"/>
      <w:marLeft w:val="0"/>
      <w:marRight w:val="0"/>
      <w:marTop w:val="0"/>
      <w:marBottom w:val="0"/>
      <w:divBdr>
        <w:top w:val="none" w:sz="0" w:space="0" w:color="auto"/>
        <w:left w:val="none" w:sz="0" w:space="0" w:color="auto"/>
        <w:bottom w:val="none" w:sz="0" w:space="0" w:color="auto"/>
        <w:right w:val="none" w:sz="0" w:space="0" w:color="auto"/>
      </w:divBdr>
    </w:div>
    <w:div w:id="506025012">
      <w:bodyDiv w:val="1"/>
      <w:marLeft w:val="0"/>
      <w:marRight w:val="0"/>
      <w:marTop w:val="0"/>
      <w:marBottom w:val="0"/>
      <w:divBdr>
        <w:top w:val="none" w:sz="0" w:space="0" w:color="auto"/>
        <w:left w:val="none" w:sz="0" w:space="0" w:color="auto"/>
        <w:bottom w:val="none" w:sz="0" w:space="0" w:color="auto"/>
        <w:right w:val="none" w:sz="0" w:space="0" w:color="auto"/>
      </w:divBdr>
    </w:div>
    <w:div w:id="509951339">
      <w:bodyDiv w:val="1"/>
      <w:marLeft w:val="0"/>
      <w:marRight w:val="0"/>
      <w:marTop w:val="0"/>
      <w:marBottom w:val="0"/>
      <w:divBdr>
        <w:top w:val="none" w:sz="0" w:space="0" w:color="auto"/>
        <w:left w:val="none" w:sz="0" w:space="0" w:color="auto"/>
        <w:bottom w:val="none" w:sz="0" w:space="0" w:color="auto"/>
        <w:right w:val="none" w:sz="0" w:space="0" w:color="auto"/>
      </w:divBdr>
    </w:div>
    <w:div w:id="511261687">
      <w:bodyDiv w:val="1"/>
      <w:marLeft w:val="0"/>
      <w:marRight w:val="0"/>
      <w:marTop w:val="0"/>
      <w:marBottom w:val="0"/>
      <w:divBdr>
        <w:top w:val="none" w:sz="0" w:space="0" w:color="auto"/>
        <w:left w:val="none" w:sz="0" w:space="0" w:color="auto"/>
        <w:bottom w:val="none" w:sz="0" w:space="0" w:color="auto"/>
        <w:right w:val="none" w:sz="0" w:space="0" w:color="auto"/>
      </w:divBdr>
    </w:div>
    <w:div w:id="515971382">
      <w:bodyDiv w:val="1"/>
      <w:marLeft w:val="0"/>
      <w:marRight w:val="0"/>
      <w:marTop w:val="0"/>
      <w:marBottom w:val="0"/>
      <w:divBdr>
        <w:top w:val="none" w:sz="0" w:space="0" w:color="auto"/>
        <w:left w:val="none" w:sz="0" w:space="0" w:color="auto"/>
        <w:bottom w:val="none" w:sz="0" w:space="0" w:color="auto"/>
        <w:right w:val="none" w:sz="0" w:space="0" w:color="auto"/>
      </w:divBdr>
    </w:div>
    <w:div w:id="518592139">
      <w:bodyDiv w:val="1"/>
      <w:marLeft w:val="0"/>
      <w:marRight w:val="0"/>
      <w:marTop w:val="0"/>
      <w:marBottom w:val="0"/>
      <w:divBdr>
        <w:top w:val="none" w:sz="0" w:space="0" w:color="auto"/>
        <w:left w:val="none" w:sz="0" w:space="0" w:color="auto"/>
        <w:bottom w:val="none" w:sz="0" w:space="0" w:color="auto"/>
        <w:right w:val="none" w:sz="0" w:space="0" w:color="auto"/>
      </w:divBdr>
    </w:div>
    <w:div w:id="519515274">
      <w:bodyDiv w:val="1"/>
      <w:marLeft w:val="0"/>
      <w:marRight w:val="0"/>
      <w:marTop w:val="0"/>
      <w:marBottom w:val="0"/>
      <w:divBdr>
        <w:top w:val="none" w:sz="0" w:space="0" w:color="auto"/>
        <w:left w:val="none" w:sz="0" w:space="0" w:color="auto"/>
        <w:bottom w:val="none" w:sz="0" w:space="0" w:color="auto"/>
        <w:right w:val="none" w:sz="0" w:space="0" w:color="auto"/>
      </w:divBdr>
    </w:div>
    <w:div w:id="525099673">
      <w:bodyDiv w:val="1"/>
      <w:marLeft w:val="0"/>
      <w:marRight w:val="0"/>
      <w:marTop w:val="0"/>
      <w:marBottom w:val="0"/>
      <w:divBdr>
        <w:top w:val="none" w:sz="0" w:space="0" w:color="auto"/>
        <w:left w:val="none" w:sz="0" w:space="0" w:color="auto"/>
        <w:bottom w:val="none" w:sz="0" w:space="0" w:color="auto"/>
        <w:right w:val="none" w:sz="0" w:space="0" w:color="auto"/>
      </w:divBdr>
    </w:div>
    <w:div w:id="526211122">
      <w:bodyDiv w:val="1"/>
      <w:marLeft w:val="0"/>
      <w:marRight w:val="0"/>
      <w:marTop w:val="0"/>
      <w:marBottom w:val="0"/>
      <w:divBdr>
        <w:top w:val="none" w:sz="0" w:space="0" w:color="auto"/>
        <w:left w:val="none" w:sz="0" w:space="0" w:color="auto"/>
        <w:bottom w:val="none" w:sz="0" w:space="0" w:color="auto"/>
        <w:right w:val="none" w:sz="0" w:space="0" w:color="auto"/>
      </w:divBdr>
    </w:div>
    <w:div w:id="548608634">
      <w:bodyDiv w:val="1"/>
      <w:marLeft w:val="0"/>
      <w:marRight w:val="0"/>
      <w:marTop w:val="0"/>
      <w:marBottom w:val="0"/>
      <w:divBdr>
        <w:top w:val="none" w:sz="0" w:space="0" w:color="auto"/>
        <w:left w:val="none" w:sz="0" w:space="0" w:color="auto"/>
        <w:bottom w:val="none" w:sz="0" w:space="0" w:color="auto"/>
        <w:right w:val="none" w:sz="0" w:space="0" w:color="auto"/>
      </w:divBdr>
    </w:div>
    <w:div w:id="549347042">
      <w:bodyDiv w:val="1"/>
      <w:marLeft w:val="0"/>
      <w:marRight w:val="0"/>
      <w:marTop w:val="0"/>
      <w:marBottom w:val="0"/>
      <w:divBdr>
        <w:top w:val="none" w:sz="0" w:space="0" w:color="auto"/>
        <w:left w:val="none" w:sz="0" w:space="0" w:color="auto"/>
        <w:bottom w:val="none" w:sz="0" w:space="0" w:color="auto"/>
        <w:right w:val="none" w:sz="0" w:space="0" w:color="auto"/>
      </w:divBdr>
    </w:div>
    <w:div w:id="556598037">
      <w:bodyDiv w:val="1"/>
      <w:marLeft w:val="0"/>
      <w:marRight w:val="0"/>
      <w:marTop w:val="0"/>
      <w:marBottom w:val="0"/>
      <w:divBdr>
        <w:top w:val="none" w:sz="0" w:space="0" w:color="auto"/>
        <w:left w:val="none" w:sz="0" w:space="0" w:color="auto"/>
        <w:bottom w:val="none" w:sz="0" w:space="0" w:color="auto"/>
        <w:right w:val="none" w:sz="0" w:space="0" w:color="auto"/>
      </w:divBdr>
    </w:div>
    <w:div w:id="558902245">
      <w:bodyDiv w:val="1"/>
      <w:marLeft w:val="0"/>
      <w:marRight w:val="0"/>
      <w:marTop w:val="0"/>
      <w:marBottom w:val="0"/>
      <w:divBdr>
        <w:top w:val="none" w:sz="0" w:space="0" w:color="auto"/>
        <w:left w:val="none" w:sz="0" w:space="0" w:color="auto"/>
        <w:bottom w:val="none" w:sz="0" w:space="0" w:color="auto"/>
        <w:right w:val="none" w:sz="0" w:space="0" w:color="auto"/>
      </w:divBdr>
      <w:divsChild>
        <w:div w:id="1476264898">
          <w:marLeft w:val="0"/>
          <w:marRight w:val="0"/>
          <w:marTop w:val="0"/>
          <w:marBottom w:val="0"/>
          <w:divBdr>
            <w:top w:val="none" w:sz="0" w:space="0" w:color="auto"/>
            <w:left w:val="none" w:sz="0" w:space="0" w:color="auto"/>
            <w:bottom w:val="none" w:sz="0" w:space="0" w:color="auto"/>
            <w:right w:val="none" w:sz="0" w:space="0" w:color="auto"/>
          </w:divBdr>
        </w:div>
      </w:divsChild>
    </w:div>
    <w:div w:id="561067456">
      <w:bodyDiv w:val="1"/>
      <w:marLeft w:val="0"/>
      <w:marRight w:val="0"/>
      <w:marTop w:val="0"/>
      <w:marBottom w:val="0"/>
      <w:divBdr>
        <w:top w:val="none" w:sz="0" w:space="0" w:color="auto"/>
        <w:left w:val="none" w:sz="0" w:space="0" w:color="auto"/>
        <w:bottom w:val="none" w:sz="0" w:space="0" w:color="auto"/>
        <w:right w:val="none" w:sz="0" w:space="0" w:color="auto"/>
      </w:divBdr>
    </w:div>
    <w:div w:id="561450922">
      <w:bodyDiv w:val="1"/>
      <w:marLeft w:val="0"/>
      <w:marRight w:val="0"/>
      <w:marTop w:val="0"/>
      <w:marBottom w:val="0"/>
      <w:divBdr>
        <w:top w:val="none" w:sz="0" w:space="0" w:color="auto"/>
        <w:left w:val="none" w:sz="0" w:space="0" w:color="auto"/>
        <w:bottom w:val="none" w:sz="0" w:space="0" w:color="auto"/>
        <w:right w:val="none" w:sz="0" w:space="0" w:color="auto"/>
      </w:divBdr>
    </w:div>
    <w:div w:id="565800218">
      <w:bodyDiv w:val="1"/>
      <w:marLeft w:val="0"/>
      <w:marRight w:val="0"/>
      <w:marTop w:val="0"/>
      <w:marBottom w:val="0"/>
      <w:divBdr>
        <w:top w:val="none" w:sz="0" w:space="0" w:color="auto"/>
        <w:left w:val="none" w:sz="0" w:space="0" w:color="auto"/>
        <w:bottom w:val="none" w:sz="0" w:space="0" w:color="auto"/>
        <w:right w:val="none" w:sz="0" w:space="0" w:color="auto"/>
      </w:divBdr>
    </w:div>
    <w:div w:id="566383078">
      <w:bodyDiv w:val="1"/>
      <w:marLeft w:val="0"/>
      <w:marRight w:val="0"/>
      <w:marTop w:val="0"/>
      <w:marBottom w:val="0"/>
      <w:divBdr>
        <w:top w:val="none" w:sz="0" w:space="0" w:color="auto"/>
        <w:left w:val="none" w:sz="0" w:space="0" w:color="auto"/>
        <w:bottom w:val="none" w:sz="0" w:space="0" w:color="auto"/>
        <w:right w:val="none" w:sz="0" w:space="0" w:color="auto"/>
      </w:divBdr>
      <w:divsChild>
        <w:div w:id="1712417300">
          <w:marLeft w:val="0"/>
          <w:marRight w:val="0"/>
          <w:marTop w:val="0"/>
          <w:marBottom w:val="0"/>
          <w:divBdr>
            <w:top w:val="none" w:sz="0" w:space="0" w:color="auto"/>
            <w:left w:val="none" w:sz="0" w:space="0" w:color="auto"/>
            <w:bottom w:val="none" w:sz="0" w:space="0" w:color="auto"/>
            <w:right w:val="none" w:sz="0" w:space="0" w:color="auto"/>
          </w:divBdr>
        </w:div>
      </w:divsChild>
    </w:div>
    <w:div w:id="585573433">
      <w:bodyDiv w:val="1"/>
      <w:marLeft w:val="0"/>
      <w:marRight w:val="0"/>
      <w:marTop w:val="0"/>
      <w:marBottom w:val="0"/>
      <w:divBdr>
        <w:top w:val="none" w:sz="0" w:space="0" w:color="auto"/>
        <w:left w:val="none" w:sz="0" w:space="0" w:color="auto"/>
        <w:bottom w:val="none" w:sz="0" w:space="0" w:color="auto"/>
        <w:right w:val="none" w:sz="0" w:space="0" w:color="auto"/>
      </w:divBdr>
    </w:div>
    <w:div w:id="586160514">
      <w:bodyDiv w:val="1"/>
      <w:marLeft w:val="0"/>
      <w:marRight w:val="0"/>
      <w:marTop w:val="0"/>
      <w:marBottom w:val="0"/>
      <w:divBdr>
        <w:top w:val="none" w:sz="0" w:space="0" w:color="auto"/>
        <w:left w:val="none" w:sz="0" w:space="0" w:color="auto"/>
        <w:bottom w:val="none" w:sz="0" w:space="0" w:color="auto"/>
        <w:right w:val="none" w:sz="0" w:space="0" w:color="auto"/>
      </w:divBdr>
    </w:div>
    <w:div w:id="587815345">
      <w:bodyDiv w:val="1"/>
      <w:marLeft w:val="0"/>
      <w:marRight w:val="0"/>
      <w:marTop w:val="0"/>
      <w:marBottom w:val="0"/>
      <w:divBdr>
        <w:top w:val="none" w:sz="0" w:space="0" w:color="auto"/>
        <w:left w:val="none" w:sz="0" w:space="0" w:color="auto"/>
        <w:bottom w:val="none" w:sz="0" w:space="0" w:color="auto"/>
        <w:right w:val="none" w:sz="0" w:space="0" w:color="auto"/>
      </w:divBdr>
    </w:div>
    <w:div w:id="592129978">
      <w:bodyDiv w:val="1"/>
      <w:marLeft w:val="0"/>
      <w:marRight w:val="0"/>
      <w:marTop w:val="0"/>
      <w:marBottom w:val="0"/>
      <w:divBdr>
        <w:top w:val="none" w:sz="0" w:space="0" w:color="auto"/>
        <w:left w:val="none" w:sz="0" w:space="0" w:color="auto"/>
        <w:bottom w:val="none" w:sz="0" w:space="0" w:color="auto"/>
        <w:right w:val="none" w:sz="0" w:space="0" w:color="auto"/>
      </w:divBdr>
    </w:div>
    <w:div w:id="593169257">
      <w:bodyDiv w:val="1"/>
      <w:marLeft w:val="0"/>
      <w:marRight w:val="0"/>
      <w:marTop w:val="0"/>
      <w:marBottom w:val="0"/>
      <w:divBdr>
        <w:top w:val="none" w:sz="0" w:space="0" w:color="auto"/>
        <w:left w:val="none" w:sz="0" w:space="0" w:color="auto"/>
        <w:bottom w:val="none" w:sz="0" w:space="0" w:color="auto"/>
        <w:right w:val="none" w:sz="0" w:space="0" w:color="auto"/>
      </w:divBdr>
      <w:divsChild>
        <w:div w:id="599682734">
          <w:marLeft w:val="0"/>
          <w:marRight w:val="0"/>
          <w:marTop w:val="0"/>
          <w:marBottom w:val="0"/>
          <w:divBdr>
            <w:top w:val="none" w:sz="0" w:space="0" w:color="auto"/>
            <w:left w:val="none" w:sz="0" w:space="0" w:color="auto"/>
            <w:bottom w:val="none" w:sz="0" w:space="0" w:color="auto"/>
            <w:right w:val="none" w:sz="0" w:space="0" w:color="auto"/>
          </w:divBdr>
        </w:div>
      </w:divsChild>
    </w:div>
    <w:div w:id="596838219">
      <w:bodyDiv w:val="1"/>
      <w:marLeft w:val="0"/>
      <w:marRight w:val="0"/>
      <w:marTop w:val="0"/>
      <w:marBottom w:val="0"/>
      <w:divBdr>
        <w:top w:val="none" w:sz="0" w:space="0" w:color="auto"/>
        <w:left w:val="none" w:sz="0" w:space="0" w:color="auto"/>
        <w:bottom w:val="none" w:sz="0" w:space="0" w:color="auto"/>
        <w:right w:val="none" w:sz="0" w:space="0" w:color="auto"/>
      </w:divBdr>
    </w:div>
    <w:div w:id="601227470">
      <w:bodyDiv w:val="1"/>
      <w:marLeft w:val="0"/>
      <w:marRight w:val="0"/>
      <w:marTop w:val="0"/>
      <w:marBottom w:val="0"/>
      <w:divBdr>
        <w:top w:val="none" w:sz="0" w:space="0" w:color="auto"/>
        <w:left w:val="none" w:sz="0" w:space="0" w:color="auto"/>
        <w:bottom w:val="none" w:sz="0" w:space="0" w:color="auto"/>
        <w:right w:val="none" w:sz="0" w:space="0" w:color="auto"/>
      </w:divBdr>
    </w:div>
    <w:div w:id="602808125">
      <w:bodyDiv w:val="1"/>
      <w:marLeft w:val="0"/>
      <w:marRight w:val="0"/>
      <w:marTop w:val="0"/>
      <w:marBottom w:val="0"/>
      <w:divBdr>
        <w:top w:val="none" w:sz="0" w:space="0" w:color="auto"/>
        <w:left w:val="none" w:sz="0" w:space="0" w:color="auto"/>
        <w:bottom w:val="none" w:sz="0" w:space="0" w:color="auto"/>
        <w:right w:val="none" w:sz="0" w:space="0" w:color="auto"/>
      </w:divBdr>
    </w:div>
    <w:div w:id="603462047">
      <w:bodyDiv w:val="1"/>
      <w:marLeft w:val="0"/>
      <w:marRight w:val="0"/>
      <w:marTop w:val="0"/>
      <w:marBottom w:val="0"/>
      <w:divBdr>
        <w:top w:val="none" w:sz="0" w:space="0" w:color="auto"/>
        <w:left w:val="none" w:sz="0" w:space="0" w:color="auto"/>
        <w:bottom w:val="none" w:sz="0" w:space="0" w:color="auto"/>
        <w:right w:val="none" w:sz="0" w:space="0" w:color="auto"/>
      </w:divBdr>
    </w:div>
    <w:div w:id="607322795">
      <w:bodyDiv w:val="1"/>
      <w:marLeft w:val="0"/>
      <w:marRight w:val="0"/>
      <w:marTop w:val="0"/>
      <w:marBottom w:val="0"/>
      <w:divBdr>
        <w:top w:val="none" w:sz="0" w:space="0" w:color="auto"/>
        <w:left w:val="none" w:sz="0" w:space="0" w:color="auto"/>
        <w:bottom w:val="none" w:sz="0" w:space="0" w:color="auto"/>
        <w:right w:val="none" w:sz="0" w:space="0" w:color="auto"/>
      </w:divBdr>
    </w:div>
    <w:div w:id="608389947">
      <w:bodyDiv w:val="1"/>
      <w:marLeft w:val="0"/>
      <w:marRight w:val="0"/>
      <w:marTop w:val="0"/>
      <w:marBottom w:val="0"/>
      <w:divBdr>
        <w:top w:val="none" w:sz="0" w:space="0" w:color="auto"/>
        <w:left w:val="none" w:sz="0" w:space="0" w:color="auto"/>
        <w:bottom w:val="none" w:sz="0" w:space="0" w:color="auto"/>
        <w:right w:val="none" w:sz="0" w:space="0" w:color="auto"/>
      </w:divBdr>
    </w:div>
    <w:div w:id="608589499">
      <w:bodyDiv w:val="1"/>
      <w:marLeft w:val="0"/>
      <w:marRight w:val="0"/>
      <w:marTop w:val="0"/>
      <w:marBottom w:val="0"/>
      <w:divBdr>
        <w:top w:val="none" w:sz="0" w:space="0" w:color="auto"/>
        <w:left w:val="none" w:sz="0" w:space="0" w:color="auto"/>
        <w:bottom w:val="none" w:sz="0" w:space="0" w:color="auto"/>
        <w:right w:val="none" w:sz="0" w:space="0" w:color="auto"/>
      </w:divBdr>
    </w:div>
    <w:div w:id="609316714">
      <w:bodyDiv w:val="1"/>
      <w:marLeft w:val="0"/>
      <w:marRight w:val="0"/>
      <w:marTop w:val="0"/>
      <w:marBottom w:val="0"/>
      <w:divBdr>
        <w:top w:val="none" w:sz="0" w:space="0" w:color="auto"/>
        <w:left w:val="none" w:sz="0" w:space="0" w:color="auto"/>
        <w:bottom w:val="none" w:sz="0" w:space="0" w:color="auto"/>
        <w:right w:val="none" w:sz="0" w:space="0" w:color="auto"/>
      </w:divBdr>
    </w:div>
    <w:div w:id="609706034">
      <w:bodyDiv w:val="1"/>
      <w:marLeft w:val="0"/>
      <w:marRight w:val="0"/>
      <w:marTop w:val="0"/>
      <w:marBottom w:val="0"/>
      <w:divBdr>
        <w:top w:val="none" w:sz="0" w:space="0" w:color="auto"/>
        <w:left w:val="none" w:sz="0" w:space="0" w:color="auto"/>
        <w:bottom w:val="none" w:sz="0" w:space="0" w:color="auto"/>
        <w:right w:val="none" w:sz="0" w:space="0" w:color="auto"/>
      </w:divBdr>
    </w:div>
    <w:div w:id="611131157">
      <w:bodyDiv w:val="1"/>
      <w:marLeft w:val="0"/>
      <w:marRight w:val="0"/>
      <w:marTop w:val="0"/>
      <w:marBottom w:val="0"/>
      <w:divBdr>
        <w:top w:val="none" w:sz="0" w:space="0" w:color="auto"/>
        <w:left w:val="none" w:sz="0" w:space="0" w:color="auto"/>
        <w:bottom w:val="none" w:sz="0" w:space="0" w:color="auto"/>
        <w:right w:val="none" w:sz="0" w:space="0" w:color="auto"/>
      </w:divBdr>
    </w:div>
    <w:div w:id="616526326">
      <w:bodyDiv w:val="1"/>
      <w:marLeft w:val="0"/>
      <w:marRight w:val="0"/>
      <w:marTop w:val="0"/>
      <w:marBottom w:val="0"/>
      <w:divBdr>
        <w:top w:val="none" w:sz="0" w:space="0" w:color="auto"/>
        <w:left w:val="none" w:sz="0" w:space="0" w:color="auto"/>
        <w:bottom w:val="none" w:sz="0" w:space="0" w:color="auto"/>
        <w:right w:val="none" w:sz="0" w:space="0" w:color="auto"/>
      </w:divBdr>
    </w:div>
    <w:div w:id="618297030">
      <w:bodyDiv w:val="1"/>
      <w:marLeft w:val="0"/>
      <w:marRight w:val="0"/>
      <w:marTop w:val="0"/>
      <w:marBottom w:val="0"/>
      <w:divBdr>
        <w:top w:val="none" w:sz="0" w:space="0" w:color="auto"/>
        <w:left w:val="none" w:sz="0" w:space="0" w:color="auto"/>
        <w:bottom w:val="none" w:sz="0" w:space="0" w:color="auto"/>
        <w:right w:val="none" w:sz="0" w:space="0" w:color="auto"/>
      </w:divBdr>
    </w:div>
    <w:div w:id="620956821">
      <w:bodyDiv w:val="1"/>
      <w:marLeft w:val="0"/>
      <w:marRight w:val="0"/>
      <w:marTop w:val="0"/>
      <w:marBottom w:val="0"/>
      <w:divBdr>
        <w:top w:val="none" w:sz="0" w:space="0" w:color="auto"/>
        <w:left w:val="none" w:sz="0" w:space="0" w:color="auto"/>
        <w:bottom w:val="none" w:sz="0" w:space="0" w:color="auto"/>
        <w:right w:val="none" w:sz="0" w:space="0" w:color="auto"/>
      </w:divBdr>
    </w:div>
    <w:div w:id="622074690">
      <w:bodyDiv w:val="1"/>
      <w:marLeft w:val="0"/>
      <w:marRight w:val="0"/>
      <w:marTop w:val="0"/>
      <w:marBottom w:val="0"/>
      <w:divBdr>
        <w:top w:val="none" w:sz="0" w:space="0" w:color="auto"/>
        <w:left w:val="none" w:sz="0" w:space="0" w:color="auto"/>
        <w:bottom w:val="none" w:sz="0" w:space="0" w:color="auto"/>
        <w:right w:val="none" w:sz="0" w:space="0" w:color="auto"/>
      </w:divBdr>
    </w:div>
    <w:div w:id="623077137">
      <w:bodyDiv w:val="1"/>
      <w:marLeft w:val="0"/>
      <w:marRight w:val="0"/>
      <w:marTop w:val="0"/>
      <w:marBottom w:val="0"/>
      <w:divBdr>
        <w:top w:val="none" w:sz="0" w:space="0" w:color="auto"/>
        <w:left w:val="none" w:sz="0" w:space="0" w:color="auto"/>
        <w:bottom w:val="none" w:sz="0" w:space="0" w:color="auto"/>
        <w:right w:val="none" w:sz="0" w:space="0" w:color="auto"/>
      </w:divBdr>
    </w:div>
    <w:div w:id="626590296">
      <w:bodyDiv w:val="1"/>
      <w:marLeft w:val="0"/>
      <w:marRight w:val="0"/>
      <w:marTop w:val="0"/>
      <w:marBottom w:val="0"/>
      <w:divBdr>
        <w:top w:val="none" w:sz="0" w:space="0" w:color="auto"/>
        <w:left w:val="none" w:sz="0" w:space="0" w:color="auto"/>
        <w:bottom w:val="none" w:sz="0" w:space="0" w:color="auto"/>
        <w:right w:val="none" w:sz="0" w:space="0" w:color="auto"/>
      </w:divBdr>
    </w:div>
    <w:div w:id="631138083">
      <w:bodyDiv w:val="1"/>
      <w:marLeft w:val="0"/>
      <w:marRight w:val="0"/>
      <w:marTop w:val="0"/>
      <w:marBottom w:val="0"/>
      <w:divBdr>
        <w:top w:val="none" w:sz="0" w:space="0" w:color="auto"/>
        <w:left w:val="none" w:sz="0" w:space="0" w:color="auto"/>
        <w:bottom w:val="none" w:sz="0" w:space="0" w:color="auto"/>
        <w:right w:val="none" w:sz="0" w:space="0" w:color="auto"/>
      </w:divBdr>
    </w:div>
    <w:div w:id="635112976">
      <w:bodyDiv w:val="1"/>
      <w:marLeft w:val="0"/>
      <w:marRight w:val="0"/>
      <w:marTop w:val="0"/>
      <w:marBottom w:val="0"/>
      <w:divBdr>
        <w:top w:val="none" w:sz="0" w:space="0" w:color="auto"/>
        <w:left w:val="none" w:sz="0" w:space="0" w:color="auto"/>
        <w:bottom w:val="none" w:sz="0" w:space="0" w:color="auto"/>
        <w:right w:val="none" w:sz="0" w:space="0" w:color="auto"/>
      </w:divBdr>
      <w:divsChild>
        <w:div w:id="289015703">
          <w:marLeft w:val="0"/>
          <w:marRight w:val="0"/>
          <w:marTop w:val="0"/>
          <w:marBottom w:val="0"/>
          <w:divBdr>
            <w:top w:val="none" w:sz="0" w:space="0" w:color="auto"/>
            <w:left w:val="none" w:sz="0" w:space="0" w:color="auto"/>
            <w:bottom w:val="none" w:sz="0" w:space="0" w:color="auto"/>
            <w:right w:val="none" w:sz="0" w:space="0" w:color="auto"/>
          </w:divBdr>
        </w:div>
      </w:divsChild>
    </w:div>
    <w:div w:id="638650580">
      <w:bodyDiv w:val="1"/>
      <w:marLeft w:val="0"/>
      <w:marRight w:val="0"/>
      <w:marTop w:val="0"/>
      <w:marBottom w:val="0"/>
      <w:divBdr>
        <w:top w:val="none" w:sz="0" w:space="0" w:color="auto"/>
        <w:left w:val="none" w:sz="0" w:space="0" w:color="auto"/>
        <w:bottom w:val="none" w:sz="0" w:space="0" w:color="auto"/>
        <w:right w:val="none" w:sz="0" w:space="0" w:color="auto"/>
      </w:divBdr>
    </w:div>
    <w:div w:id="640232352">
      <w:bodyDiv w:val="1"/>
      <w:marLeft w:val="0"/>
      <w:marRight w:val="0"/>
      <w:marTop w:val="0"/>
      <w:marBottom w:val="0"/>
      <w:divBdr>
        <w:top w:val="none" w:sz="0" w:space="0" w:color="auto"/>
        <w:left w:val="none" w:sz="0" w:space="0" w:color="auto"/>
        <w:bottom w:val="none" w:sz="0" w:space="0" w:color="auto"/>
        <w:right w:val="none" w:sz="0" w:space="0" w:color="auto"/>
      </w:divBdr>
    </w:div>
    <w:div w:id="648553155">
      <w:bodyDiv w:val="1"/>
      <w:marLeft w:val="0"/>
      <w:marRight w:val="0"/>
      <w:marTop w:val="0"/>
      <w:marBottom w:val="0"/>
      <w:divBdr>
        <w:top w:val="none" w:sz="0" w:space="0" w:color="auto"/>
        <w:left w:val="none" w:sz="0" w:space="0" w:color="auto"/>
        <w:bottom w:val="none" w:sz="0" w:space="0" w:color="auto"/>
        <w:right w:val="none" w:sz="0" w:space="0" w:color="auto"/>
      </w:divBdr>
    </w:div>
    <w:div w:id="649362002">
      <w:bodyDiv w:val="1"/>
      <w:marLeft w:val="0"/>
      <w:marRight w:val="0"/>
      <w:marTop w:val="0"/>
      <w:marBottom w:val="0"/>
      <w:divBdr>
        <w:top w:val="none" w:sz="0" w:space="0" w:color="auto"/>
        <w:left w:val="none" w:sz="0" w:space="0" w:color="auto"/>
        <w:bottom w:val="none" w:sz="0" w:space="0" w:color="auto"/>
        <w:right w:val="none" w:sz="0" w:space="0" w:color="auto"/>
      </w:divBdr>
    </w:div>
    <w:div w:id="650450028">
      <w:bodyDiv w:val="1"/>
      <w:marLeft w:val="0"/>
      <w:marRight w:val="0"/>
      <w:marTop w:val="0"/>
      <w:marBottom w:val="0"/>
      <w:divBdr>
        <w:top w:val="none" w:sz="0" w:space="0" w:color="auto"/>
        <w:left w:val="none" w:sz="0" w:space="0" w:color="auto"/>
        <w:bottom w:val="none" w:sz="0" w:space="0" w:color="auto"/>
        <w:right w:val="none" w:sz="0" w:space="0" w:color="auto"/>
      </w:divBdr>
    </w:div>
    <w:div w:id="655567947">
      <w:bodyDiv w:val="1"/>
      <w:marLeft w:val="0"/>
      <w:marRight w:val="0"/>
      <w:marTop w:val="0"/>
      <w:marBottom w:val="0"/>
      <w:divBdr>
        <w:top w:val="none" w:sz="0" w:space="0" w:color="auto"/>
        <w:left w:val="none" w:sz="0" w:space="0" w:color="auto"/>
        <w:bottom w:val="none" w:sz="0" w:space="0" w:color="auto"/>
        <w:right w:val="none" w:sz="0" w:space="0" w:color="auto"/>
      </w:divBdr>
    </w:div>
    <w:div w:id="656568258">
      <w:bodyDiv w:val="1"/>
      <w:marLeft w:val="0"/>
      <w:marRight w:val="0"/>
      <w:marTop w:val="0"/>
      <w:marBottom w:val="0"/>
      <w:divBdr>
        <w:top w:val="none" w:sz="0" w:space="0" w:color="auto"/>
        <w:left w:val="none" w:sz="0" w:space="0" w:color="auto"/>
        <w:bottom w:val="none" w:sz="0" w:space="0" w:color="auto"/>
        <w:right w:val="none" w:sz="0" w:space="0" w:color="auto"/>
      </w:divBdr>
    </w:div>
    <w:div w:id="657808360">
      <w:bodyDiv w:val="1"/>
      <w:marLeft w:val="0"/>
      <w:marRight w:val="0"/>
      <w:marTop w:val="0"/>
      <w:marBottom w:val="0"/>
      <w:divBdr>
        <w:top w:val="none" w:sz="0" w:space="0" w:color="auto"/>
        <w:left w:val="none" w:sz="0" w:space="0" w:color="auto"/>
        <w:bottom w:val="none" w:sz="0" w:space="0" w:color="auto"/>
        <w:right w:val="none" w:sz="0" w:space="0" w:color="auto"/>
      </w:divBdr>
    </w:div>
    <w:div w:id="658074289">
      <w:bodyDiv w:val="1"/>
      <w:marLeft w:val="0"/>
      <w:marRight w:val="0"/>
      <w:marTop w:val="0"/>
      <w:marBottom w:val="0"/>
      <w:divBdr>
        <w:top w:val="none" w:sz="0" w:space="0" w:color="auto"/>
        <w:left w:val="none" w:sz="0" w:space="0" w:color="auto"/>
        <w:bottom w:val="none" w:sz="0" w:space="0" w:color="auto"/>
        <w:right w:val="none" w:sz="0" w:space="0" w:color="auto"/>
      </w:divBdr>
    </w:div>
    <w:div w:id="665716249">
      <w:bodyDiv w:val="1"/>
      <w:marLeft w:val="0"/>
      <w:marRight w:val="0"/>
      <w:marTop w:val="0"/>
      <w:marBottom w:val="0"/>
      <w:divBdr>
        <w:top w:val="none" w:sz="0" w:space="0" w:color="auto"/>
        <w:left w:val="none" w:sz="0" w:space="0" w:color="auto"/>
        <w:bottom w:val="none" w:sz="0" w:space="0" w:color="auto"/>
        <w:right w:val="none" w:sz="0" w:space="0" w:color="auto"/>
      </w:divBdr>
    </w:div>
    <w:div w:id="666131101">
      <w:bodyDiv w:val="1"/>
      <w:marLeft w:val="0"/>
      <w:marRight w:val="0"/>
      <w:marTop w:val="0"/>
      <w:marBottom w:val="0"/>
      <w:divBdr>
        <w:top w:val="none" w:sz="0" w:space="0" w:color="auto"/>
        <w:left w:val="none" w:sz="0" w:space="0" w:color="auto"/>
        <w:bottom w:val="none" w:sz="0" w:space="0" w:color="auto"/>
        <w:right w:val="none" w:sz="0" w:space="0" w:color="auto"/>
      </w:divBdr>
      <w:divsChild>
        <w:div w:id="306781307">
          <w:marLeft w:val="0"/>
          <w:marRight w:val="0"/>
          <w:marTop w:val="0"/>
          <w:marBottom w:val="0"/>
          <w:divBdr>
            <w:top w:val="none" w:sz="0" w:space="0" w:color="auto"/>
            <w:left w:val="none" w:sz="0" w:space="0" w:color="auto"/>
            <w:bottom w:val="none" w:sz="0" w:space="0" w:color="auto"/>
            <w:right w:val="none" w:sz="0" w:space="0" w:color="auto"/>
          </w:divBdr>
        </w:div>
      </w:divsChild>
    </w:div>
    <w:div w:id="668024806">
      <w:bodyDiv w:val="1"/>
      <w:marLeft w:val="0"/>
      <w:marRight w:val="0"/>
      <w:marTop w:val="0"/>
      <w:marBottom w:val="0"/>
      <w:divBdr>
        <w:top w:val="none" w:sz="0" w:space="0" w:color="auto"/>
        <w:left w:val="none" w:sz="0" w:space="0" w:color="auto"/>
        <w:bottom w:val="none" w:sz="0" w:space="0" w:color="auto"/>
        <w:right w:val="none" w:sz="0" w:space="0" w:color="auto"/>
      </w:divBdr>
      <w:divsChild>
        <w:div w:id="1730030372">
          <w:marLeft w:val="0"/>
          <w:marRight w:val="0"/>
          <w:marTop w:val="0"/>
          <w:marBottom w:val="0"/>
          <w:divBdr>
            <w:top w:val="none" w:sz="0" w:space="0" w:color="auto"/>
            <w:left w:val="none" w:sz="0" w:space="0" w:color="auto"/>
            <w:bottom w:val="none" w:sz="0" w:space="0" w:color="auto"/>
            <w:right w:val="none" w:sz="0" w:space="0" w:color="auto"/>
          </w:divBdr>
        </w:div>
      </w:divsChild>
    </w:div>
    <w:div w:id="671378636">
      <w:bodyDiv w:val="1"/>
      <w:marLeft w:val="0"/>
      <w:marRight w:val="0"/>
      <w:marTop w:val="0"/>
      <w:marBottom w:val="0"/>
      <w:divBdr>
        <w:top w:val="none" w:sz="0" w:space="0" w:color="auto"/>
        <w:left w:val="none" w:sz="0" w:space="0" w:color="auto"/>
        <w:bottom w:val="none" w:sz="0" w:space="0" w:color="auto"/>
        <w:right w:val="none" w:sz="0" w:space="0" w:color="auto"/>
      </w:divBdr>
    </w:div>
    <w:div w:id="671760347">
      <w:bodyDiv w:val="1"/>
      <w:marLeft w:val="0"/>
      <w:marRight w:val="0"/>
      <w:marTop w:val="0"/>
      <w:marBottom w:val="0"/>
      <w:divBdr>
        <w:top w:val="none" w:sz="0" w:space="0" w:color="auto"/>
        <w:left w:val="none" w:sz="0" w:space="0" w:color="auto"/>
        <w:bottom w:val="none" w:sz="0" w:space="0" w:color="auto"/>
        <w:right w:val="none" w:sz="0" w:space="0" w:color="auto"/>
      </w:divBdr>
    </w:div>
    <w:div w:id="672102351">
      <w:bodyDiv w:val="1"/>
      <w:marLeft w:val="0"/>
      <w:marRight w:val="0"/>
      <w:marTop w:val="0"/>
      <w:marBottom w:val="0"/>
      <w:divBdr>
        <w:top w:val="none" w:sz="0" w:space="0" w:color="auto"/>
        <w:left w:val="none" w:sz="0" w:space="0" w:color="auto"/>
        <w:bottom w:val="none" w:sz="0" w:space="0" w:color="auto"/>
        <w:right w:val="none" w:sz="0" w:space="0" w:color="auto"/>
      </w:divBdr>
    </w:div>
    <w:div w:id="673151357">
      <w:bodyDiv w:val="1"/>
      <w:marLeft w:val="0"/>
      <w:marRight w:val="0"/>
      <w:marTop w:val="0"/>
      <w:marBottom w:val="0"/>
      <w:divBdr>
        <w:top w:val="none" w:sz="0" w:space="0" w:color="auto"/>
        <w:left w:val="none" w:sz="0" w:space="0" w:color="auto"/>
        <w:bottom w:val="none" w:sz="0" w:space="0" w:color="auto"/>
        <w:right w:val="none" w:sz="0" w:space="0" w:color="auto"/>
      </w:divBdr>
    </w:div>
    <w:div w:id="676081759">
      <w:bodyDiv w:val="1"/>
      <w:marLeft w:val="0"/>
      <w:marRight w:val="0"/>
      <w:marTop w:val="0"/>
      <w:marBottom w:val="0"/>
      <w:divBdr>
        <w:top w:val="none" w:sz="0" w:space="0" w:color="auto"/>
        <w:left w:val="none" w:sz="0" w:space="0" w:color="auto"/>
        <w:bottom w:val="none" w:sz="0" w:space="0" w:color="auto"/>
        <w:right w:val="none" w:sz="0" w:space="0" w:color="auto"/>
      </w:divBdr>
    </w:div>
    <w:div w:id="676156822">
      <w:bodyDiv w:val="1"/>
      <w:marLeft w:val="0"/>
      <w:marRight w:val="0"/>
      <w:marTop w:val="0"/>
      <w:marBottom w:val="0"/>
      <w:divBdr>
        <w:top w:val="none" w:sz="0" w:space="0" w:color="auto"/>
        <w:left w:val="none" w:sz="0" w:space="0" w:color="auto"/>
        <w:bottom w:val="none" w:sz="0" w:space="0" w:color="auto"/>
        <w:right w:val="none" w:sz="0" w:space="0" w:color="auto"/>
      </w:divBdr>
    </w:div>
    <w:div w:id="679116764">
      <w:bodyDiv w:val="1"/>
      <w:marLeft w:val="0"/>
      <w:marRight w:val="0"/>
      <w:marTop w:val="0"/>
      <w:marBottom w:val="0"/>
      <w:divBdr>
        <w:top w:val="none" w:sz="0" w:space="0" w:color="auto"/>
        <w:left w:val="none" w:sz="0" w:space="0" w:color="auto"/>
        <w:bottom w:val="none" w:sz="0" w:space="0" w:color="auto"/>
        <w:right w:val="none" w:sz="0" w:space="0" w:color="auto"/>
      </w:divBdr>
    </w:div>
    <w:div w:id="681975442">
      <w:bodyDiv w:val="1"/>
      <w:marLeft w:val="0"/>
      <w:marRight w:val="0"/>
      <w:marTop w:val="0"/>
      <w:marBottom w:val="0"/>
      <w:divBdr>
        <w:top w:val="none" w:sz="0" w:space="0" w:color="auto"/>
        <w:left w:val="none" w:sz="0" w:space="0" w:color="auto"/>
        <w:bottom w:val="none" w:sz="0" w:space="0" w:color="auto"/>
        <w:right w:val="none" w:sz="0" w:space="0" w:color="auto"/>
      </w:divBdr>
    </w:div>
    <w:div w:id="684790922">
      <w:bodyDiv w:val="1"/>
      <w:marLeft w:val="0"/>
      <w:marRight w:val="0"/>
      <w:marTop w:val="0"/>
      <w:marBottom w:val="0"/>
      <w:divBdr>
        <w:top w:val="none" w:sz="0" w:space="0" w:color="auto"/>
        <w:left w:val="none" w:sz="0" w:space="0" w:color="auto"/>
        <w:bottom w:val="none" w:sz="0" w:space="0" w:color="auto"/>
        <w:right w:val="none" w:sz="0" w:space="0" w:color="auto"/>
      </w:divBdr>
    </w:div>
    <w:div w:id="690574700">
      <w:bodyDiv w:val="1"/>
      <w:marLeft w:val="0"/>
      <w:marRight w:val="0"/>
      <w:marTop w:val="0"/>
      <w:marBottom w:val="0"/>
      <w:divBdr>
        <w:top w:val="none" w:sz="0" w:space="0" w:color="auto"/>
        <w:left w:val="none" w:sz="0" w:space="0" w:color="auto"/>
        <w:bottom w:val="none" w:sz="0" w:space="0" w:color="auto"/>
        <w:right w:val="none" w:sz="0" w:space="0" w:color="auto"/>
      </w:divBdr>
    </w:div>
    <w:div w:id="691611711">
      <w:bodyDiv w:val="1"/>
      <w:marLeft w:val="0"/>
      <w:marRight w:val="0"/>
      <w:marTop w:val="0"/>
      <w:marBottom w:val="0"/>
      <w:divBdr>
        <w:top w:val="none" w:sz="0" w:space="0" w:color="auto"/>
        <w:left w:val="none" w:sz="0" w:space="0" w:color="auto"/>
        <w:bottom w:val="none" w:sz="0" w:space="0" w:color="auto"/>
        <w:right w:val="none" w:sz="0" w:space="0" w:color="auto"/>
      </w:divBdr>
    </w:div>
    <w:div w:id="698048130">
      <w:bodyDiv w:val="1"/>
      <w:marLeft w:val="0"/>
      <w:marRight w:val="0"/>
      <w:marTop w:val="0"/>
      <w:marBottom w:val="0"/>
      <w:divBdr>
        <w:top w:val="none" w:sz="0" w:space="0" w:color="auto"/>
        <w:left w:val="none" w:sz="0" w:space="0" w:color="auto"/>
        <w:bottom w:val="none" w:sz="0" w:space="0" w:color="auto"/>
        <w:right w:val="none" w:sz="0" w:space="0" w:color="auto"/>
      </w:divBdr>
    </w:div>
    <w:div w:id="699818949">
      <w:bodyDiv w:val="1"/>
      <w:marLeft w:val="0"/>
      <w:marRight w:val="0"/>
      <w:marTop w:val="0"/>
      <w:marBottom w:val="0"/>
      <w:divBdr>
        <w:top w:val="none" w:sz="0" w:space="0" w:color="auto"/>
        <w:left w:val="none" w:sz="0" w:space="0" w:color="auto"/>
        <w:bottom w:val="none" w:sz="0" w:space="0" w:color="auto"/>
        <w:right w:val="none" w:sz="0" w:space="0" w:color="auto"/>
      </w:divBdr>
    </w:div>
    <w:div w:id="700669611">
      <w:bodyDiv w:val="1"/>
      <w:marLeft w:val="0"/>
      <w:marRight w:val="0"/>
      <w:marTop w:val="0"/>
      <w:marBottom w:val="0"/>
      <w:divBdr>
        <w:top w:val="none" w:sz="0" w:space="0" w:color="auto"/>
        <w:left w:val="none" w:sz="0" w:space="0" w:color="auto"/>
        <w:bottom w:val="none" w:sz="0" w:space="0" w:color="auto"/>
        <w:right w:val="none" w:sz="0" w:space="0" w:color="auto"/>
      </w:divBdr>
    </w:div>
    <w:div w:id="704327596">
      <w:bodyDiv w:val="1"/>
      <w:marLeft w:val="0"/>
      <w:marRight w:val="0"/>
      <w:marTop w:val="0"/>
      <w:marBottom w:val="0"/>
      <w:divBdr>
        <w:top w:val="none" w:sz="0" w:space="0" w:color="auto"/>
        <w:left w:val="none" w:sz="0" w:space="0" w:color="auto"/>
        <w:bottom w:val="none" w:sz="0" w:space="0" w:color="auto"/>
        <w:right w:val="none" w:sz="0" w:space="0" w:color="auto"/>
      </w:divBdr>
    </w:div>
    <w:div w:id="705183434">
      <w:bodyDiv w:val="1"/>
      <w:marLeft w:val="0"/>
      <w:marRight w:val="0"/>
      <w:marTop w:val="0"/>
      <w:marBottom w:val="0"/>
      <w:divBdr>
        <w:top w:val="none" w:sz="0" w:space="0" w:color="auto"/>
        <w:left w:val="none" w:sz="0" w:space="0" w:color="auto"/>
        <w:bottom w:val="none" w:sz="0" w:space="0" w:color="auto"/>
        <w:right w:val="none" w:sz="0" w:space="0" w:color="auto"/>
      </w:divBdr>
      <w:divsChild>
        <w:div w:id="866529798">
          <w:marLeft w:val="0"/>
          <w:marRight w:val="0"/>
          <w:marTop w:val="0"/>
          <w:marBottom w:val="0"/>
          <w:divBdr>
            <w:top w:val="none" w:sz="0" w:space="0" w:color="auto"/>
            <w:left w:val="none" w:sz="0" w:space="0" w:color="auto"/>
            <w:bottom w:val="none" w:sz="0" w:space="0" w:color="auto"/>
            <w:right w:val="none" w:sz="0" w:space="0" w:color="auto"/>
          </w:divBdr>
        </w:div>
      </w:divsChild>
    </w:div>
    <w:div w:id="711346435">
      <w:bodyDiv w:val="1"/>
      <w:marLeft w:val="0"/>
      <w:marRight w:val="0"/>
      <w:marTop w:val="0"/>
      <w:marBottom w:val="0"/>
      <w:divBdr>
        <w:top w:val="none" w:sz="0" w:space="0" w:color="auto"/>
        <w:left w:val="none" w:sz="0" w:space="0" w:color="auto"/>
        <w:bottom w:val="none" w:sz="0" w:space="0" w:color="auto"/>
        <w:right w:val="none" w:sz="0" w:space="0" w:color="auto"/>
      </w:divBdr>
      <w:divsChild>
        <w:div w:id="485979392">
          <w:marLeft w:val="0"/>
          <w:marRight w:val="0"/>
          <w:marTop w:val="0"/>
          <w:marBottom w:val="0"/>
          <w:divBdr>
            <w:top w:val="none" w:sz="0" w:space="0" w:color="auto"/>
            <w:left w:val="none" w:sz="0" w:space="0" w:color="auto"/>
            <w:bottom w:val="none" w:sz="0" w:space="0" w:color="auto"/>
            <w:right w:val="none" w:sz="0" w:space="0" w:color="auto"/>
          </w:divBdr>
        </w:div>
      </w:divsChild>
    </w:div>
    <w:div w:id="711661452">
      <w:bodyDiv w:val="1"/>
      <w:marLeft w:val="0"/>
      <w:marRight w:val="0"/>
      <w:marTop w:val="0"/>
      <w:marBottom w:val="0"/>
      <w:divBdr>
        <w:top w:val="none" w:sz="0" w:space="0" w:color="auto"/>
        <w:left w:val="none" w:sz="0" w:space="0" w:color="auto"/>
        <w:bottom w:val="none" w:sz="0" w:space="0" w:color="auto"/>
        <w:right w:val="none" w:sz="0" w:space="0" w:color="auto"/>
      </w:divBdr>
    </w:div>
    <w:div w:id="719598539">
      <w:bodyDiv w:val="1"/>
      <w:marLeft w:val="0"/>
      <w:marRight w:val="0"/>
      <w:marTop w:val="0"/>
      <w:marBottom w:val="0"/>
      <w:divBdr>
        <w:top w:val="none" w:sz="0" w:space="0" w:color="auto"/>
        <w:left w:val="none" w:sz="0" w:space="0" w:color="auto"/>
        <w:bottom w:val="none" w:sz="0" w:space="0" w:color="auto"/>
        <w:right w:val="none" w:sz="0" w:space="0" w:color="auto"/>
      </w:divBdr>
    </w:div>
    <w:div w:id="736561579">
      <w:bodyDiv w:val="1"/>
      <w:marLeft w:val="0"/>
      <w:marRight w:val="0"/>
      <w:marTop w:val="0"/>
      <w:marBottom w:val="0"/>
      <w:divBdr>
        <w:top w:val="none" w:sz="0" w:space="0" w:color="auto"/>
        <w:left w:val="none" w:sz="0" w:space="0" w:color="auto"/>
        <w:bottom w:val="none" w:sz="0" w:space="0" w:color="auto"/>
        <w:right w:val="none" w:sz="0" w:space="0" w:color="auto"/>
      </w:divBdr>
    </w:div>
    <w:div w:id="737678509">
      <w:bodyDiv w:val="1"/>
      <w:marLeft w:val="0"/>
      <w:marRight w:val="0"/>
      <w:marTop w:val="0"/>
      <w:marBottom w:val="0"/>
      <w:divBdr>
        <w:top w:val="none" w:sz="0" w:space="0" w:color="auto"/>
        <w:left w:val="none" w:sz="0" w:space="0" w:color="auto"/>
        <w:bottom w:val="none" w:sz="0" w:space="0" w:color="auto"/>
        <w:right w:val="none" w:sz="0" w:space="0" w:color="auto"/>
      </w:divBdr>
    </w:div>
    <w:div w:id="738132747">
      <w:bodyDiv w:val="1"/>
      <w:marLeft w:val="0"/>
      <w:marRight w:val="0"/>
      <w:marTop w:val="0"/>
      <w:marBottom w:val="0"/>
      <w:divBdr>
        <w:top w:val="none" w:sz="0" w:space="0" w:color="auto"/>
        <w:left w:val="none" w:sz="0" w:space="0" w:color="auto"/>
        <w:bottom w:val="none" w:sz="0" w:space="0" w:color="auto"/>
        <w:right w:val="none" w:sz="0" w:space="0" w:color="auto"/>
      </w:divBdr>
      <w:divsChild>
        <w:div w:id="1795367045">
          <w:marLeft w:val="0"/>
          <w:marRight w:val="0"/>
          <w:marTop w:val="0"/>
          <w:marBottom w:val="0"/>
          <w:divBdr>
            <w:top w:val="none" w:sz="0" w:space="0" w:color="auto"/>
            <w:left w:val="none" w:sz="0" w:space="0" w:color="auto"/>
            <w:bottom w:val="none" w:sz="0" w:space="0" w:color="auto"/>
            <w:right w:val="none" w:sz="0" w:space="0" w:color="auto"/>
          </w:divBdr>
        </w:div>
      </w:divsChild>
    </w:div>
    <w:div w:id="739207579">
      <w:bodyDiv w:val="1"/>
      <w:marLeft w:val="0"/>
      <w:marRight w:val="0"/>
      <w:marTop w:val="0"/>
      <w:marBottom w:val="0"/>
      <w:divBdr>
        <w:top w:val="none" w:sz="0" w:space="0" w:color="auto"/>
        <w:left w:val="none" w:sz="0" w:space="0" w:color="auto"/>
        <w:bottom w:val="none" w:sz="0" w:space="0" w:color="auto"/>
        <w:right w:val="none" w:sz="0" w:space="0" w:color="auto"/>
      </w:divBdr>
    </w:div>
    <w:div w:id="746346755">
      <w:bodyDiv w:val="1"/>
      <w:marLeft w:val="0"/>
      <w:marRight w:val="0"/>
      <w:marTop w:val="0"/>
      <w:marBottom w:val="0"/>
      <w:divBdr>
        <w:top w:val="none" w:sz="0" w:space="0" w:color="auto"/>
        <w:left w:val="none" w:sz="0" w:space="0" w:color="auto"/>
        <w:bottom w:val="none" w:sz="0" w:space="0" w:color="auto"/>
        <w:right w:val="none" w:sz="0" w:space="0" w:color="auto"/>
      </w:divBdr>
    </w:div>
    <w:div w:id="747268760">
      <w:bodyDiv w:val="1"/>
      <w:marLeft w:val="0"/>
      <w:marRight w:val="0"/>
      <w:marTop w:val="0"/>
      <w:marBottom w:val="0"/>
      <w:divBdr>
        <w:top w:val="none" w:sz="0" w:space="0" w:color="auto"/>
        <w:left w:val="none" w:sz="0" w:space="0" w:color="auto"/>
        <w:bottom w:val="none" w:sz="0" w:space="0" w:color="auto"/>
        <w:right w:val="none" w:sz="0" w:space="0" w:color="auto"/>
      </w:divBdr>
    </w:div>
    <w:div w:id="752359857">
      <w:bodyDiv w:val="1"/>
      <w:marLeft w:val="0"/>
      <w:marRight w:val="0"/>
      <w:marTop w:val="0"/>
      <w:marBottom w:val="0"/>
      <w:divBdr>
        <w:top w:val="none" w:sz="0" w:space="0" w:color="auto"/>
        <w:left w:val="none" w:sz="0" w:space="0" w:color="auto"/>
        <w:bottom w:val="none" w:sz="0" w:space="0" w:color="auto"/>
        <w:right w:val="none" w:sz="0" w:space="0" w:color="auto"/>
      </w:divBdr>
    </w:div>
    <w:div w:id="758595965">
      <w:bodyDiv w:val="1"/>
      <w:marLeft w:val="0"/>
      <w:marRight w:val="0"/>
      <w:marTop w:val="0"/>
      <w:marBottom w:val="0"/>
      <w:divBdr>
        <w:top w:val="none" w:sz="0" w:space="0" w:color="auto"/>
        <w:left w:val="none" w:sz="0" w:space="0" w:color="auto"/>
        <w:bottom w:val="none" w:sz="0" w:space="0" w:color="auto"/>
        <w:right w:val="none" w:sz="0" w:space="0" w:color="auto"/>
      </w:divBdr>
    </w:div>
    <w:div w:id="759449173">
      <w:bodyDiv w:val="1"/>
      <w:marLeft w:val="0"/>
      <w:marRight w:val="0"/>
      <w:marTop w:val="0"/>
      <w:marBottom w:val="0"/>
      <w:divBdr>
        <w:top w:val="none" w:sz="0" w:space="0" w:color="auto"/>
        <w:left w:val="none" w:sz="0" w:space="0" w:color="auto"/>
        <w:bottom w:val="none" w:sz="0" w:space="0" w:color="auto"/>
        <w:right w:val="none" w:sz="0" w:space="0" w:color="auto"/>
      </w:divBdr>
    </w:div>
    <w:div w:id="759914933">
      <w:bodyDiv w:val="1"/>
      <w:marLeft w:val="0"/>
      <w:marRight w:val="0"/>
      <w:marTop w:val="0"/>
      <w:marBottom w:val="0"/>
      <w:divBdr>
        <w:top w:val="none" w:sz="0" w:space="0" w:color="auto"/>
        <w:left w:val="none" w:sz="0" w:space="0" w:color="auto"/>
        <w:bottom w:val="none" w:sz="0" w:space="0" w:color="auto"/>
        <w:right w:val="none" w:sz="0" w:space="0" w:color="auto"/>
      </w:divBdr>
    </w:div>
    <w:div w:id="760292714">
      <w:bodyDiv w:val="1"/>
      <w:marLeft w:val="0"/>
      <w:marRight w:val="0"/>
      <w:marTop w:val="0"/>
      <w:marBottom w:val="0"/>
      <w:divBdr>
        <w:top w:val="none" w:sz="0" w:space="0" w:color="auto"/>
        <w:left w:val="none" w:sz="0" w:space="0" w:color="auto"/>
        <w:bottom w:val="none" w:sz="0" w:space="0" w:color="auto"/>
        <w:right w:val="none" w:sz="0" w:space="0" w:color="auto"/>
      </w:divBdr>
    </w:div>
    <w:div w:id="761536175">
      <w:bodyDiv w:val="1"/>
      <w:marLeft w:val="0"/>
      <w:marRight w:val="0"/>
      <w:marTop w:val="0"/>
      <w:marBottom w:val="0"/>
      <w:divBdr>
        <w:top w:val="none" w:sz="0" w:space="0" w:color="auto"/>
        <w:left w:val="none" w:sz="0" w:space="0" w:color="auto"/>
        <w:bottom w:val="none" w:sz="0" w:space="0" w:color="auto"/>
        <w:right w:val="none" w:sz="0" w:space="0" w:color="auto"/>
      </w:divBdr>
    </w:div>
    <w:div w:id="762843294">
      <w:bodyDiv w:val="1"/>
      <w:marLeft w:val="0"/>
      <w:marRight w:val="0"/>
      <w:marTop w:val="0"/>
      <w:marBottom w:val="0"/>
      <w:divBdr>
        <w:top w:val="none" w:sz="0" w:space="0" w:color="auto"/>
        <w:left w:val="none" w:sz="0" w:space="0" w:color="auto"/>
        <w:bottom w:val="none" w:sz="0" w:space="0" w:color="auto"/>
        <w:right w:val="none" w:sz="0" w:space="0" w:color="auto"/>
      </w:divBdr>
    </w:div>
    <w:div w:id="763190425">
      <w:bodyDiv w:val="1"/>
      <w:marLeft w:val="0"/>
      <w:marRight w:val="0"/>
      <w:marTop w:val="0"/>
      <w:marBottom w:val="0"/>
      <w:divBdr>
        <w:top w:val="none" w:sz="0" w:space="0" w:color="auto"/>
        <w:left w:val="none" w:sz="0" w:space="0" w:color="auto"/>
        <w:bottom w:val="none" w:sz="0" w:space="0" w:color="auto"/>
        <w:right w:val="none" w:sz="0" w:space="0" w:color="auto"/>
      </w:divBdr>
    </w:div>
    <w:div w:id="763722788">
      <w:bodyDiv w:val="1"/>
      <w:marLeft w:val="0"/>
      <w:marRight w:val="0"/>
      <w:marTop w:val="0"/>
      <w:marBottom w:val="0"/>
      <w:divBdr>
        <w:top w:val="none" w:sz="0" w:space="0" w:color="auto"/>
        <w:left w:val="none" w:sz="0" w:space="0" w:color="auto"/>
        <w:bottom w:val="none" w:sz="0" w:space="0" w:color="auto"/>
        <w:right w:val="none" w:sz="0" w:space="0" w:color="auto"/>
      </w:divBdr>
    </w:div>
    <w:div w:id="766928522">
      <w:bodyDiv w:val="1"/>
      <w:marLeft w:val="0"/>
      <w:marRight w:val="0"/>
      <w:marTop w:val="0"/>
      <w:marBottom w:val="0"/>
      <w:divBdr>
        <w:top w:val="none" w:sz="0" w:space="0" w:color="auto"/>
        <w:left w:val="none" w:sz="0" w:space="0" w:color="auto"/>
        <w:bottom w:val="none" w:sz="0" w:space="0" w:color="auto"/>
        <w:right w:val="none" w:sz="0" w:space="0" w:color="auto"/>
      </w:divBdr>
    </w:div>
    <w:div w:id="768696026">
      <w:bodyDiv w:val="1"/>
      <w:marLeft w:val="0"/>
      <w:marRight w:val="0"/>
      <w:marTop w:val="0"/>
      <w:marBottom w:val="0"/>
      <w:divBdr>
        <w:top w:val="none" w:sz="0" w:space="0" w:color="auto"/>
        <w:left w:val="none" w:sz="0" w:space="0" w:color="auto"/>
        <w:bottom w:val="none" w:sz="0" w:space="0" w:color="auto"/>
        <w:right w:val="none" w:sz="0" w:space="0" w:color="auto"/>
      </w:divBdr>
    </w:div>
    <w:div w:id="768745074">
      <w:bodyDiv w:val="1"/>
      <w:marLeft w:val="0"/>
      <w:marRight w:val="0"/>
      <w:marTop w:val="0"/>
      <w:marBottom w:val="0"/>
      <w:divBdr>
        <w:top w:val="none" w:sz="0" w:space="0" w:color="auto"/>
        <w:left w:val="none" w:sz="0" w:space="0" w:color="auto"/>
        <w:bottom w:val="none" w:sz="0" w:space="0" w:color="auto"/>
        <w:right w:val="none" w:sz="0" w:space="0" w:color="auto"/>
      </w:divBdr>
    </w:div>
    <w:div w:id="768964712">
      <w:bodyDiv w:val="1"/>
      <w:marLeft w:val="0"/>
      <w:marRight w:val="0"/>
      <w:marTop w:val="0"/>
      <w:marBottom w:val="0"/>
      <w:divBdr>
        <w:top w:val="none" w:sz="0" w:space="0" w:color="auto"/>
        <w:left w:val="none" w:sz="0" w:space="0" w:color="auto"/>
        <w:bottom w:val="none" w:sz="0" w:space="0" w:color="auto"/>
        <w:right w:val="none" w:sz="0" w:space="0" w:color="auto"/>
      </w:divBdr>
    </w:div>
    <w:div w:id="773288850">
      <w:bodyDiv w:val="1"/>
      <w:marLeft w:val="0"/>
      <w:marRight w:val="0"/>
      <w:marTop w:val="0"/>
      <w:marBottom w:val="0"/>
      <w:divBdr>
        <w:top w:val="none" w:sz="0" w:space="0" w:color="auto"/>
        <w:left w:val="none" w:sz="0" w:space="0" w:color="auto"/>
        <w:bottom w:val="none" w:sz="0" w:space="0" w:color="auto"/>
        <w:right w:val="none" w:sz="0" w:space="0" w:color="auto"/>
      </w:divBdr>
    </w:div>
    <w:div w:id="773401022">
      <w:bodyDiv w:val="1"/>
      <w:marLeft w:val="0"/>
      <w:marRight w:val="0"/>
      <w:marTop w:val="0"/>
      <w:marBottom w:val="0"/>
      <w:divBdr>
        <w:top w:val="none" w:sz="0" w:space="0" w:color="auto"/>
        <w:left w:val="none" w:sz="0" w:space="0" w:color="auto"/>
        <w:bottom w:val="none" w:sz="0" w:space="0" w:color="auto"/>
        <w:right w:val="none" w:sz="0" w:space="0" w:color="auto"/>
      </w:divBdr>
    </w:div>
    <w:div w:id="784275393">
      <w:bodyDiv w:val="1"/>
      <w:marLeft w:val="0"/>
      <w:marRight w:val="0"/>
      <w:marTop w:val="0"/>
      <w:marBottom w:val="0"/>
      <w:divBdr>
        <w:top w:val="none" w:sz="0" w:space="0" w:color="auto"/>
        <w:left w:val="none" w:sz="0" w:space="0" w:color="auto"/>
        <w:bottom w:val="none" w:sz="0" w:space="0" w:color="auto"/>
        <w:right w:val="none" w:sz="0" w:space="0" w:color="auto"/>
      </w:divBdr>
    </w:div>
    <w:div w:id="795757989">
      <w:bodyDiv w:val="1"/>
      <w:marLeft w:val="0"/>
      <w:marRight w:val="0"/>
      <w:marTop w:val="0"/>
      <w:marBottom w:val="0"/>
      <w:divBdr>
        <w:top w:val="none" w:sz="0" w:space="0" w:color="auto"/>
        <w:left w:val="none" w:sz="0" w:space="0" w:color="auto"/>
        <w:bottom w:val="none" w:sz="0" w:space="0" w:color="auto"/>
        <w:right w:val="none" w:sz="0" w:space="0" w:color="auto"/>
      </w:divBdr>
    </w:div>
    <w:div w:id="797071985">
      <w:bodyDiv w:val="1"/>
      <w:marLeft w:val="0"/>
      <w:marRight w:val="0"/>
      <w:marTop w:val="0"/>
      <w:marBottom w:val="0"/>
      <w:divBdr>
        <w:top w:val="none" w:sz="0" w:space="0" w:color="auto"/>
        <w:left w:val="none" w:sz="0" w:space="0" w:color="auto"/>
        <w:bottom w:val="none" w:sz="0" w:space="0" w:color="auto"/>
        <w:right w:val="none" w:sz="0" w:space="0" w:color="auto"/>
      </w:divBdr>
    </w:div>
    <w:div w:id="798451242">
      <w:bodyDiv w:val="1"/>
      <w:marLeft w:val="0"/>
      <w:marRight w:val="0"/>
      <w:marTop w:val="0"/>
      <w:marBottom w:val="0"/>
      <w:divBdr>
        <w:top w:val="none" w:sz="0" w:space="0" w:color="auto"/>
        <w:left w:val="none" w:sz="0" w:space="0" w:color="auto"/>
        <w:bottom w:val="none" w:sz="0" w:space="0" w:color="auto"/>
        <w:right w:val="none" w:sz="0" w:space="0" w:color="auto"/>
      </w:divBdr>
    </w:div>
    <w:div w:id="802622639">
      <w:bodyDiv w:val="1"/>
      <w:marLeft w:val="0"/>
      <w:marRight w:val="0"/>
      <w:marTop w:val="0"/>
      <w:marBottom w:val="0"/>
      <w:divBdr>
        <w:top w:val="none" w:sz="0" w:space="0" w:color="auto"/>
        <w:left w:val="none" w:sz="0" w:space="0" w:color="auto"/>
        <w:bottom w:val="none" w:sz="0" w:space="0" w:color="auto"/>
        <w:right w:val="none" w:sz="0" w:space="0" w:color="auto"/>
      </w:divBdr>
    </w:div>
    <w:div w:id="806703923">
      <w:bodyDiv w:val="1"/>
      <w:marLeft w:val="0"/>
      <w:marRight w:val="0"/>
      <w:marTop w:val="0"/>
      <w:marBottom w:val="0"/>
      <w:divBdr>
        <w:top w:val="none" w:sz="0" w:space="0" w:color="auto"/>
        <w:left w:val="none" w:sz="0" w:space="0" w:color="auto"/>
        <w:bottom w:val="none" w:sz="0" w:space="0" w:color="auto"/>
        <w:right w:val="none" w:sz="0" w:space="0" w:color="auto"/>
      </w:divBdr>
    </w:div>
    <w:div w:id="806897891">
      <w:bodyDiv w:val="1"/>
      <w:marLeft w:val="0"/>
      <w:marRight w:val="0"/>
      <w:marTop w:val="0"/>
      <w:marBottom w:val="0"/>
      <w:divBdr>
        <w:top w:val="none" w:sz="0" w:space="0" w:color="auto"/>
        <w:left w:val="none" w:sz="0" w:space="0" w:color="auto"/>
        <w:bottom w:val="none" w:sz="0" w:space="0" w:color="auto"/>
        <w:right w:val="none" w:sz="0" w:space="0" w:color="auto"/>
      </w:divBdr>
    </w:div>
    <w:div w:id="808285058">
      <w:bodyDiv w:val="1"/>
      <w:marLeft w:val="0"/>
      <w:marRight w:val="0"/>
      <w:marTop w:val="0"/>
      <w:marBottom w:val="0"/>
      <w:divBdr>
        <w:top w:val="none" w:sz="0" w:space="0" w:color="auto"/>
        <w:left w:val="none" w:sz="0" w:space="0" w:color="auto"/>
        <w:bottom w:val="none" w:sz="0" w:space="0" w:color="auto"/>
        <w:right w:val="none" w:sz="0" w:space="0" w:color="auto"/>
      </w:divBdr>
      <w:divsChild>
        <w:div w:id="880164603">
          <w:marLeft w:val="0"/>
          <w:marRight w:val="0"/>
          <w:marTop w:val="0"/>
          <w:marBottom w:val="0"/>
          <w:divBdr>
            <w:top w:val="none" w:sz="0" w:space="0" w:color="auto"/>
            <w:left w:val="none" w:sz="0" w:space="0" w:color="auto"/>
            <w:bottom w:val="none" w:sz="0" w:space="0" w:color="auto"/>
            <w:right w:val="none" w:sz="0" w:space="0" w:color="auto"/>
          </w:divBdr>
        </w:div>
      </w:divsChild>
    </w:div>
    <w:div w:id="811407887">
      <w:bodyDiv w:val="1"/>
      <w:marLeft w:val="0"/>
      <w:marRight w:val="0"/>
      <w:marTop w:val="0"/>
      <w:marBottom w:val="0"/>
      <w:divBdr>
        <w:top w:val="none" w:sz="0" w:space="0" w:color="auto"/>
        <w:left w:val="none" w:sz="0" w:space="0" w:color="auto"/>
        <w:bottom w:val="none" w:sz="0" w:space="0" w:color="auto"/>
        <w:right w:val="none" w:sz="0" w:space="0" w:color="auto"/>
      </w:divBdr>
    </w:div>
    <w:div w:id="814684410">
      <w:bodyDiv w:val="1"/>
      <w:marLeft w:val="0"/>
      <w:marRight w:val="0"/>
      <w:marTop w:val="0"/>
      <w:marBottom w:val="0"/>
      <w:divBdr>
        <w:top w:val="none" w:sz="0" w:space="0" w:color="auto"/>
        <w:left w:val="none" w:sz="0" w:space="0" w:color="auto"/>
        <w:bottom w:val="none" w:sz="0" w:space="0" w:color="auto"/>
        <w:right w:val="none" w:sz="0" w:space="0" w:color="auto"/>
      </w:divBdr>
      <w:divsChild>
        <w:div w:id="1445269843">
          <w:marLeft w:val="0"/>
          <w:marRight w:val="0"/>
          <w:marTop w:val="0"/>
          <w:marBottom w:val="0"/>
          <w:divBdr>
            <w:top w:val="none" w:sz="0" w:space="0" w:color="auto"/>
            <w:left w:val="none" w:sz="0" w:space="0" w:color="auto"/>
            <w:bottom w:val="none" w:sz="0" w:space="0" w:color="auto"/>
            <w:right w:val="none" w:sz="0" w:space="0" w:color="auto"/>
          </w:divBdr>
        </w:div>
      </w:divsChild>
    </w:div>
    <w:div w:id="826702057">
      <w:bodyDiv w:val="1"/>
      <w:marLeft w:val="0"/>
      <w:marRight w:val="0"/>
      <w:marTop w:val="0"/>
      <w:marBottom w:val="0"/>
      <w:divBdr>
        <w:top w:val="none" w:sz="0" w:space="0" w:color="auto"/>
        <w:left w:val="none" w:sz="0" w:space="0" w:color="auto"/>
        <w:bottom w:val="none" w:sz="0" w:space="0" w:color="auto"/>
        <w:right w:val="none" w:sz="0" w:space="0" w:color="auto"/>
      </w:divBdr>
    </w:div>
    <w:div w:id="832373841">
      <w:bodyDiv w:val="1"/>
      <w:marLeft w:val="0"/>
      <w:marRight w:val="0"/>
      <w:marTop w:val="0"/>
      <w:marBottom w:val="0"/>
      <w:divBdr>
        <w:top w:val="none" w:sz="0" w:space="0" w:color="auto"/>
        <w:left w:val="none" w:sz="0" w:space="0" w:color="auto"/>
        <w:bottom w:val="none" w:sz="0" w:space="0" w:color="auto"/>
        <w:right w:val="none" w:sz="0" w:space="0" w:color="auto"/>
      </w:divBdr>
    </w:div>
    <w:div w:id="839195665">
      <w:bodyDiv w:val="1"/>
      <w:marLeft w:val="0"/>
      <w:marRight w:val="0"/>
      <w:marTop w:val="0"/>
      <w:marBottom w:val="0"/>
      <w:divBdr>
        <w:top w:val="none" w:sz="0" w:space="0" w:color="auto"/>
        <w:left w:val="none" w:sz="0" w:space="0" w:color="auto"/>
        <w:bottom w:val="none" w:sz="0" w:space="0" w:color="auto"/>
        <w:right w:val="none" w:sz="0" w:space="0" w:color="auto"/>
      </w:divBdr>
    </w:div>
    <w:div w:id="850527291">
      <w:bodyDiv w:val="1"/>
      <w:marLeft w:val="0"/>
      <w:marRight w:val="0"/>
      <w:marTop w:val="0"/>
      <w:marBottom w:val="0"/>
      <w:divBdr>
        <w:top w:val="none" w:sz="0" w:space="0" w:color="auto"/>
        <w:left w:val="none" w:sz="0" w:space="0" w:color="auto"/>
        <w:bottom w:val="none" w:sz="0" w:space="0" w:color="auto"/>
        <w:right w:val="none" w:sz="0" w:space="0" w:color="auto"/>
      </w:divBdr>
    </w:div>
    <w:div w:id="857154980">
      <w:bodyDiv w:val="1"/>
      <w:marLeft w:val="0"/>
      <w:marRight w:val="0"/>
      <w:marTop w:val="0"/>
      <w:marBottom w:val="0"/>
      <w:divBdr>
        <w:top w:val="none" w:sz="0" w:space="0" w:color="auto"/>
        <w:left w:val="none" w:sz="0" w:space="0" w:color="auto"/>
        <w:bottom w:val="none" w:sz="0" w:space="0" w:color="auto"/>
        <w:right w:val="none" w:sz="0" w:space="0" w:color="auto"/>
      </w:divBdr>
      <w:divsChild>
        <w:div w:id="138153669">
          <w:marLeft w:val="0"/>
          <w:marRight w:val="0"/>
          <w:marTop w:val="0"/>
          <w:marBottom w:val="0"/>
          <w:divBdr>
            <w:top w:val="none" w:sz="0" w:space="0" w:color="auto"/>
            <w:left w:val="none" w:sz="0" w:space="0" w:color="auto"/>
            <w:bottom w:val="none" w:sz="0" w:space="0" w:color="auto"/>
            <w:right w:val="none" w:sz="0" w:space="0" w:color="auto"/>
          </w:divBdr>
        </w:div>
      </w:divsChild>
    </w:div>
    <w:div w:id="861743296">
      <w:bodyDiv w:val="1"/>
      <w:marLeft w:val="0"/>
      <w:marRight w:val="0"/>
      <w:marTop w:val="0"/>
      <w:marBottom w:val="0"/>
      <w:divBdr>
        <w:top w:val="none" w:sz="0" w:space="0" w:color="auto"/>
        <w:left w:val="none" w:sz="0" w:space="0" w:color="auto"/>
        <w:bottom w:val="none" w:sz="0" w:space="0" w:color="auto"/>
        <w:right w:val="none" w:sz="0" w:space="0" w:color="auto"/>
      </w:divBdr>
    </w:div>
    <w:div w:id="864097374">
      <w:bodyDiv w:val="1"/>
      <w:marLeft w:val="0"/>
      <w:marRight w:val="0"/>
      <w:marTop w:val="0"/>
      <w:marBottom w:val="0"/>
      <w:divBdr>
        <w:top w:val="none" w:sz="0" w:space="0" w:color="auto"/>
        <w:left w:val="none" w:sz="0" w:space="0" w:color="auto"/>
        <w:bottom w:val="none" w:sz="0" w:space="0" w:color="auto"/>
        <w:right w:val="none" w:sz="0" w:space="0" w:color="auto"/>
      </w:divBdr>
    </w:div>
    <w:div w:id="870462441">
      <w:bodyDiv w:val="1"/>
      <w:marLeft w:val="0"/>
      <w:marRight w:val="0"/>
      <w:marTop w:val="0"/>
      <w:marBottom w:val="0"/>
      <w:divBdr>
        <w:top w:val="none" w:sz="0" w:space="0" w:color="auto"/>
        <w:left w:val="none" w:sz="0" w:space="0" w:color="auto"/>
        <w:bottom w:val="none" w:sz="0" w:space="0" w:color="auto"/>
        <w:right w:val="none" w:sz="0" w:space="0" w:color="auto"/>
      </w:divBdr>
    </w:div>
    <w:div w:id="873543154">
      <w:bodyDiv w:val="1"/>
      <w:marLeft w:val="0"/>
      <w:marRight w:val="0"/>
      <w:marTop w:val="0"/>
      <w:marBottom w:val="0"/>
      <w:divBdr>
        <w:top w:val="none" w:sz="0" w:space="0" w:color="auto"/>
        <w:left w:val="none" w:sz="0" w:space="0" w:color="auto"/>
        <w:bottom w:val="none" w:sz="0" w:space="0" w:color="auto"/>
        <w:right w:val="none" w:sz="0" w:space="0" w:color="auto"/>
      </w:divBdr>
    </w:div>
    <w:div w:id="875433036">
      <w:bodyDiv w:val="1"/>
      <w:marLeft w:val="0"/>
      <w:marRight w:val="0"/>
      <w:marTop w:val="0"/>
      <w:marBottom w:val="0"/>
      <w:divBdr>
        <w:top w:val="none" w:sz="0" w:space="0" w:color="auto"/>
        <w:left w:val="none" w:sz="0" w:space="0" w:color="auto"/>
        <w:bottom w:val="none" w:sz="0" w:space="0" w:color="auto"/>
        <w:right w:val="none" w:sz="0" w:space="0" w:color="auto"/>
      </w:divBdr>
    </w:div>
    <w:div w:id="879975221">
      <w:bodyDiv w:val="1"/>
      <w:marLeft w:val="0"/>
      <w:marRight w:val="0"/>
      <w:marTop w:val="0"/>
      <w:marBottom w:val="0"/>
      <w:divBdr>
        <w:top w:val="none" w:sz="0" w:space="0" w:color="auto"/>
        <w:left w:val="none" w:sz="0" w:space="0" w:color="auto"/>
        <w:bottom w:val="none" w:sz="0" w:space="0" w:color="auto"/>
        <w:right w:val="none" w:sz="0" w:space="0" w:color="auto"/>
      </w:divBdr>
    </w:div>
    <w:div w:id="881476124">
      <w:bodyDiv w:val="1"/>
      <w:marLeft w:val="0"/>
      <w:marRight w:val="0"/>
      <w:marTop w:val="0"/>
      <w:marBottom w:val="0"/>
      <w:divBdr>
        <w:top w:val="none" w:sz="0" w:space="0" w:color="auto"/>
        <w:left w:val="none" w:sz="0" w:space="0" w:color="auto"/>
        <w:bottom w:val="none" w:sz="0" w:space="0" w:color="auto"/>
        <w:right w:val="none" w:sz="0" w:space="0" w:color="auto"/>
      </w:divBdr>
    </w:div>
    <w:div w:id="884216301">
      <w:bodyDiv w:val="1"/>
      <w:marLeft w:val="0"/>
      <w:marRight w:val="0"/>
      <w:marTop w:val="0"/>
      <w:marBottom w:val="0"/>
      <w:divBdr>
        <w:top w:val="none" w:sz="0" w:space="0" w:color="auto"/>
        <w:left w:val="none" w:sz="0" w:space="0" w:color="auto"/>
        <w:bottom w:val="none" w:sz="0" w:space="0" w:color="auto"/>
        <w:right w:val="none" w:sz="0" w:space="0" w:color="auto"/>
      </w:divBdr>
      <w:divsChild>
        <w:div w:id="2041123549">
          <w:marLeft w:val="0"/>
          <w:marRight w:val="0"/>
          <w:marTop w:val="0"/>
          <w:marBottom w:val="0"/>
          <w:divBdr>
            <w:top w:val="none" w:sz="0" w:space="0" w:color="auto"/>
            <w:left w:val="none" w:sz="0" w:space="0" w:color="auto"/>
            <w:bottom w:val="none" w:sz="0" w:space="0" w:color="auto"/>
            <w:right w:val="none" w:sz="0" w:space="0" w:color="auto"/>
          </w:divBdr>
        </w:div>
      </w:divsChild>
    </w:div>
    <w:div w:id="887061883">
      <w:bodyDiv w:val="1"/>
      <w:marLeft w:val="0"/>
      <w:marRight w:val="0"/>
      <w:marTop w:val="0"/>
      <w:marBottom w:val="0"/>
      <w:divBdr>
        <w:top w:val="none" w:sz="0" w:space="0" w:color="auto"/>
        <w:left w:val="none" w:sz="0" w:space="0" w:color="auto"/>
        <w:bottom w:val="none" w:sz="0" w:space="0" w:color="auto"/>
        <w:right w:val="none" w:sz="0" w:space="0" w:color="auto"/>
      </w:divBdr>
    </w:div>
    <w:div w:id="890307927">
      <w:bodyDiv w:val="1"/>
      <w:marLeft w:val="0"/>
      <w:marRight w:val="0"/>
      <w:marTop w:val="0"/>
      <w:marBottom w:val="0"/>
      <w:divBdr>
        <w:top w:val="none" w:sz="0" w:space="0" w:color="auto"/>
        <w:left w:val="none" w:sz="0" w:space="0" w:color="auto"/>
        <w:bottom w:val="none" w:sz="0" w:space="0" w:color="auto"/>
        <w:right w:val="none" w:sz="0" w:space="0" w:color="auto"/>
      </w:divBdr>
      <w:divsChild>
        <w:div w:id="647902169">
          <w:marLeft w:val="0"/>
          <w:marRight w:val="0"/>
          <w:marTop w:val="0"/>
          <w:marBottom w:val="0"/>
          <w:divBdr>
            <w:top w:val="none" w:sz="0" w:space="0" w:color="auto"/>
            <w:left w:val="none" w:sz="0" w:space="0" w:color="auto"/>
            <w:bottom w:val="none" w:sz="0" w:space="0" w:color="auto"/>
            <w:right w:val="none" w:sz="0" w:space="0" w:color="auto"/>
          </w:divBdr>
        </w:div>
      </w:divsChild>
    </w:div>
    <w:div w:id="893151854">
      <w:bodyDiv w:val="1"/>
      <w:marLeft w:val="0"/>
      <w:marRight w:val="0"/>
      <w:marTop w:val="0"/>
      <w:marBottom w:val="0"/>
      <w:divBdr>
        <w:top w:val="none" w:sz="0" w:space="0" w:color="auto"/>
        <w:left w:val="none" w:sz="0" w:space="0" w:color="auto"/>
        <w:bottom w:val="none" w:sz="0" w:space="0" w:color="auto"/>
        <w:right w:val="none" w:sz="0" w:space="0" w:color="auto"/>
      </w:divBdr>
    </w:div>
    <w:div w:id="895238565">
      <w:bodyDiv w:val="1"/>
      <w:marLeft w:val="0"/>
      <w:marRight w:val="0"/>
      <w:marTop w:val="0"/>
      <w:marBottom w:val="0"/>
      <w:divBdr>
        <w:top w:val="none" w:sz="0" w:space="0" w:color="auto"/>
        <w:left w:val="none" w:sz="0" w:space="0" w:color="auto"/>
        <w:bottom w:val="none" w:sz="0" w:space="0" w:color="auto"/>
        <w:right w:val="none" w:sz="0" w:space="0" w:color="auto"/>
      </w:divBdr>
    </w:div>
    <w:div w:id="905266036">
      <w:bodyDiv w:val="1"/>
      <w:marLeft w:val="0"/>
      <w:marRight w:val="0"/>
      <w:marTop w:val="0"/>
      <w:marBottom w:val="0"/>
      <w:divBdr>
        <w:top w:val="none" w:sz="0" w:space="0" w:color="auto"/>
        <w:left w:val="none" w:sz="0" w:space="0" w:color="auto"/>
        <w:bottom w:val="none" w:sz="0" w:space="0" w:color="auto"/>
        <w:right w:val="none" w:sz="0" w:space="0" w:color="auto"/>
      </w:divBdr>
    </w:div>
    <w:div w:id="906765958">
      <w:bodyDiv w:val="1"/>
      <w:marLeft w:val="0"/>
      <w:marRight w:val="0"/>
      <w:marTop w:val="0"/>
      <w:marBottom w:val="0"/>
      <w:divBdr>
        <w:top w:val="none" w:sz="0" w:space="0" w:color="auto"/>
        <w:left w:val="none" w:sz="0" w:space="0" w:color="auto"/>
        <w:bottom w:val="none" w:sz="0" w:space="0" w:color="auto"/>
        <w:right w:val="none" w:sz="0" w:space="0" w:color="auto"/>
      </w:divBdr>
    </w:div>
    <w:div w:id="908467897">
      <w:bodyDiv w:val="1"/>
      <w:marLeft w:val="0"/>
      <w:marRight w:val="0"/>
      <w:marTop w:val="0"/>
      <w:marBottom w:val="0"/>
      <w:divBdr>
        <w:top w:val="none" w:sz="0" w:space="0" w:color="auto"/>
        <w:left w:val="none" w:sz="0" w:space="0" w:color="auto"/>
        <w:bottom w:val="none" w:sz="0" w:space="0" w:color="auto"/>
        <w:right w:val="none" w:sz="0" w:space="0" w:color="auto"/>
      </w:divBdr>
    </w:div>
    <w:div w:id="909577404">
      <w:bodyDiv w:val="1"/>
      <w:marLeft w:val="0"/>
      <w:marRight w:val="0"/>
      <w:marTop w:val="0"/>
      <w:marBottom w:val="0"/>
      <w:divBdr>
        <w:top w:val="none" w:sz="0" w:space="0" w:color="auto"/>
        <w:left w:val="none" w:sz="0" w:space="0" w:color="auto"/>
        <w:bottom w:val="none" w:sz="0" w:space="0" w:color="auto"/>
        <w:right w:val="none" w:sz="0" w:space="0" w:color="auto"/>
      </w:divBdr>
      <w:divsChild>
        <w:div w:id="992104685">
          <w:marLeft w:val="0"/>
          <w:marRight w:val="0"/>
          <w:marTop w:val="0"/>
          <w:marBottom w:val="0"/>
          <w:divBdr>
            <w:top w:val="none" w:sz="0" w:space="0" w:color="auto"/>
            <w:left w:val="none" w:sz="0" w:space="0" w:color="auto"/>
            <w:bottom w:val="none" w:sz="0" w:space="0" w:color="auto"/>
            <w:right w:val="none" w:sz="0" w:space="0" w:color="auto"/>
          </w:divBdr>
        </w:div>
      </w:divsChild>
    </w:div>
    <w:div w:id="909854028">
      <w:bodyDiv w:val="1"/>
      <w:marLeft w:val="0"/>
      <w:marRight w:val="0"/>
      <w:marTop w:val="0"/>
      <w:marBottom w:val="0"/>
      <w:divBdr>
        <w:top w:val="none" w:sz="0" w:space="0" w:color="auto"/>
        <w:left w:val="none" w:sz="0" w:space="0" w:color="auto"/>
        <w:bottom w:val="none" w:sz="0" w:space="0" w:color="auto"/>
        <w:right w:val="none" w:sz="0" w:space="0" w:color="auto"/>
      </w:divBdr>
    </w:div>
    <w:div w:id="916591122">
      <w:bodyDiv w:val="1"/>
      <w:marLeft w:val="0"/>
      <w:marRight w:val="0"/>
      <w:marTop w:val="0"/>
      <w:marBottom w:val="0"/>
      <w:divBdr>
        <w:top w:val="none" w:sz="0" w:space="0" w:color="auto"/>
        <w:left w:val="none" w:sz="0" w:space="0" w:color="auto"/>
        <w:bottom w:val="none" w:sz="0" w:space="0" w:color="auto"/>
        <w:right w:val="none" w:sz="0" w:space="0" w:color="auto"/>
      </w:divBdr>
    </w:div>
    <w:div w:id="917783883">
      <w:bodyDiv w:val="1"/>
      <w:marLeft w:val="0"/>
      <w:marRight w:val="0"/>
      <w:marTop w:val="0"/>
      <w:marBottom w:val="0"/>
      <w:divBdr>
        <w:top w:val="none" w:sz="0" w:space="0" w:color="auto"/>
        <w:left w:val="none" w:sz="0" w:space="0" w:color="auto"/>
        <w:bottom w:val="none" w:sz="0" w:space="0" w:color="auto"/>
        <w:right w:val="none" w:sz="0" w:space="0" w:color="auto"/>
      </w:divBdr>
    </w:div>
    <w:div w:id="919564981">
      <w:bodyDiv w:val="1"/>
      <w:marLeft w:val="0"/>
      <w:marRight w:val="0"/>
      <w:marTop w:val="0"/>
      <w:marBottom w:val="0"/>
      <w:divBdr>
        <w:top w:val="none" w:sz="0" w:space="0" w:color="auto"/>
        <w:left w:val="none" w:sz="0" w:space="0" w:color="auto"/>
        <w:bottom w:val="none" w:sz="0" w:space="0" w:color="auto"/>
        <w:right w:val="none" w:sz="0" w:space="0" w:color="auto"/>
      </w:divBdr>
    </w:div>
    <w:div w:id="922490430">
      <w:bodyDiv w:val="1"/>
      <w:marLeft w:val="0"/>
      <w:marRight w:val="0"/>
      <w:marTop w:val="0"/>
      <w:marBottom w:val="0"/>
      <w:divBdr>
        <w:top w:val="none" w:sz="0" w:space="0" w:color="auto"/>
        <w:left w:val="none" w:sz="0" w:space="0" w:color="auto"/>
        <w:bottom w:val="none" w:sz="0" w:space="0" w:color="auto"/>
        <w:right w:val="none" w:sz="0" w:space="0" w:color="auto"/>
      </w:divBdr>
    </w:div>
    <w:div w:id="924337163">
      <w:bodyDiv w:val="1"/>
      <w:marLeft w:val="0"/>
      <w:marRight w:val="0"/>
      <w:marTop w:val="0"/>
      <w:marBottom w:val="0"/>
      <w:divBdr>
        <w:top w:val="none" w:sz="0" w:space="0" w:color="auto"/>
        <w:left w:val="none" w:sz="0" w:space="0" w:color="auto"/>
        <w:bottom w:val="none" w:sz="0" w:space="0" w:color="auto"/>
        <w:right w:val="none" w:sz="0" w:space="0" w:color="auto"/>
      </w:divBdr>
    </w:div>
    <w:div w:id="924850181">
      <w:bodyDiv w:val="1"/>
      <w:marLeft w:val="0"/>
      <w:marRight w:val="0"/>
      <w:marTop w:val="0"/>
      <w:marBottom w:val="0"/>
      <w:divBdr>
        <w:top w:val="none" w:sz="0" w:space="0" w:color="auto"/>
        <w:left w:val="none" w:sz="0" w:space="0" w:color="auto"/>
        <w:bottom w:val="none" w:sz="0" w:space="0" w:color="auto"/>
        <w:right w:val="none" w:sz="0" w:space="0" w:color="auto"/>
      </w:divBdr>
    </w:div>
    <w:div w:id="925116270">
      <w:bodyDiv w:val="1"/>
      <w:marLeft w:val="0"/>
      <w:marRight w:val="0"/>
      <w:marTop w:val="0"/>
      <w:marBottom w:val="0"/>
      <w:divBdr>
        <w:top w:val="none" w:sz="0" w:space="0" w:color="auto"/>
        <w:left w:val="none" w:sz="0" w:space="0" w:color="auto"/>
        <w:bottom w:val="none" w:sz="0" w:space="0" w:color="auto"/>
        <w:right w:val="none" w:sz="0" w:space="0" w:color="auto"/>
      </w:divBdr>
    </w:div>
    <w:div w:id="926160649">
      <w:bodyDiv w:val="1"/>
      <w:marLeft w:val="0"/>
      <w:marRight w:val="0"/>
      <w:marTop w:val="0"/>
      <w:marBottom w:val="0"/>
      <w:divBdr>
        <w:top w:val="none" w:sz="0" w:space="0" w:color="auto"/>
        <w:left w:val="none" w:sz="0" w:space="0" w:color="auto"/>
        <w:bottom w:val="none" w:sz="0" w:space="0" w:color="auto"/>
        <w:right w:val="none" w:sz="0" w:space="0" w:color="auto"/>
      </w:divBdr>
    </w:div>
    <w:div w:id="927621712">
      <w:bodyDiv w:val="1"/>
      <w:marLeft w:val="0"/>
      <w:marRight w:val="0"/>
      <w:marTop w:val="0"/>
      <w:marBottom w:val="0"/>
      <w:divBdr>
        <w:top w:val="none" w:sz="0" w:space="0" w:color="auto"/>
        <w:left w:val="none" w:sz="0" w:space="0" w:color="auto"/>
        <w:bottom w:val="none" w:sz="0" w:space="0" w:color="auto"/>
        <w:right w:val="none" w:sz="0" w:space="0" w:color="auto"/>
      </w:divBdr>
    </w:div>
    <w:div w:id="928346738">
      <w:bodyDiv w:val="1"/>
      <w:marLeft w:val="0"/>
      <w:marRight w:val="0"/>
      <w:marTop w:val="0"/>
      <w:marBottom w:val="0"/>
      <w:divBdr>
        <w:top w:val="none" w:sz="0" w:space="0" w:color="auto"/>
        <w:left w:val="none" w:sz="0" w:space="0" w:color="auto"/>
        <w:bottom w:val="none" w:sz="0" w:space="0" w:color="auto"/>
        <w:right w:val="none" w:sz="0" w:space="0" w:color="auto"/>
      </w:divBdr>
      <w:divsChild>
        <w:div w:id="601690281">
          <w:marLeft w:val="0"/>
          <w:marRight w:val="0"/>
          <w:marTop w:val="0"/>
          <w:marBottom w:val="0"/>
          <w:divBdr>
            <w:top w:val="none" w:sz="0" w:space="0" w:color="auto"/>
            <w:left w:val="none" w:sz="0" w:space="0" w:color="auto"/>
            <w:bottom w:val="none" w:sz="0" w:space="0" w:color="auto"/>
            <w:right w:val="none" w:sz="0" w:space="0" w:color="auto"/>
          </w:divBdr>
        </w:div>
      </w:divsChild>
    </w:div>
    <w:div w:id="931400917">
      <w:bodyDiv w:val="1"/>
      <w:marLeft w:val="0"/>
      <w:marRight w:val="0"/>
      <w:marTop w:val="0"/>
      <w:marBottom w:val="0"/>
      <w:divBdr>
        <w:top w:val="none" w:sz="0" w:space="0" w:color="auto"/>
        <w:left w:val="none" w:sz="0" w:space="0" w:color="auto"/>
        <w:bottom w:val="none" w:sz="0" w:space="0" w:color="auto"/>
        <w:right w:val="none" w:sz="0" w:space="0" w:color="auto"/>
      </w:divBdr>
    </w:div>
    <w:div w:id="932512894">
      <w:bodyDiv w:val="1"/>
      <w:marLeft w:val="0"/>
      <w:marRight w:val="0"/>
      <w:marTop w:val="0"/>
      <w:marBottom w:val="0"/>
      <w:divBdr>
        <w:top w:val="none" w:sz="0" w:space="0" w:color="auto"/>
        <w:left w:val="none" w:sz="0" w:space="0" w:color="auto"/>
        <w:bottom w:val="none" w:sz="0" w:space="0" w:color="auto"/>
        <w:right w:val="none" w:sz="0" w:space="0" w:color="auto"/>
      </w:divBdr>
    </w:div>
    <w:div w:id="940532093">
      <w:bodyDiv w:val="1"/>
      <w:marLeft w:val="0"/>
      <w:marRight w:val="0"/>
      <w:marTop w:val="0"/>
      <w:marBottom w:val="0"/>
      <w:divBdr>
        <w:top w:val="none" w:sz="0" w:space="0" w:color="auto"/>
        <w:left w:val="none" w:sz="0" w:space="0" w:color="auto"/>
        <w:bottom w:val="none" w:sz="0" w:space="0" w:color="auto"/>
        <w:right w:val="none" w:sz="0" w:space="0" w:color="auto"/>
      </w:divBdr>
      <w:divsChild>
        <w:div w:id="1354381227">
          <w:marLeft w:val="0"/>
          <w:marRight w:val="0"/>
          <w:marTop w:val="0"/>
          <w:marBottom w:val="0"/>
          <w:divBdr>
            <w:top w:val="none" w:sz="0" w:space="0" w:color="auto"/>
            <w:left w:val="none" w:sz="0" w:space="0" w:color="auto"/>
            <w:bottom w:val="none" w:sz="0" w:space="0" w:color="auto"/>
            <w:right w:val="none" w:sz="0" w:space="0" w:color="auto"/>
          </w:divBdr>
        </w:div>
      </w:divsChild>
    </w:div>
    <w:div w:id="949435813">
      <w:bodyDiv w:val="1"/>
      <w:marLeft w:val="0"/>
      <w:marRight w:val="0"/>
      <w:marTop w:val="0"/>
      <w:marBottom w:val="0"/>
      <w:divBdr>
        <w:top w:val="none" w:sz="0" w:space="0" w:color="auto"/>
        <w:left w:val="none" w:sz="0" w:space="0" w:color="auto"/>
        <w:bottom w:val="none" w:sz="0" w:space="0" w:color="auto"/>
        <w:right w:val="none" w:sz="0" w:space="0" w:color="auto"/>
      </w:divBdr>
    </w:div>
    <w:div w:id="949507009">
      <w:bodyDiv w:val="1"/>
      <w:marLeft w:val="0"/>
      <w:marRight w:val="0"/>
      <w:marTop w:val="0"/>
      <w:marBottom w:val="0"/>
      <w:divBdr>
        <w:top w:val="none" w:sz="0" w:space="0" w:color="auto"/>
        <w:left w:val="none" w:sz="0" w:space="0" w:color="auto"/>
        <w:bottom w:val="none" w:sz="0" w:space="0" w:color="auto"/>
        <w:right w:val="none" w:sz="0" w:space="0" w:color="auto"/>
      </w:divBdr>
    </w:div>
    <w:div w:id="949583388">
      <w:bodyDiv w:val="1"/>
      <w:marLeft w:val="0"/>
      <w:marRight w:val="0"/>
      <w:marTop w:val="0"/>
      <w:marBottom w:val="0"/>
      <w:divBdr>
        <w:top w:val="none" w:sz="0" w:space="0" w:color="auto"/>
        <w:left w:val="none" w:sz="0" w:space="0" w:color="auto"/>
        <w:bottom w:val="none" w:sz="0" w:space="0" w:color="auto"/>
        <w:right w:val="none" w:sz="0" w:space="0" w:color="auto"/>
      </w:divBdr>
      <w:divsChild>
        <w:div w:id="1958751270">
          <w:marLeft w:val="0"/>
          <w:marRight w:val="0"/>
          <w:marTop w:val="0"/>
          <w:marBottom w:val="0"/>
          <w:divBdr>
            <w:top w:val="none" w:sz="0" w:space="0" w:color="auto"/>
            <w:left w:val="none" w:sz="0" w:space="0" w:color="auto"/>
            <w:bottom w:val="none" w:sz="0" w:space="0" w:color="auto"/>
            <w:right w:val="none" w:sz="0" w:space="0" w:color="auto"/>
          </w:divBdr>
        </w:div>
      </w:divsChild>
    </w:div>
    <w:div w:id="953443692">
      <w:bodyDiv w:val="1"/>
      <w:marLeft w:val="0"/>
      <w:marRight w:val="0"/>
      <w:marTop w:val="0"/>
      <w:marBottom w:val="0"/>
      <w:divBdr>
        <w:top w:val="none" w:sz="0" w:space="0" w:color="auto"/>
        <w:left w:val="none" w:sz="0" w:space="0" w:color="auto"/>
        <w:bottom w:val="none" w:sz="0" w:space="0" w:color="auto"/>
        <w:right w:val="none" w:sz="0" w:space="0" w:color="auto"/>
      </w:divBdr>
      <w:divsChild>
        <w:div w:id="1999965136">
          <w:marLeft w:val="0"/>
          <w:marRight w:val="0"/>
          <w:marTop w:val="0"/>
          <w:marBottom w:val="0"/>
          <w:divBdr>
            <w:top w:val="none" w:sz="0" w:space="0" w:color="auto"/>
            <w:left w:val="none" w:sz="0" w:space="0" w:color="auto"/>
            <w:bottom w:val="none" w:sz="0" w:space="0" w:color="auto"/>
            <w:right w:val="none" w:sz="0" w:space="0" w:color="auto"/>
          </w:divBdr>
        </w:div>
      </w:divsChild>
    </w:div>
    <w:div w:id="954217630">
      <w:bodyDiv w:val="1"/>
      <w:marLeft w:val="0"/>
      <w:marRight w:val="0"/>
      <w:marTop w:val="0"/>
      <w:marBottom w:val="0"/>
      <w:divBdr>
        <w:top w:val="none" w:sz="0" w:space="0" w:color="auto"/>
        <w:left w:val="none" w:sz="0" w:space="0" w:color="auto"/>
        <w:bottom w:val="none" w:sz="0" w:space="0" w:color="auto"/>
        <w:right w:val="none" w:sz="0" w:space="0" w:color="auto"/>
      </w:divBdr>
    </w:div>
    <w:div w:id="955672478">
      <w:bodyDiv w:val="1"/>
      <w:marLeft w:val="0"/>
      <w:marRight w:val="0"/>
      <w:marTop w:val="0"/>
      <w:marBottom w:val="0"/>
      <w:divBdr>
        <w:top w:val="none" w:sz="0" w:space="0" w:color="auto"/>
        <w:left w:val="none" w:sz="0" w:space="0" w:color="auto"/>
        <w:bottom w:val="none" w:sz="0" w:space="0" w:color="auto"/>
        <w:right w:val="none" w:sz="0" w:space="0" w:color="auto"/>
      </w:divBdr>
    </w:div>
    <w:div w:id="960575277">
      <w:bodyDiv w:val="1"/>
      <w:marLeft w:val="0"/>
      <w:marRight w:val="0"/>
      <w:marTop w:val="0"/>
      <w:marBottom w:val="0"/>
      <w:divBdr>
        <w:top w:val="none" w:sz="0" w:space="0" w:color="auto"/>
        <w:left w:val="none" w:sz="0" w:space="0" w:color="auto"/>
        <w:bottom w:val="none" w:sz="0" w:space="0" w:color="auto"/>
        <w:right w:val="none" w:sz="0" w:space="0" w:color="auto"/>
      </w:divBdr>
    </w:div>
    <w:div w:id="966934736">
      <w:bodyDiv w:val="1"/>
      <w:marLeft w:val="0"/>
      <w:marRight w:val="0"/>
      <w:marTop w:val="0"/>
      <w:marBottom w:val="0"/>
      <w:divBdr>
        <w:top w:val="none" w:sz="0" w:space="0" w:color="auto"/>
        <w:left w:val="none" w:sz="0" w:space="0" w:color="auto"/>
        <w:bottom w:val="none" w:sz="0" w:space="0" w:color="auto"/>
        <w:right w:val="none" w:sz="0" w:space="0" w:color="auto"/>
      </w:divBdr>
      <w:divsChild>
        <w:div w:id="524947435">
          <w:marLeft w:val="0"/>
          <w:marRight w:val="0"/>
          <w:marTop w:val="0"/>
          <w:marBottom w:val="0"/>
          <w:divBdr>
            <w:top w:val="none" w:sz="0" w:space="0" w:color="auto"/>
            <w:left w:val="none" w:sz="0" w:space="0" w:color="auto"/>
            <w:bottom w:val="none" w:sz="0" w:space="0" w:color="auto"/>
            <w:right w:val="none" w:sz="0" w:space="0" w:color="auto"/>
          </w:divBdr>
        </w:div>
      </w:divsChild>
    </w:div>
    <w:div w:id="976179372">
      <w:bodyDiv w:val="1"/>
      <w:marLeft w:val="0"/>
      <w:marRight w:val="0"/>
      <w:marTop w:val="0"/>
      <w:marBottom w:val="0"/>
      <w:divBdr>
        <w:top w:val="none" w:sz="0" w:space="0" w:color="auto"/>
        <w:left w:val="none" w:sz="0" w:space="0" w:color="auto"/>
        <w:bottom w:val="none" w:sz="0" w:space="0" w:color="auto"/>
        <w:right w:val="none" w:sz="0" w:space="0" w:color="auto"/>
      </w:divBdr>
    </w:div>
    <w:div w:id="979114095">
      <w:bodyDiv w:val="1"/>
      <w:marLeft w:val="0"/>
      <w:marRight w:val="0"/>
      <w:marTop w:val="0"/>
      <w:marBottom w:val="0"/>
      <w:divBdr>
        <w:top w:val="none" w:sz="0" w:space="0" w:color="auto"/>
        <w:left w:val="none" w:sz="0" w:space="0" w:color="auto"/>
        <w:bottom w:val="none" w:sz="0" w:space="0" w:color="auto"/>
        <w:right w:val="none" w:sz="0" w:space="0" w:color="auto"/>
      </w:divBdr>
    </w:div>
    <w:div w:id="980772645">
      <w:bodyDiv w:val="1"/>
      <w:marLeft w:val="0"/>
      <w:marRight w:val="0"/>
      <w:marTop w:val="0"/>
      <w:marBottom w:val="0"/>
      <w:divBdr>
        <w:top w:val="none" w:sz="0" w:space="0" w:color="auto"/>
        <w:left w:val="none" w:sz="0" w:space="0" w:color="auto"/>
        <w:bottom w:val="none" w:sz="0" w:space="0" w:color="auto"/>
        <w:right w:val="none" w:sz="0" w:space="0" w:color="auto"/>
      </w:divBdr>
      <w:divsChild>
        <w:div w:id="1416248729">
          <w:marLeft w:val="0"/>
          <w:marRight w:val="0"/>
          <w:marTop w:val="0"/>
          <w:marBottom w:val="0"/>
          <w:divBdr>
            <w:top w:val="none" w:sz="0" w:space="0" w:color="auto"/>
            <w:left w:val="none" w:sz="0" w:space="0" w:color="auto"/>
            <w:bottom w:val="none" w:sz="0" w:space="0" w:color="auto"/>
            <w:right w:val="none" w:sz="0" w:space="0" w:color="auto"/>
          </w:divBdr>
        </w:div>
      </w:divsChild>
    </w:div>
    <w:div w:id="984242582">
      <w:bodyDiv w:val="1"/>
      <w:marLeft w:val="0"/>
      <w:marRight w:val="0"/>
      <w:marTop w:val="0"/>
      <w:marBottom w:val="0"/>
      <w:divBdr>
        <w:top w:val="none" w:sz="0" w:space="0" w:color="auto"/>
        <w:left w:val="none" w:sz="0" w:space="0" w:color="auto"/>
        <w:bottom w:val="none" w:sz="0" w:space="0" w:color="auto"/>
        <w:right w:val="none" w:sz="0" w:space="0" w:color="auto"/>
      </w:divBdr>
    </w:div>
    <w:div w:id="984773630">
      <w:bodyDiv w:val="1"/>
      <w:marLeft w:val="0"/>
      <w:marRight w:val="0"/>
      <w:marTop w:val="0"/>
      <w:marBottom w:val="0"/>
      <w:divBdr>
        <w:top w:val="none" w:sz="0" w:space="0" w:color="auto"/>
        <w:left w:val="none" w:sz="0" w:space="0" w:color="auto"/>
        <w:bottom w:val="none" w:sz="0" w:space="0" w:color="auto"/>
        <w:right w:val="none" w:sz="0" w:space="0" w:color="auto"/>
      </w:divBdr>
    </w:div>
    <w:div w:id="985475271">
      <w:bodyDiv w:val="1"/>
      <w:marLeft w:val="0"/>
      <w:marRight w:val="0"/>
      <w:marTop w:val="0"/>
      <w:marBottom w:val="0"/>
      <w:divBdr>
        <w:top w:val="none" w:sz="0" w:space="0" w:color="auto"/>
        <w:left w:val="none" w:sz="0" w:space="0" w:color="auto"/>
        <w:bottom w:val="none" w:sz="0" w:space="0" w:color="auto"/>
        <w:right w:val="none" w:sz="0" w:space="0" w:color="auto"/>
      </w:divBdr>
    </w:div>
    <w:div w:id="995231200">
      <w:bodyDiv w:val="1"/>
      <w:marLeft w:val="0"/>
      <w:marRight w:val="0"/>
      <w:marTop w:val="0"/>
      <w:marBottom w:val="0"/>
      <w:divBdr>
        <w:top w:val="none" w:sz="0" w:space="0" w:color="auto"/>
        <w:left w:val="none" w:sz="0" w:space="0" w:color="auto"/>
        <w:bottom w:val="none" w:sz="0" w:space="0" w:color="auto"/>
        <w:right w:val="none" w:sz="0" w:space="0" w:color="auto"/>
      </w:divBdr>
    </w:div>
    <w:div w:id="998077160">
      <w:bodyDiv w:val="1"/>
      <w:marLeft w:val="0"/>
      <w:marRight w:val="0"/>
      <w:marTop w:val="0"/>
      <w:marBottom w:val="0"/>
      <w:divBdr>
        <w:top w:val="none" w:sz="0" w:space="0" w:color="auto"/>
        <w:left w:val="none" w:sz="0" w:space="0" w:color="auto"/>
        <w:bottom w:val="none" w:sz="0" w:space="0" w:color="auto"/>
        <w:right w:val="none" w:sz="0" w:space="0" w:color="auto"/>
      </w:divBdr>
    </w:div>
    <w:div w:id="998310948">
      <w:bodyDiv w:val="1"/>
      <w:marLeft w:val="0"/>
      <w:marRight w:val="0"/>
      <w:marTop w:val="0"/>
      <w:marBottom w:val="0"/>
      <w:divBdr>
        <w:top w:val="none" w:sz="0" w:space="0" w:color="auto"/>
        <w:left w:val="none" w:sz="0" w:space="0" w:color="auto"/>
        <w:bottom w:val="none" w:sz="0" w:space="0" w:color="auto"/>
        <w:right w:val="none" w:sz="0" w:space="0" w:color="auto"/>
      </w:divBdr>
    </w:div>
    <w:div w:id="1004089521">
      <w:bodyDiv w:val="1"/>
      <w:marLeft w:val="0"/>
      <w:marRight w:val="0"/>
      <w:marTop w:val="0"/>
      <w:marBottom w:val="0"/>
      <w:divBdr>
        <w:top w:val="none" w:sz="0" w:space="0" w:color="auto"/>
        <w:left w:val="none" w:sz="0" w:space="0" w:color="auto"/>
        <w:bottom w:val="none" w:sz="0" w:space="0" w:color="auto"/>
        <w:right w:val="none" w:sz="0" w:space="0" w:color="auto"/>
      </w:divBdr>
    </w:div>
    <w:div w:id="1005279819">
      <w:bodyDiv w:val="1"/>
      <w:marLeft w:val="0"/>
      <w:marRight w:val="0"/>
      <w:marTop w:val="0"/>
      <w:marBottom w:val="0"/>
      <w:divBdr>
        <w:top w:val="none" w:sz="0" w:space="0" w:color="auto"/>
        <w:left w:val="none" w:sz="0" w:space="0" w:color="auto"/>
        <w:bottom w:val="none" w:sz="0" w:space="0" w:color="auto"/>
        <w:right w:val="none" w:sz="0" w:space="0" w:color="auto"/>
      </w:divBdr>
    </w:div>
    <w:div w:id="1012952048">
      <w:bodyDiv w:val="1"/>
      <w:marLeft w:val="0"/>
      <w:marRight w:val="0"/>
      <w:marTop w:val="0"/>
      <w:marBottom w:val="0"/>
      <w:divBdr>
        <w:top w:val="none" w:sz="0" w:space="0" w:color="auto"/>
        <w:left w:val="none" w:sz="0" w:space="0" w:color="auto"/>
        <w:bottom w:val="none" w:sz="0" w:space="0" w:color="auto"/>
        <w:right w:val="none" w:sz="0" w:space="0" w:color="auto"/>
      </w:divBdr>
    </w:div>
    <w:div w:id="1019159978">
      <w:bodyDiv w:val="1"/>
      <w:marLeft w:val="0"/>
      <w:marRight w:val="0"/>
      <w:marTop w:val="0"/>
      <w:marBottom w:val="0"/>
      <w:divBdr>
        <w:top w:val="none" w:sz="0" w:space="0" w:color="auto"/>
        <w:left w:val="none" w:sz="0" w:space="0" w:color="auto"/>
        <w:bottom w:val="none" w:sz="0" w:space="0" w:color="auto"/>
        <w:right w:val="none" w:sz="0" w:space="0" w:color="auto"/>
      </w:divBdr>
      <w:divsChild>
        <w:div w:id="870918782">
          <w:marLeft w:val="0"/>
          <w:marRight w:val="0"/>
          <w:marTop w:val="0"/>
          <w:marBottom w:val="0"/>
          <w:divBdr>
            <w:top w:val="none" w:sz="0" w:space="0" w:color="auto"/>
            <w:left w:val="none" w:sz="0" w:space="0" w:color="auto"/>
            <w:bottom w:val="none" w:sz="0" w:space="0" w:color="auto"/>
            <w:right w:val="none" w:sz="0" w:space="0" w:color="auto"/>
          </w:divBdr>
        </w:div>
      </w:divsChild>
    </w:div>
    <w:div w:id="1023940879">
      <w:bodyDiv w:val="1"/>
      <w:marLeft w:val="0"/>
      <w:marRight w:val="0"/>
      <w:marTop w:val="0"/>
      <w:marBottom w:val="0"/>
      <w:divBdr>
        <w:top w:val="none" w:sz="0" w:space="0" w:color="auto"/>
        <w:left w:val="none" w:sz="0" w:space="0" w:color="auto"/>
        <w:bottom w:val="none" w:sz="0" w:space="0" w:color="auto"/>
        <w:right w:val="none" w:sz="0" w:space="0" w:color="auto"/>
      </w:divBdr>
      <w:divsChild>
        <w:div w:id="21128934">
          <w:marLeft w:val="0"/>
          <w:marRight w:val="0"/>
          <w:marTop w:val="0"/>
          <w:marBottom w:val="0"/>
          <w:divBdr>
            <w:top w:val="none" w:sz="0" w:space="0" w:color="auto"/>
            <w:left w:val="none" w:sz="0" w:space="0" w:color="auto"/>
            <w:bottom w:val="none" w:sz="0" w:space="0" w:color="auto"/>
            <w:right w:val="none" w:sz="0" w:space="0" w:color="auto"/>
          </w:divBdr>
        </w:div>
      </w:divsChild>
    </w:div>
    <w:div w:id="1026060065">
      <w:bodyDiv w:val="1"/>
      <w:marLeft w:val="0"/>
      <w:marRight w:val="0"/>
      <w:marTop w:val="0"/>
      <w:marBottom w:val="0"/>
      <w:divBdr>
        <w:top w:val="none" w:sz="0" w:space="0" w:color="auto"/>
        <w:left w:val="none" w:sz="0" w:space="0" w:color="auto"/>
        <w:bottom w:val="none" w:sz="0" w:space="0" w:color="auto"/>
        <w:right w:val="none" w:sz="0" w:space="0" w:color="auto"/>
      </w:divBdr>
    </w:div>
    <w:div w:id="1030648691">
      <w:bodyDiv w:val="1"/>
      <w:marLeft w:val="0"/>
      <w:marRight w:val="0"/>
      <w:marTop w:val="0"/>
      <w:marBottom w:val="0"/>
      <w:divBdr>
        <w:top w:val="none" w:sz="0" w:space="0" w:color="auto"/>
        <w:left w:val="none" w:sz="0" w:space="0" w:color="auto"/>
        <w:bottom w:val="none" w:sz="0" w:space="0" w:color="auto"/>
        <w:right w:val="none" w:sz="0" w:space="0" w:color="auto"/>
      </w:divBdr>
    </w:div>
    <w:div w:id="1031030098">
      <w:bodyDiv w:val="1"/>
      <w:marLeft w:val="0"/>
      <w:marRight w:val="0"/>
      <w:marTop w:val="0"/>
      <w:marBottom w:val="0"/>
      <w:divBdr>
        <w:top w:val="none" w:sz="0" w:space="0" w:color="auto"/>
        <w:left w:val="none" w:sz="0" w:space="0" w:color="auto"/>
        <w:bottom w:val="none" w:sz="0" w:space="0" w:color="auto"/>
        <w:right w:val="none" w:sz="0" w:space="0" w:color="auto"/>
      </w:divBdr>
    </w:div>
    <w:div w:id="1033656351">
      <w:bodyDiv w:val="1"/>
      <w:marLeft w:val="0"/>
      <w:marRight w:val="0"/>
      <w:marTop w:val="0"/>
      <w:marBottom w:val="0"/>
      <w:divBdr>
        <w:top w:val="none" w:sz="0" w:space="0" w:color="auto"/>
        <w:left w:val="none" w:sz="0" w:space="0" w:color="auto"/>
        <w:bottom w:val="none" w:sz="0" w:space="0" w:color="auto"/>
        <w:right w:val="none" w:sz="0" w:space="0" w:color="auto"/>
      </w:divBdr>
    </w:div>
    <w:div w:id="1033723929">
      <w:bodyDiv w:val="1"/>
      <w:marLeft w:val="0"/>
      <w:marRight w:val="0"/>
      <w:marTop w:val="0"/>
      <w:marBottom w:val="0"/>
      <w:divBdr>
        <w:top w:val="none" w:sz="0" w:space="0" w:color="auto"/>
        <w:left w:val="none" w:sz="0" w:space="0" w:color="auto"/>
        <w:bottom w:val="none" w:sz="0" w:space="0" w:color="auto"/>
        <w:right w:val="none" w:sz="0" w:space="0" w:color="auto"/>
      </w:divBdr>
      <w:divsChild>
        <w:div w:id="1833596467">
          <w:marLeft w:val="0"/>
          <w:marRight w:val="0"/>
          <w:marTop w:val="0"/>
          <w:marBottom w:val="0"/>
          <w:divBdr>
            <w:top w:val="none" w:sz="0" w:space="0" w:color="auto"/>
            <w:left w:val="none" w:sz="0" w:space="0" w:color="auto"/>
            <w:bottom w:val="none" w:sz="0" w:space="0" w:color="auto"/>
            <w:right w:val="none" w:sz="0" w:space="0" w:color="auto"/>
          </w:divBdr>
        </w:div>
      </w:divsChild>
    </w:div>
    <w:div w:id="1045449971">
      <w:bodyDiv w:val="1"/>
      <w:marLeft w:val="0"/>
      <w:marRight w:val="0"/>
      <w:marTop w:val="0"/>
      <w:marBottom w:val="0"/>
      <w:divBdr>
        <w:top w:val="none" w:sz="0" w:space="0" w:color="auto"/>
        <w:left w:val="none" w:sz="0" w:space="0" w:color="auto"/>
        <w:bottom w:val="none" w:sz="0" w:space="0" w:color="auto"/>
        <w:right w:val="none" w:sz="0" w:space="0" w:color="auto"/>
      </w:divBdr>
    </w:div>
    <w:div w:id="1049378391">
      <w:bodyDiv w:val="1"/>
      <w:marLeft w:val="0"/>
      <w:marRight w:val="0"/>
      <w:marTop w:val="0"/>
      <w:marBottom w:val="0"/>
      <w:divBdr>
        <w:top w:val="none" w:sz="0" w:space="0" w:color="auto"/>
        <w:left w:val="none" w:sz="0" w:space="0" w:color="auto"/>
        <w:bottom w:val="none" w:sz="0" w:space="0" w:color="auto"/>
        <w:right w:val="none" w:sz="0" w:space="0" w:color="auto"/>
      </w:divBdr>
    </w:div>
    <w:div w:id="1054542494">
      <w:bodyDiv w:val="1"/>
      <w:marLeft w:val="0"/>
      <w:marRight w:val="0"/>
      <w:marTop w:val="0"/>
      <w:marBottom w:val="0"/>
      <w:divBdr>
        <w:top w:val="none" w:sz="0" w:space="0" w:color="auto"/>
        <w:left w:val="none" w:sz="0" w:space="0" w:color="auto"/>
        <w:bottom w:val="none" w:sz="0" w:space="0" w:color="auto"/>
        <w:right w:val="none" w:sz="0" w:space="0" w:color="auto"/>
      </w:divBdr>
      <w:divsChild>
        <w:div w:id="1112359442">
          <w:marLeft w:val="0"/>
          <w:marRight w:val="0"/>
          <w:marTop w:val="0"/>
          <w:marBottom w:val="0"/>
          <w:divBdr>
            <w:top w:val="none" w:sz="0" w:space="0" w:color="auto"/>
            <w:left w:val="none" w:sz="0" w:space="0" w:color="auto"/>
            <w:bottom w:val="none" w:sz="0" w:space="0" w:color="auto"/>
            <w:right w:val="none" w:sz="0" w:space="0" w:color="auto"/>
          </w:divBdr>
        </w:div>
      </w:divsChild>
    </w:div>
    <w:div w:id="1055548556">
      <w:bodyDiv w:val="1"/>
      <w:marLeft w:val="0"/>
      <w:marRight w:val="0"/>
      <w:marTop w:val="0"/>
      <w:marBottom w:val="0"/>
      <w:divBdr>
        <w:top w:val="none" w:sz="0" w:space="0" w:color="auto"/>
        <w:left w:val="none" w:sz="0" w:space="0" w:color="auto"/>
        <w:bottom w:val="none" w:sz="0" w:space="0" w:color="auto"/>
        <w:right w:val="none" w:sz="0" w:space="0" w:color="auto"/>
      </w:divBdr>
    </w:div>
    <w:div w:id="1059985854">
      <w:bodyDiv w:val="1"/>
      <w:marLeft w:val="0"/>
      <w:marRight w:val="0"/>
      <w:marTop w:val="0"/>
      <w:marBottom w:val="0"/>
      <w:divBdr>
        <w:top w:val="none" w:sz="0" w:space="0" w:color="auto"/>
        <w:left w:val="none" w:sz="0" w:space="0" w:color="auto"/>
        <w:bottom w:val="none" w:sz="0" w:space="0" w:color="auto"/>
        <w:right w:val="none" w:sz="0" w:space="0" w:color="auto"/>
      </w:divBdr>
    </w:div>
    <w:div w:id="1067075931">
      <w:bodyDiv w:val="1"/>
      <w:marLeft w:val="0"/>
      <w:marRight w:val="0"/>
      <w:marTop w:val="0"/>
      <w:marBottom w:val="0"/>
      <w:divBdr>
        <w:top w:val="none" w:sz="0" w:space="0" w:color="auto"/>
        <w:left w:val="none" w:sz="0" w:space="0" w:color="auto"/>
        <w:bottom w:val="none" w:sz="0" w:space="0" w:color="auto"/>
        <w:right w:val="none" w:sz="0" w:space="0" w:color="auto"/>
      </w:divBdr>
    </w:div>
    <w:div w:id="1068334929">
      <w:bodyDiv w:val="1"/>
      <w:marLeft w:val="0"/>
      <w:marRight w:val="0"/>
      <w:marTop w:val="0"/>
      <w:marBottom w:val="0"/>
      <w:divBdr>
        <w:top w:val="none" w:sz="0" w:space="0" w:color="auto"/>
        <w:left w:val="none" w:sz="0" w:space="0" w:color="auto"/>
        <w:bottom w:val="none" w:sz="0" w:space="0" w:color="auto"/>
        <w:right w:val="none" w:sz="0" w:space="0" w:color="auto"/>
      </w:divBdr>
    </w:div>
    <w:div w:id="1076629859">
      <w:bodyDiv w:val="1"/>
      <w:marLeft w:val="0"/>
      <w:marRight w:val="0"/>
      <w:marTop w:val="0"/>
      <w:marBottom w:val="0"/>
      <w:divBdr>
        <w:top w:val="none" w:sz="0" w:space="0" w:color="auto"/>
        <w:left w:val="none" w:sz="0" w:space="0" w:color="auto"/>
        <w:bottom w:val="none" w:sz="0" w:space="0" w:color="auto"/>
        <w:right w:val="none" w:sz="0" w:space="0" w:color="auto"/>
      </w:divBdr>
    </w:div>
    <w:div w:id="1084377559">
      <w:bodyDiv w:val="1"/>
      <w:marLeft w:val="0"/>
      <w:marRight w:val="0"/>
      <w:marTop w:val="0"/>
      <w:marBottom w:val="0"/>
      <w:divBdr>
        <w:top w:val="none" w:sz="0" w:space="0" w:color="auto"/>
        <w:left w:val="none" w:sz="0" w:space="0" w:color="auto"/>
        <w:bottom w:val="none" w:sz="0" w:space="0" w:color="auto"/>
        <w:right w:val="none" w:sz="0" w:space="0" w:color="auto"/>
      </w:divBdr>
    </w:div>
    <w:div w:id="1088382691">
      <w:bodyDiv w:val="1"/>
      <w:marLeft w:val="0"/>
      <w:marRight w:val="0"/>
      <w:marTop w:val="0"/>
      <w:marBottom w:val="0"/>
      <w:divBdr>
        <w:top w:val="none" w:sz="0" w:space="0" w:color="auto"/>
        <w:left w:val="none" w:sz="0" w:space="0" w:color="auto"/>
        <w:bottom w:val="none" w:sz="0" w:space="0" w:color="auto"/>
        <w:right w:val="none" w:sz="0" w:space="0" w:color="auto"/>
      </w:divBdr>
    </w:div>
    <w:div w:id="1088968169">
      <w:bodyDiv w:val="1"/>
      <w:marLeft w:val="0"/>
      <w:marRight w:val="0"/>
      <w:marTop w:val="0"/>
      <w:marBottom w:val="0"/>
      <w:divBdr>
        <w:top w:val="none" w:sz="0" w:space="0" w:color="auto"/>
        <w:left w:val="none" w:sz="0" w:space="0" w:color="auto"/>
        <w:bottom w:val="none" w:sz="0" w:space="0" w:color="auto"/>
        <w:right w:val="none" w:sz="0" w:space="0" w:color="auto"/>
      </w:divBdr>
    </w:div>
    <w:div w:id="1089348102">
      <w:bodyDiv w:val="1"/>
      <w:marLeft w:val="0"/>
      <w:marRight w:val="0"/>
      <w:marTop w:val="0"/>
      <w:marBottom w:val="0"/>
      <w:divBdr>
        <w:top w:val="none" w:sz="0" w:space="0" w:color="auto"/>
        <w:left w:val="none" w:sz="0" w:space="0" w:color="auto"/>
        <w:bottom w:val="none" w:sz="0" w:space="0" w:color="auto"/>
        <w:right w:val="none" w:sz="0" w:space="0" w:color="auto"/>
      </w:divBdr>
      <w:divsChild>
        <w:div w:id="548304512">
          <w:marLeft w:val="0"/>
          <w:marRight w:val="0"/>
          <w:marTop w:val="0"/>
          <w:marBottom w:val="0"/>
          <w:divBdr>
            <w:top w:val="none" w:sz="0" w:space="0" w:color="auto"/>
            <w:left w:val="none" w:sz="0" w:space="0" w:color="auto"/>
            <w:bottom w:val="none" w:sz="0" w:space="0" w:color="auto"/>
            <w:right w:val="none" w:sz="0" w:space="0" w:color="auto"/>
          </w:divBdr>
        </w:div>
      </w:divsChild>
    </w:div>
    <w:div w:id="1091513737">
      <w:bodyDiv w:val="1"/>
      <w:marLeft w:val="0"/>
      <w:marRight w:val="0"/>
      <w:marTop w:val="0"/>
      <w:marBottom w:val="0"/>
      <w:divBdr>
        <w:top w:val="none" w:sz="0" w:space="0" w:color="auto"/>
        <w:left w:val="none" w:sz="0" w:space="0" w:color="auto"/>
        <w:bottom w:val="none" w:sz="0" w:space="0" w:color="auto"/>
        <w:right w:val="none" w:sz="0" w:space="0" w:color="auto"/>
      </w:divBdr>
    </w:div>
    <w:div w:id="1096632175">
      <w:bodyDiv w:val="1"/>
      <w:marLeft w:val="0"/>
      <w:marRight w:val="0"/>
      <w:marTop w:val="0"/>
      <w:marBottom w:val="0"/>
      <w:divBdr>
        <w:top w:val="none" w:sz="0" w:space="0" w:color="auto"/>
        <w:left w:val="none" w:sz="0" w:space="0" w:color="auto"/>
        <w:bottom w:val="none" w:sz="0" w:space="0" w:color="auto"/>
        <w:right w:val="none" w:sz="0" w:space="0" w:color="auto"/>
      </w:divBdr>
    </w:div>
    <w:div w:id="1098791906">
      <w:bodyDiv w:val="1"/>
      <w:marLeft w:val="0"/>
      <w:marRight w:val="0"/>
      <w:marTop w:val="0"/>
      <w:marBottom w:val="0"/>
      <w:divBdr>
        <w:top w:val="none" w:sz="0" w:space="0" w:color="auto"/>
        <w:left w:val="none" w:sz="0" w:space="0" w:color="auto"/>
        <w:bottom w:val="none" w:sz="0" w:space="0" w:color="auto"/>
        <w:right w:val="none" w:sz="0" w:space="0" w:color="auto"/>
      </w:divBdr>
    </w:div>
    <w:div w:id="1101022759">
      <w:bodyDiv w:val="1"/>
      <w:marLeft w:val="0"/>
      <w:marRight w:val="0"/>
      <w:marTop w:val="0"/>
      <w:marBottom w:val="0"/>
      <w:divBdr>
        <w:top w:val="none" w:sz="0" w:space="0" w:color="auto"/>
        <w:left w:val="none" w:sz="0" w:space="0" w:color="auto"/>
        <w:bottom w:val="none" w:sz="0" w:space="0" w:color="auto"/>
        <w:right w:val="none" w:sz="0" w:space="0" w:color="auto"/>
      </w:divBdr>
    </w:div>
    <w:div w:id="1107197658">
      <w:bodyDiv w:val="1"/>
      <w:marLeft w:val="0"/>
      <w:marRight w:val="0"/>
      <w:marTop w:val="0"/>
      <w:marBottom w:val="0"/>
      <w:divBdr>
        <w:top w:val="none" w:sz="0" w:space="0" w:color="auto"/>
        <w:left w:val="none" w:sz="0" w:space="0" w:color="auto"/>
        <w:bottom w:val="none" w:sz="0" w:space="0" w:color="auto"/>
        <w:right w:val="none" w:sz="0" w:space="0" w:color="auto"/>
      </w:divBdr>
    </w:div>
    <w:div w:id="1112088518">
      <w:bodyDiv w:val="1"/>
      <w:marLeft w:val="0"/>
      <w:marRight w:val="0"/>
      <w:marTop w:val="0"/>
      <w:marBottom w:val="0"/>
      <w:divBdr>
        <w:top w:val="none" w:sz="0" w:space="0" w:color="auto"/>
        <w:left w:val="none" w:sz="0" w:space="0" w:color="auto"/>
        <w:bottom w:val="none" w:sz="0" w:space="0" w:color="auto"/>
        <w:right w:val="none" w:sz="0" w:space="0" w:color="auto"/>
      </w:divBdr>
    </w:div>
    <w:div w:id="1113480486">
      <w:bodyDiv w:val="1"/>
      <w:marLeft w:val="0"/>
      <w:marRight w:val="0"/>
      <w:marTop w:val="0"/>
      <w:marBottom w:val="0"/>
      <w:divBdr>
        <w:top w:val="none" w:sz="0" w:space="0" w:color="auto"/>
        <w:left w:val="none" w:sz="0" w:space="0" w:color="auto"/>
        <w:bottom w:val="none" w:sz="0" w:space="0" w:color="auto"/>
        <w:right w:val="none" w:sz="0" w:space="0" w:color="auto"/>
      </w:divBdr>
    </w:div>
    <w:div w:id="1115831509">
      <w:bodyDiv w:val="1"/>
      <w:marLeft w:val="0"/>
      <w:marRight w:val="0"/>
      <w:marTop w:val="0"/>
      <w:marBottom w:val="0"/>
      <w:divBdr>
        <w:top w:val="none" w:sz="0" w:space="0" w:color="auto"/>
        <w:left w:val="none" w:sz="0" w:space="0" w:color="auto"/>
        <w:bottom w:val="none" w:sz="0" w:space="0" w:color="auto"/>
        <w:right w:val="none" w:sz="0" w:space="0" w:color="auto"/>
      </w:divBdr>
    </w:div>
    <w:div w:id="1116214814">
      <w:bodyDiv w:val="1"/>
      <w:marLeft w:val="0"/>
      <w:marRight w:val="0"/>
      <w:marTop w:val="0"/>
      <w:marBottom w:val="0"/>
      <w:divBdr>
        <w:top w:val="none" w:sz="0" w:space="0" w:color="auto"/>
        <w:left w:val="none" w:sz="0" w:space="0" w:color="auto"/>
        <w:bottom w:val="none" w:sz="0" w:space="0" w:color="auto"/>
        <w:right w:val="none" w:sz="0" w:space="0" w:color="auto"/>
      </w:divBdr>
    </w:div>
    <w:div w:id="1117599910">
      <w:bodyDiv w:val="1"/>
      <w:marLeft w:val="0"/>
      <w:marRight w:val="0"/>
      <w:marTop w:val="0"/>
      <w:marBottom w:val="0"/>
      <w:divBdr>
        <w:top w:val="none" w:sz="0" w:space="0" w:color="auto"/>
        <w:left w:val="none" w:sz="0" w:space="0" w:color="auto"/>
        <w:bottom w:val="none" w:sz="0" w:space="0" w:color="auto"/>
        <w:right w:val="none" w:sz="0" w:space="0" w:color="auto"/>
      </w:divBdr>
    </w:div>
    <w:div w:id="1118796132">
      <w:bodyDiv w:val="1"/>
      <w:marLeft w:val="0"/>
      <w:marRight w:val="0"/>
      <w:marTop w:val="0"/>
      <w:marBottom w:val="0"/>
      <w:divBdr>
        <w:top w:val="none" w:sz="0" w:space="0" w:color="auto"/>
        <w:left w:val="none" w:sz="0" w:space="0" w:color="auto"/>
        <w:bottom w:val="none" w:sz="0" w:space="0" w:color="auto"/>
        <w:right w:val="none" w:sz="0" w:space="0" w:color="auto"/>
      </w:divBdr>
    </w:div>
    <w:div w:id="1126853489">
      <w:bodyDiv w:val="1"/>
      <w:marLeft w:val="0"/>
      <w:marRight w:val="0"/>
      <w:marTop w:val="0"/>
      <w:marBottom w:val="0"/>
      <w:divBdr>
        <w:top w:val="none" w:sz="0" w:space="0" w:color="auto"/>
        <w:left w:val="none" w:sz="0" w:space="0" w:color="auto"/>
        <w:bottom w:val="none" w:sz="0" w:space="0" w:color="auto"/>
        <w:right w:val="none" w:sz="0" w:space="0" w:color="auto"/>
      </w:divBdr>
    </w:div>
    <w:div w:id="1137145171">
      <w:bodyDiv w:val="1"/>
      <w:marLeft w:val="0"/>
      <w:marRight w:val="0"/>
      <w:marTop w:val="0"/>
      <w:marBottom w:val="0"/>
      <w:divBdr>
        <w:top w:val="none" w:sz="0" w:space="0" w:color="auto"/>
        <w:left w:val="none" w:sz="0" w:space="0" w:color="auto"/>
        <w:bottom w:val="none" w:sz="0" w:space="0" w:color="auto"/>
        <w:right w:val="none" w:sz="0" w:space="0" w:color="auto"/>
      </w:divBdr>
    </w:div>
    <w:div w:id="1139107928">
      <w:bodyDiv w:val="1"/>
      <w:marLeft w:val="0"/>
      <w:marRight w:val="0"/>
      <w:marTop w:val="0"/>
      <w:marBottom w:val="0"/>
      <w:divBdr>
        <w:top w:val="none" w:sz="0" w:space="0" w:color="auto"/>
        <w:left w:val="none" w:sz="0" w:space="0" w:color="auto"/>
        <w:bottom w:val="none" w:sz="0" w:space="0" w:color="auto"/>
        <w:right w:val="none" w:sz="0" w:space="0" w:color="auto"/>
      </w:divBdr>
    </w:div>
    <w:div w:id="1141310648">
      <w:bodyDiv w:val="1"/>
      <w:marLeft w:val="0"/>
      <w:marRight w:val="0"/>
      <w:marTop w:val="0"/>
      <w:marBottom w:val="0"/>
      <w:divBdr>
        <w:top w:val="none" w:sz="0" w:space="0" w:color="auto"/>
        <w:left w:val="none" w:sz="0" w:space="0" w:color="auto"/>
        <w:bottom w:val="none" w:sz="0" w:space="0" w:color="auto"/>
        <w:right w:val="none" w:sz="0" w:space="0" w:color="auto"/>
      </w:divBdr>
    </w:div>
    <w:div w:id="1144204420">
      <w:bodyDiv w:val="1"/>
      <w:marLeft w:val="0"/>
      <w:marRight w:val="0"/>
      <w:marTop w:val="0"/>
      <w:marBottom w:val="0"/>
      <w:divBdr>
        <w:top w:val="none" w:sz="0" w:space="0" w:color="auto"/>
        <w:left w:val="none" w:sz="0" w:space="0" w:color="auto"/>
        <w:bottom w:val="none" w:sz="0" w:space="0" w:color="auto"/>
        <w:right w:val="none" w:sz="0" w:space="0" w:color="auto"/>
      </w:divBdr>
    </w:div>
    <w:div w:id="1144615139">
      <w:bodyDiv w:val="1"/>
      <w:marLeft w:val="0"/>
      <w:marRight w:val="0"/>
      <w:marTop w:val="0"/>
      <w:marBottom w:val="0"/>
      <w:divBdr>
        <w:top w:val="none" w:sz="0" w:space="0" w:color="auto"/>
        <w:left w:val="none" w:sz="0" w:space="0" w:color="auto"/>
        <w:bottom w:val="none" w:sz="0" w:space="0" w:color="auto"/>
        <w:right w:val="none" w:sz="0" w:space="0" w:color="auto"/>
      </w:divBdr>
      <w:divsChild>
        <w:div w:id="714425921">
          <w:marLeft w:val="0"/>
          <w:marRight w:val="0"/>
          <w:marTop w:val="0"/>
          <w:marBottom w:val="0"/>
          <w:divBdr>
            <w:top w:val="none" w:sz="0" w:space="0" w:color="auto"/>
            <w:left w:val="none" w:sz="0" w:space="0" w:color="auto"/>
            <w:bottom w:val="none" w:sz="0" w:space="0" w:color="auto"/>
            <w:right w:val="none" w:sz="0" w:space="0" w:color="auto"/>
          </w:divBdr>
        </w:div>
      </w:divsChild>
    </w:div>
    <w:div w:id="1147212281">
      <w:bodyDiv w:val="1"/>
      <w:marLeft w:val="0"/>
      <w:marRight w:val="0"/>
      <w:marTop w:val="0"/>
      <w:marBottom w:val="0"/>
      <w:divBdr>
        <w:top w:val="none" w:sz="0" w:space="0" w:color="auto"/>
        <w:left w:val="none" w:sz="0" w:space="0" w:color="auto"/>
        <w:bottom w:val="none" w:sz="0" w:space="0" w:color="auto"/>
        <w:right w:val="none" w:sz="0" w:space="0" w:color="auto"/>
      </w:divBdr>
    </w:div>
    <w:div w:id="1154183011">
      <w:bodyDiv w:val="1"/>
      <w:marLeft w:val="0"/>
      <w:marRight w:val="0"/>
      <w:marTop w:val="0"/>
      <w:marBottom w:val="0"/>
      <w:divBdr>
        <w:top w:val="none" w:sz="0" w:space="0" w:color="auto"/>
        <w:left w:val="none" w:sz="0" w:space="0" w:color="auto"/>
        <w:bottom w:val="none" w:sz="0" w:space="0" w:color="auto"/>
        <w:right w:val="none" w:sz="0" w:space="0" w:color="auto"/>
      </w:divBdr>
    </w:div>
    <w:div w:id="1157648490">
      <w:bodyDiv w:val="1"/>
      <w:marLeft w:val="0"/>
      <w:marRight w:val="0"/>
      <w:marTop w:val="0"/>
      <w:marBottom w:val="0"/>
      <w:divBdr>
        <w:top w:val="none" w:sz="0" w:space="0" w:color="auto"/>
        <w:left w:val="none" w:sz="0" w:space="0" w:color="auto"/>
        <w:bottom w:val="none" w:sz="0" w:space="0" w:color="auto"/>
        <w:right w:val="none" w:sz="0" w:space="0" w:color="auto"/>
      </w:divBdr>
    </w:div>
    <w:div w:id="1170830833">
      <w:bodyDiv w:val="1"/>
      <w:marLeft w:val="0"/>
      <w:marRight w:val="0"/>
      <w:marTop w:val="0"/>
      <w:marBottom w:val="0"/>
      <w:divBdr>
        <w:top w:val="none" w:sz="0" w:space="0" w:color="auto"/>
        <w:left w:val="none" w:sz="0" w:space="0" w:color="auto"/>
        <w:bottom w:val="none" w:sz="0" w:space="0" w:color="auto"/>
        <w:right w:val="none" w:sz="0" w:space="0" w:color="auto"/>
      </w:divBdr>
      <w:divsChild>
        <w:div w:id="398485049">
          <w:marLeft w:val="0"/>
          <w:marRight w:val="0"/>
          <w:marTop w:val="0"/>
          <w:marBottom w:val="0"/>
          <w:divBdr>
            <w:top w:val="none" w:sz="0" w:space="0" w:color="auto"/>
            <w:left w:val="none" w:sz="0" w:space="0" w:color="auto"/>
            <w:bottom w:val="none" w:sz="0" w:space="0" w:color="auto"/>
            <w:right w:val="none" w:sz="0" w:space="0" w:color="auto"/>
          </w:divBdr>
        </w:div>
      </w:divsChild>
    </w:div>
    <w:div w:id="1171221305">
      <w:bodyDiv w:val="1"/>
      <w:marLeft w:val="0"/>
      <w:marRight w:val="0"/>
      <w:marTop w:val="0"/>
      <w:marBottom w:val="0"/>
      <w:divBdr>
        <w:top w:val="none" w:sz="0" w:space="0" w:color="auto"/>
        <w:left w:val="none" w:sz="0" w:space="0" w:color="auto"/>
        <w:bottom w:val="none" w:sz="0" w:space="0" w:color="auto"/>
        <w:right w:val="none" w:sz="0" w:space="0" w:color="auto"/>
      </w:divBdr>
      <w:divsChild>
        <w:div w:id="10381331">
          <w:marLeft w:val="0"/>
          <w:marRight w:val="0"/>
          <w:marTop w:val="0"/>
          <w:marBottom w:val="0"/>
          <w:divBdr>
            <w:top w:val="none" w:sz="0" w:space="0" w:color="auto"/>
            <w:left w:val="none" w:sz="0" w:space="0" w:color="auto"/>
            <w:bottom w:val="none" w:sz="0" w:space="0" w:color="auto"/>
            <w:right w:val="none" w:sz="0" w:space="0" w:color="auto"/>
          </w:divBdr>
        </w:div>
      </w:divsChild>
    </w:div>
    <w:div w:id="1172793857">
      <w:bodyDiv w:val="1"/>
      <w:marLeft w:val="0"/>
      <w:marRight w:val="0"/>
      <w:marTop w:val="0"/>
      <w:marBottom w:val="0"/>
      <w:divBdr>
        <w:top w:val="none" w:sz="0" w:space="0" w:color="auto"/>
        <w:left w:val="none" w:sz="0" w:space="0" w:color="auto"/>
        <w:bottom w:val="none" w:sz="0" w:space="0" w:color="auto"/>
        <w:right w:val="none" w:sz="0" w:space="0" w:color="auto"/>
      </w:divBdr>
    </w:div>
    <w:div w:id="1174610423">
      <w:bodyDiv w:val="1"/>
      <w:marLeft w:val="0"/>
      <w:marRight w:val="0"/>
      <w:marTop w:val="0"/>
      <w:marBottom w:val="0"/>
      <w:divBdr>
        <w:top w:val="none" w:sz="0" w:space="0" w:color="auto"/>
        <w:left w:val="none" w:sz="0" w:space="0" w:color="auto"/>
        <w:bottom w:val="none" w:sz="0" w:space="0" w:color="auto"/>
        <w:right w:val="none" w:sz="0" w:space="0" w:color="auto"/>
      </w:divBdr>
    </w:div>
    <w:div w:id="1178811606">
      <w:bodyDiv w:val="1"/>
      <w:marLeft w:val="0"/>
      <w:marRight w:val="0"/>
      <w:marTop w:val="0"/>
      <w:marBottom w:val="0"/>
      <w:divBdr>
        <w:top w:val="none" w:sz="0" w:space="0" w:color="auto"/>
        <w:left w:val="none" w:sz="0" w:space="0" w:color="auto"/>
        <w:bottom w:val="none" w:sz="0" w:space="0" w:color="auto"/>
        <w:right w:val="none" w:sz="0" w:space="0" w:color="auto"/>
      </w:divBdr>
    </w:div>
    <w:div w:id="1183663124">
      <w:bodyDiv w:val="1"/>
      <w:marLeft w:val="0"/>
      <w:marRight w:val="0"/>
      <w:marTop w:val="0"/>
      <w:marBottom w:val="0"/>
      <w:divBdr>
        <w:top w:val="none" w:sz="0" w:space="0" w:color="auto"/>
        <w:left w:val="none" w:sz="0" w:space="0" w:color="auto"/>
        <w:bottom w:val="none" w:sz="0" w:space="0" w:color="auto"/>
        <w:right w:val="none" w:sz="0" w:space="0" w:color="auto"/>
      </w:divBdr>
    </w:div>
    <w:div w:id="1186292110">
      <w:bodyDiv w:val="1"/>
      <w:marLeft w:val="0"/>
      <w:marRight w:val="0"/>
      <w:marTop w:val="0"/>
      <w:marBottom w:val="0"/>
      <w:divBdr>
        <w:top w:val="none" w:sz="0" w:space="0" w:color="auto"/>
        <w:left w:val="none" w:sz="0" w:space="0" w:color="auto"/>
        <w:bottom w:val="none" w:sz="0" w:space="0" w:color="auto"/>
        <w:right w:val="none" w:sz="0" w:space="0" w:color="auto"/>
      </w:divBdr>
    </w:div>
    <w:div w:id="1188635507">
      <w:bodyDiv w:val="1"/>
      <w:marLeft w:val="0"/>
      <w:marRight w:val="0"/>
      <w:marTop w:val="0"/>
      <w:marBottom w:val="0"/>
      <w:divBdr>
        <w:top w:val="none" w:sz="0" w:space="0" w:color="auto"/>
        <w:left w:val="none" w:sz="0" w:space="0" w:color="auto"/>
        <w:bottom w:val="none" w:sz="0" w:space="0" w:color="auto"/>
        <w:right w:val="none" w:sz="0" w:space="0" w:color="auto"/>
      </w:divBdr>
    </w:div>
    <w:div w:id="1190142420">
      <w:bodyDiv w:val="1"/>
      <w:marLeft w:val="0"/>
      <w:marRight w:val="0"/>
      <w:marTop w:val="0"/>
      <w:marBottom w:val="0"/>
      <w:divBdr>
        <w:top w:val="none" w:sz="0" w:space="0" w:color="auto"/>
        <w:left w:val="none" w:sz="0" w:space="0" w:color="auto"/>
        <w:bottom w:val="none" w:sz="0" w:space="0" w:color="auto"/>
        <w:right w:val="none" w:sz="0" w:space="0" w:color="auto"/>
      </w:divBdr>
      <w:divsChild>
        <w:div w:id="150145673">
          <w:marLeft w:val="0"/>
          <w:marRight w:val="0"/>
          <w:marTop w:val="0"/>
          <w:marBottom w:val="0"/>
          <w:divBdr>
            <w:top w:val="none" w:sz="0" w:space="0" w:color="auto"/>
            <w:left w:val="none" w:sz="0" w:space="0" w:color="auto"/>
            <w:bottom w:val="none" w:sz="0" w:space="0" w:color="auto"/>
            <w:right w:val="none" w:sz="0" w:space="0" w:color="auto"/>
          </w:divBdr>
        </w:div>
      </w:divsChild>
    </w:div>
    <w:div w:id="1201164676">
      <w:bodyDiv w:val="1"/>
      <w:marLeft w:val="0"/>
      <w:marRight w:val="0"/>
      <w:marTop w:val="0"/>
      <w:marBottom w:val="0"/>
      <w:divBdr>
        <w:top w:val="none" w:sz="0" w:space="0" w:color="auto"/>
        <w:left w:val="none" w:sz="0" w:space="0" w:color="auto"/>
        <w:bottom w:val="none" w:sz="0" w:space="0" w:color="auto"/>
        <w:right w:val="none" w:sz="0" w:space="0" w:color="auto"/>
      </w:divBdr>
      <w:divsChild>
        <w:div w:id="369038122">
          <w:marLeft w:val="0"/>
          <w:marRight w:val="0"/>
          <w:marTop w:val="0"/>
          <w:marBottom w:val="0"/>
          <w:divBdr>
            <w:top w:val="none" w:sz="0" w:space="0" w:color="auto"/>
            <w:left w:val="none" w:sz="0" w:space="0" w:color="auto"/>
            <w:bottom w:val="none" w:sz="0" w:space="0" w:color="auto"/>
            <w:right w:val="none" w:sz="0" w:space="0" w:color="auto"/>
          </w:divBdr>
        </w:div>
      </w:divsChild>
    </w:div>
    <w:div w:id="1205755641">
      <w:bodyDiv w:val="1"/>
      <w:marLeft w:val="0"/>
      <w:marRight w:val="0"/>
      <w:marTop w:val="0"/>
      <w:marBottom w:val="0"/>
      <w:divBdr>
        <w:top w:val="none" w:sz="0" w:space="0" w:color="auto"/>
        <w:left w:val="none" w:sz="0" w:space="0" w:color="auto"/>
        <w:bottom w:val="none" w:sz="0" w:space="0" w:color="auto"/>
        <w:right w:val="none" w:sz="0" w:space="0" w:color="auto"/>
      </w:divBdr>
    </w:div>
    <w:div w:id="1207834883">
      <w:bodyDiv w:val="1"/>
      <w:marLeft w:val="0"/>
      <w:marRight w:val="0"/>
      <w:marTop w:val="0"/>
      <w:marBottom w:val="0"/>
      <w:divBdr>
        <w:top w:val="none" w:sz="0" w:space="0" w:color="auto"/>
        <w:left w:val="none" w:sz="0" w:space="0" w:color="auto"/>
        <w:bottom w:val="none" w:sz="0" w:space="0" w:color="auto"/>
        <w:right w:val="none" w:sz="0" w:space="0" w:color="auto"/>
      </w:divBdr>
    </w:div>
    <w:div w:id="1213738355">
      <w:bodyDiv w:val="1"/>
      <w:marLeft w:val="0"/>
      <w:marRight w:val="0"/>
      <w:marTop w:val="0"/>
      <w:marBottom w:val="0"/>
      <w:divBdr>
        <w:top w:val="none" w:sz="0" w:space="0" w:color="auto"/>
        <w:left w:val="none" w:sz="0" w:space="0" w:color="auto"/>
        <w:bottom w:val="none" w:sz="0" w:space="0" w:color="auto"/>
        <w:right w:val="none" w:sz="0" w:space="0" w:color="auto"/>
      </w:divBdr>
      <w:divsChild>
        <w:div w:id="913465249">
          <w:marLeft w:val="0"/>
          <w:marRight w:val="0"/>
          <w:marTop w:val="0"/>
          <w:marBottom w:val="0"/>
          <w:divBdr>
            <w:top w:val="none" w:sz="0" w:space="0" w:color="auto"/>
            <w:left w:val="none" w:sz="0" w:space="0" w:color="auto"/>
            <w:bottom w:val="none" w:sz="0" w:space="0" w:color="auto"/>
            <w:right w:val="none" w:sz="0" w:space="0" w:color="auto"/>
          </w:divBdr>
        </w:div>
      </w:divsChild>
    </w:div>
    <w:div w:id="1217550957">
      <w:bodyDiv w:val="1"/>
      <w:marLeft w:val="0"/>
      <w:marRight w:val="0"/>
      <w:marTop w:val="0"/>
      <w:marBottom w:val="0"/>
      <w:divBdr>
        <w:top w:val="none" w:sz="0" w:space="0" w:color="auto"/>
        <w:left w:val="none" w:sz="0" w:space="0" w:color="auto"/>
        <w:bottom w:val="none" w:sz="0" w:space="0" w:color="auto"/>
        <w:right w:val="none" w:sz="0" w:space="0" w:color="auto"/>
      </w:divBdr>
    </w:div>
    <w:div w:id="1222905009">
      <w:bodyDiv w:val="1"/>
      <w:marLeft w:val="0"/>
      <w:marRight w:val="0"/>
      <w:marTop w:val="0"/>
      <w:marBottom w:val="0"/>
      <w:divBdr>
        <w:top w:val="none" w:sz="0" w:space="0" w:color="auto"/>
        <w:left w:val="none" w:sz="0" w:space="0" w:color="auto"/>
        <w:bottom w:val="none" w:sz="0" w:space="0" w:color="auto"/>
        <w:right w:val="none" w:sz="0" w:space="0" w:color="auto"/>
      </w:divBdr>
    </w:div>
    <w:div w:id="1224489622">
      <w:bodyDiv w:val="1"/>
      <w:marLeft w:val="0"/>
      <w:marRight w:val="0"/>
      <w:marTop w:val="0"/>
      <w:marBottom w:val="0"/>
      <w:divBdr>
        <w:top w:val="none" w:sz="0" w:space="0" w:color="auto"/>
        <w:left w:val="none" w:sz="0" w:space="0" w:color="auto"/>
        <w:bottom w:val="none" w:sz="0" w:space="0" w:color="auto"/>
        <w:right w:val="none" w:sz="0" w:space="0" w:color="auto"/>
      </w:divBdr>
    </w:div>
    <w:div w:id="1224875136">
      <w:bodyDiv w:val="1"/>
      <w:marLeft w:val="0"/>
      <w:marRight w:val="0"/>
      <w:marTop w:val="0"/>
      <w:marBottom w:val="0"/>
      <w:divBdr>
        <w:top w:val="none" w:sz="0" w:space="0" w:color="auto"/>
        <w:left w:val="none" w:sz="0" w:space="0" w:color="auto"/>
        <w:bottom w:val="none" w:sz="0" w:space="0" w:color="auto"/>
        <w:right w:val="none" w:sz="0" w:space="0" w:color="auto"/>
      </w:divBdr>
    </w:div>
    <w:div w:id="1225340061">
      <w:bodyDiv w:val="1"/>
      <w:marLeft w:val="0"/>
      <w:marRight w:val="0"/>
      <w:marTop w:val="0"/>
      <w:marBottom w:val="0"/>
      <w:divBdr>
        <w:top w:val="none" w:sz="0" w:space="0" w:color="auto"/>
        <w:left w:val="none" w:sz="0" w:space="0" w:color="auto"/>
        <w:bottom w:val="none" w:sz="0" w:space="0" w:color="auto"/>
        <w:right w:val="none" w:sz="0" w:space="0" w:color="auto"/>
      </w:divBdr>
    </w:div>
    <w:div w:id="1225525461">
      <w:bodyDiv w:val="1"/>
      <w:marLeft w:val="0"/>
      <w:marRight w:val="0"/>
      <w:marTop w:val="0"/>
      <w:marBottom w:val="0"/>
      <w:divBdr>
        <w:top w:val="none" w:sz="0" w:space="0" w:color="auto"/>
        <w:left w:val="none" w:sz="0" w:space="0" w:color="auto"/>
        <w:bottom w:val="none" w:sz="0" w:space="0" w:color="auto"/>
        <w:right w:val="none" w:sz="0" w:space="0" w:color="auto"/>
      </w:divBdr>
    </w:div>
    <w:div w:id="1228613354">
      <w:bodyDiv w:val="1"/>
      <w:marLeft w:val="0"/>
      <w:marRight w:val="0"/>
      <w:marTop w:val="0"/>
      <w:marBottom w:val="0"/>
      <w:divBdr>
        <w:top w:val="none" w:sz="0" w:space="0" w:color="auto"/>
        <w:left w:val="none" w:sz="0" w:space="0" w:color="auto"/>
        <w:bottom w:val="none" w:sz="0" w:space="0" w:color="auto"/>
        <w:right w:val="none" w:sz="0" w:space="0" w:color="auto"/>
      </w:divBdr>
    </w:div>
    <w:div w:id="1229800500">
      <w:bodyDiv w:val="1"/>
      <w:marLeft w:val="0"/>
      <w:marRight w:val="0"/>
      <w:marTop w:val="0"/>
      <w:marBottom w:val="0"/>
      <w:divBdr>
        <w:top w:val="none" w:sz="0" w:space="0" w:color="auto"/>
        <w:left w:val="none" w:sz="0" w:space="0" w:color="auto"/>
        <w:bottom w:val="none" w:sz="0" w:space="0" w:color="auto"/>
        <w:right w:val="none" w:sz="0" w:space="0" w:color="auto"/>
      </w:divBdr>
    </w:div>
    <w:div w:id="1230195087">
      <w:bodyDiv w:val="1"/>
      <w:marLeft w:val="0"/>
      <w:marRight w:val="0"/>
      <w:marTop w:val="0"/>
      <w:marBottom w:val="0"/>
      <w:divBdr>
        <w:top w:val="none" w:sz="0" w:space="0" w:color="auto"/>
        <w:left w:val="none" w:sz="0" w:space="0" w:color="auto"/>
        <w:bottom w:val="none" w:sz="0" w:space="0" w:color="auto"/>
        <w:right w:val="none" w:sz="0" w:space="0" w:color="auto"/>
      </w:divBdr>
    </w:div>
    <w:div w:id="1230310717">
      <w:bodyDiv w:val="1"/>
      <w:marLeft w:val="0"/>
      <w:marRight w:val="0"/>
      <w:marTop w:val="0"/>
      <w:marBottom w:val="0"/>
      <w:divBdr>
        <w:top w:val="none" w:sz="0" w:space="0" w:color="auto"/>
        <w:left w:val="none" w:sz="0" w:space="0" w:color="auto"/>
        <w:bottom w:val="none" w:sz="0" w:space="0" w:color="auto"/>
        <w:right w:val="none" w:sz="0" w:space="0" w:color="auto"/>
      </w:divBdr>
    </w:div>
    <w:div w:id="1236546738">
      <w:bodyDiv w:val="1"/>
      <w:marLeft w:val="0"/>
      <w:marRight w:val="0"/>
      <w:marTop w:val="0"/>
      <w:marBottom w:val="0"/>
      <w:divBdr>
        <w:top w:val="none" w:sz="0" w:space="0" w:color="auto"/>
        <w:left w:val="none" w:sz="0" w:space="0" w:color="auto"/>
        <w:bottom w:val="none" w:sz="0" w:space="0" w:color="auto"/>
        <w:right w:val="none" w:sz="0" w:space="0" w:color="auto"/>
      </w:divBdr>
    </w:div>
    <w:div w:id="1242063161">
      <w:bodyDiv w:val="1"/>
      <w:marLeft w:val="0"/>
      <w:marRight w:val="0"/>
      <w:marTop w:val="0"/>
      <w:marBottom w:val="0"/>
      <w:divBdr>
        <w:top w:val="none" w:sz="0" w:space="0" w:color="auto"/>
        <w:left w:val="none" w:sz="0" w:space="0" w:color="auto"/>
        <w:bottom w:val="none" w:sz="0" w:space="0" w:color="auto"/>
        <w:right w:val="none" w:sz="0" w:space="0" w:color="auto"/>
      </w:divBdr>
    </w:div>
    <w:div w:id="1242252549">
      <w:bodyDiv w:val="1"/>
      <w:marLeft w:val="0"/>
      <w:marRight w:val="0"/>
      <w:marTop w:val="0"/>
      <w:marBottom w:val="0"/>
      <w:divBdr>
        <w:top w:val="none" w:sz="0" w:space="0" w:color="auto"/>
        <w:left w:val="none" w:sz="0" w:space="0" w:color="auto"/>
        <w:bottom w:val="none" w:sz="0" w:space="0" w:color="auto"/>
        <w:right w:val="none" w:sz="0" w:space="0" w:color="auto"/>
      </w:divBdr>
    </w:div>
    <w:div w:id="1244490604">
      <w:bodyDiv w:val="1"/>
      <w:marLeft w:val="0"/>
      <w:marRight w:val="0"/>
      <w:marTop w:val="0"/>
      <w:marBottom w:val="0"/>
      <w:divBdr>
        <w:top w:val="none" w:sz="0" w:space="0" w:color="auto"/>
        <w:left w:val="none" w:sz="0" w:space="0" w:color="auto"/>
        <w:bottom w:val="none" w:sz="0" w:space="0" w:color="auto"/>
        <w:right w:val="none" w:sz="0" w:space="0" w:color="auto"/>
      </w:divBdr>
    </w:div>
    <w:div w:id="1247543535">
      <w:bodyDiv w:val="1"/>
      <w:marLeft w:val="0"/>
      <w:marRight w:val="0"/>
      <w:marTop w:val="0"/>
      <w:marBottom w:val="0"/>
      <w:divBdr>
        <w:top w:val="none" w:sz="0" w:space="0" w:color="auto"/>
        <w:left w:val="none" w:sz="0" w:space="0" w:color="auto"/>
        <w:bottom w:val="none" w:sz="0" w:space="0" w:color="auto"/>
        <w:right w:val="none" w:sz="0" w:space="0" w:color="auto"/>
      </w:divBdr>
    </w:div>
    <w:div w:id="1248274499">
      <w:bodyDiv w:val="1"/>
      <w:marLeft w:val="0"/>
      <w:marRight w:val="0"/>
      <w:marTop w:val="0"/>
      <w:marBottom w:val="0"/>
      <w:divBdr>
        <w:top w:val="none" w:sz="0" w:space="0" w:color="auto"/>
        <w:left w:val="none" w:sz="0" w:space="0" w:color="auto"/>
        <w:bottom w:val="none" w:sz="0" w:space="0" w:color="auto"/>
        <w:right w:val="none" w:sz="0" w:space="0" w:color="auto"/>
      </w:divBdr>
    </w:div>
    <w:div w:id="1252861238">
      <w:bodyDiv w:val="1"/>
      <w:marLeft w:val="0"/>
      <w:marRight w:val="0"/>
      <w:marTop w:val="0"/>
      <w:marBottom w:val="0"/>
      <w:divBdr>
        <w:top w:val="none" w:sz="0" w:space="0" w:color="auto"/>
        <w:left w:val="none" w:sz="0" w:space="0" w:color="auto"/>
        <w:bottom w:val="none" w:sz="0" w:space="0" w:color="auto"/>
        <w:right w:val="none" w:sz="0" w:space="0" w:color="auto"/>
      </w:divBdr>
      <w:divsChild>
        <w:div w:id="1973320084">
          <w:marLeft w:val="0"/>
          <w:marRight w:val="0"/>
          <w:marTop w:val="0"/>
          <w:marBottom w:val="0"/>
          <w:divBdr>
            <w:top w:val="none" w:sz="0" w:space="0" w:color="auto"/>
            <w:left w:val="none" w:sz="0" w:space="0" w:color="auto"/>
            <w:bottom w:val="none" w:sz="0" w:space="0" w:color="auto"/>
            <w:right w:val="none" w:sz="0" w:space="0" w:color="auto"/>
          </w:divBdr>
        </w:div>
      </w:divsChild>
    </w:div>
    <w:div w:id="1253011531">
      <w:bodyDiv w:val="1"/>
      <w:marLeft w:val="0"/>
      <w:marRight w:val="0"/>
      <w:marTop w:val="0"/>
      <w:marBottom w:val="0"/>
      <w:divBdr>
        <w:top w:val="none" w:sz="0" w:space="0" w:color="auto"/>
        <w:left w:val="none" w:sz="0" w:space="0" w:color="auto"/>
        <w:bottom w:val="none" w:sz="0" w:space="0" w:color="auto"/>
        <w:right w:val="none" w:sz="0" w:space="0" w:color="auto"/>
      </w:divBdr>
    </w:div>
    <w:div w:id="1253323534">
      <w:bodyDiv w:val="1"/>
      <w:marLeft w:val="0"/>
      <w:marRight w:val="0"/>
      <w:marTop w:val="0"/>
      <w:marBottom w:val="0"/>
      <w:divBdr>
        <w:top w:val="none" w:sz="0" w:space="0" w:color="auto"/>
        <w:left w:val="none" w:sz="0" w:space="0" w:color="auto"/>
        <w:bottom w:val="none" w:sz="0" w:space="0" w:color="auto"/>
        <w:right w:val="none" w:sz="0" w:space="0" w:color="auto"/>
      </w:divBdr>
    </w:div>
    <w:div w:id="1257517702">
      <w:bodyDiv w:val="1"/>
      <w:marLeft w:val="0"/>
      <w:marRight w:val="0"/>
      <w:marTop w:val="0"/>
      <w:marBottom w:val="0"/>
      <w:divBdr>
        <w:top w:val="none" w:sz="0" w:space="0" w:color="auto"/>
        <w:left w:val="none" w:sz="0" w:space="0" w:color="auto"/>
        <w:bottom w:val="none" w:sz="0" w:space="0" w:color="auto"/>
        <w:right w:val="none" w:sz="0" w:space="0" w:color="auto"/>
      </w:divBdr>
    </w:div>
    <w:div w:id="1259484713">
      <w:bodyDiv w:val="1"/>
      <w:marLeft w:val="0"/>
      <w:marRight w:val="0"/>
      <w:marTop w:val="0"/>
      <w:marBottom w:val="0"/>
      <w:divBdr>
        <w:top w:val="none" w:sz="0" w:space="0" w:color="auto"/>
        <w:left w:val="none" w:sz="0" w:space="0" w:color="auto"/>
        <w:bottom w:val="none" w:sz="0" w:space="0" w:color="auto"/>
        <w:right w:val="none" w:sz="0" w:space="0" w:color="auto"/>
      </w:divBdr>
    </w:div>
    <w:div w:id="1261718342">
      <w:bodyDiv w:val="1"/>
      <w:marLeft w:val="0"/>
      <w:marRight w:val="0"/>
      <w:marTop w:val="0"/>
      <w:marBottom w:val="0"/>
      <w:divBdr>
        <w:top w:val="none" w:sz="0" w:space="0" w:color="auto"/>
        <w:left w:val="none" w:sz="0" w:space="0" w:color="auto"/>
        <w:bottom w:val="none" w:sz="0" w:space="0" w:color="auto"/>
        <w:right w:val="none" w:sz="0" w:space="0" w:color="auto"/>
      </w:divBdr>
    </w:div>
    <w:div w:id="1262492528">
      <w:bodyDiv w:val="1"/>
      <w:marLeft w:val="0"/>
      <w:marRight w:val="0"/>
      <w:marTop w:val="0"/>
      <w:marBottom w:val="0"/>
      <w:divBdr>
        <w:top w:val="none" w:sz="0" w:space="0" w:color="auto"/>
        <w:left w:val="none" w:sz="0" w:space="0" w:color="auto"/>
        <w:bottom w:val="none" w:sz="0" w:space="0" w:color="auto"/>
        <w:right w:val="none" w:sz="0" w:space="0" w:color="auto"/>
      </w:divBdr>
    </w:div>
    <w:div w:id="1262758776">
      <w:bodyDiv w:val="1"/>
      <w:marLeft w:val="0"/>
      <w:marRight w:val="0"/>
      <w:marTop w:val="0"/>
      <w:marBottom w:val="0"/>
      <w:divBdr>
        <w:top w:val="none" w:sz="0" w:space="0" w:color="auto"/>
        <w:left w:val="none" w:sz="0" w:space="0" w:color="auto"/>
        <w:bottom w:val="none" w:sz="0" w:space="0" w:color="auto"/>
        <w:right w:val="none" w:sz="0" w:space="0" w:color="auto"/>
      </w:divBdr>
    </w:div>
    <w:div w:id="1267077721">
      <w:bodyDiv w:val="1"/>
      <w:marLeft w:val="0"/>
      <w:marRight w:val="0"/>
      <w:marTop w:val="0"/>
      <w:marBottom w:val="0"/>
      <w:divBdr>
        <w:top w:val="none" w:sz="0" w:space="0" w:color="auto"/>
        <w:left w:val="none" w:sz="0" w:space="0" w:color="auto"/>
        <w:bottom w:val="none" w:sz="0" w:space="0" w:color="auto"/>
        <w:right w:val="none" w:sz="0" w:space="0" w:color="auto"/>
      </w:divBdr>
      <w:divsChild>
        <w:div w:id="219102029">
          <w:marLeft w:val="0"/>
          <w:marRight w:val="0"/>
          <w:marTop w:val="0"/>
          <w:marBottom w:val="0"/>
          <w:divBdr>
            <w:top w:val="none" w:sz="0" w:space="0" w:color="auto"/>
            <w:left w:val="none" w:sz="0" w:space="0" w:color="auto"/>
            <w:bottom w:val="none" w:sz="0" w:space="0" w:color="auto"/>
            <w:right w:val="none" w:sz="0" w:space="0" w:color="auto"/>
          </w:divBdr>
          <w:divsChild>
            <w:div w:id="5104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421558">
      <w:bodyDiv w:val="1"/>
      <w:marLeft w:val="0"/>
      <w:marRight w:val="0"/>
      <w:marTop w:val="0"/>
      <w:marBottom w:val="0"/>
      <w:divBdr>
        <w:top w:val="none" w:sz="0" w:space="0" w:color="auto"/>
        <w:left w:val="none" w:sz="0" w:space="0" w:color="auto"/>
        <w:bottom w:val="none" w:sz="0" w:space="0" w:color="auto"/>
        <w:right w:val="none" w:sz="0" w:space="0" w:color="auto"/>
      </w:divBdr>
    </w:div>
    <w:div w:id="1272593169">
      <w:bodyDiv w:val="1"/>
      <w:marLeft w:val="0"/>
      <w:marRight w:val="0"/>
      <w:marTop w:val="0"/>
      <w:marBottom w:val="0"/>
      <w:divBdr>
        <w:top w:val="none" w:sz="0" w:space="0" w:color="auto"/>
        <w:left w:val="none" w:sz="0" w:space="0" w:color="auto"/>
        <w:bottom w:val="none" w:sz="0" w:space="0" w:color="auto"/>
        <w:right w:val="none" w:sz="0" w:space="0" w:color="auto"/>
      </w:divBdr>
    </w:div>
    <w:div w:id="1272739296">
      <w:bodyDiv w:val="1"/>
      <w:marLeft w:val="0"/>
      <w:marRight w:val="0"/>
      <w:marTop w:val="0"/>
      <w:marBottom w:val="0"/>
      <w:divBdr>
        <w:top w:val="none" w:sz="0" w:space="0" w:color="auto"/>
        <w:left w:val="none" w:sz="0" w:space="0" w:color="auto"/>
        <w:bottom w:val="none" w:sz="0" w:space="0" w:color="auto"/>
        <w:right w:val="none" w:sz="0" w:space="0" w:color="auto"/>
      </w:divBdr>
    </w:div>
    <w:div w:id="1276210387">
      <w:bodyDiv w:val="1"/>
      <w:marLeft w:val="0"/>
      <w:marRight w:val="0"/>
      <w:marTop w:val="0"/>
      <w:marBottom w:val="0"/>
      <w:divBdr>
        <w:top w:val="none" w:sz="0" w:space="0" w:color="auto"/>
        <w:left w:val="none" w:sz="0" w:space="0" w:color="auto"/>
        <w:bottom w:val="none" w:sz="0" w:space="0" w:color="auto"/>
        <w:right w:val="none" w:sz="0" w:space="0" w:color="auto"/>
      </w:divBdr>
      <w:divsChild>
        <w:div w:id="1953852552">
          <w:marLeft w:val="0"/>
          <w:marRight w:val="0"/>
          <w:marTop w:val="0"/>
          <w:marBottom w:val="0"/>
          <w:divBdr>
            <w:top w:val="none" w:sz="0" w:space="0" w:color="auto"/>
            <w:left w:val="none" w:sz="0" w:space="0" w:color="auto"/>
            <w:bottom w:val="none" w:sz="0" w:space="0" w:color="auto"/>
            <w:right w:val="none" w:sz="0" w:space="0" w:color="auto"/>
          </w:divBdr>
        </w:div>
      </w:divsChild>
    </w:div>
    <w:div w:id="1276518784">
      <w:bodyDiv w:val="1"/>
      <w:marLeft w:val="0"/>
      <w:marRight w:val="0"/>
      <w:marTop w:val="0"/>
      <w:marBottom w:val="0"/>
      <w:divBdr>
        <w:top w:val="none" w:sz="0" w:space="0" w:color="auto"/>
        <w:left w:val="none" w:sz="0" w:space="0" w:color="auto"/>
        <w:bottom w:val="none" w:sz="0" w:space="0" w:color="auto"/>
        <w:right w:val="none" w:sz="0" w:space="0" w:color="auto"/>
      </w:divBdr>
    </w:div>
    <w:div w:id="1282374005">
      <w:bodyDiv w:val="1"/>
      <w:marLeft w:val="0"/>
      <w:marRight w:val="0"/>
      <w:marTop w:val="0"/>
      <w:marBottom w:val="0"/>
      <w:divBdr>
        <w:top w:val="none" w:sz="0" w:space="0" w:color="auto"/>
        <w:left w:val="none" w:sz="0" w:space="0" w:color="auto"/>
        <w:bottom w:val="none" w:sz="0" w:space="0" w:color="auto"/>
        <w:right w:val="none" w:sz="0" w:space="0" w:color="auto"/>
      </w:divBdr>
    </w:div>
    <w:div w:id="1283145131">
      <w:bodyDiv w:val="1"/>
      <w:marLeft w:val="0"/>
      <w:marRight w:val="0"/>
      <w:marTop w:val="0"/>
      <w:marBottom w:val="0"/>
      <w:divBdr>
        <w:top w:val="none" w:sz="0" w:space="0" w:color="auto"/>
        <w:left w:val="none" w:sz="0" w:space="0" w:color="auto"/>
        <w:bottom w:val="none" w:sz="0" w:space="0" w:color="auto"/>
        <w:right w:val="none" w:sz="0" w:space="0" w:color="auto"/>
      </w:divBdr>
    </w:div>
    <w:div w:id="1286621837">
      <w:bodyDiv w:val="1"/>
      <w:marLeft w:val="0"/>
      <w:marRight w:val="0"/>
      <w:marTop w:val="0"/>
      <w:marBottom w:val="0"/>
      <w:divBdr>
        <w:top w:val="none" w:sz="0" w:space="0" w:color="auto"/>
        <w:left w:val="none" w:sz="0" w:space="0" w:color="auto"/>
        <w:bottom w:val="none" w:sz="0" w:space="0" w:color="auto"/>
        <w:right w:val="none" w:sz="0" w:space="0" w:color="auto"/>
      </w:divBdr>
    </w:div>
    <w:div w:id="1286692494">
      <w:bodyDiv w:val="1"/>
      <w:marLeft w:val="0"/>
      <w:marRight w:val="0"/>
      <w:marTop w:val="0"/>
      <w:marBottom w:val="0"/>
      <w:divBdr>
        <w:top w:val="none" w:sz="0" w:space="0" w:color="auto"/>
        <w:left w:val="none" w:sz="0" w:space="0" w:color="auto"/>
        <w:bottom w:val="none" w:sz="0" w:space="0" w:color="auto"/>
        <w:right w:val="none" w:sz="0" w:space="0" w:color="auto"/>
      </w:divBdr>
    </w:div>
    <w:div w:id="1293055918">
      <w:bodyDiv w:val="1"/>
      <w:marLeft w:val="0"/>
      <w:marRight w:val="0"/>
      <w:marTop w:val="0"/>
      <w:marBottom w:val="0"/>
      <w:divBdr>
        <w:top w:val="none" w:sz="0" w:space="0" w:color="auto"/>
        <w:left w:val="none" w:sz="0" w:space="0" w:color="auto"/>
        <w:bottom w:val="none" w:sz="0" w:space="0" w:color="auto"/>
        <w:right w:val="none" w:sz="0" w:space="0" w:color="auto"/>
      </w:divBdr>
    </w:div>
    <w:div w:id="1296178520">
      <w:bodyDiv w:val="1"/>
      <w:marLeft w:val="0"/>
      <w:marRight w:val="0"/>
      <w:marTop w:val="0"/>
      <w:marBottom w:val="0"/>
      <w:divBdr>
        <w:top w:val="none" w:sz="0" w:space="0" w:color="auto"/>
        <w:left w:val="none" w:sz="0" w:space="0" w:color="auto"/>
        <w:bottom w:val="none" w:sz="0" w:space="0" w:color="auto"/>
        <w:right w:val="none" w:sz="0" w:space="0" w:color="auto"/>
      </w:divBdr>
      <w:divsChild>
        <w:div w:id="1030565660">
          <w:marLeft w:val="0"/>
          <w:marRight w:val="0"/>
          <w:marTop w:val="0"/>
          <w:marBottom w:val="0"/>
          <w:divBdr>
            <w:top w:val="none" w:sz="0" w:space="0" w:color="auto"/>
            <w:left w:val="none" w:sz="0" w:space="0" w:color="auto"/>
            <w:bottom w:val="none" w:sz="0" w:space="0" w:color="auto"/>
            <w:right w:val="none" w:sz="0" w:space="0" w:color="auto"/>
          </w:divBdr>
        </w:div>
      </w:divsChild>
    </w:div>
    <w:div w:id="1296833928">
      <w:bodyDiv w:val="1"/>
      <w:marLeft w:val="0"/>
      <w:marRight w:val="0"/>
      <w:marTop w:val="0"/>
      <w:marBottom w:val="0"/>
      <w:divBdr>
        <w:top w:val="none" w:sz="0" w:space="0" w:color="auto"/>
        <w:left w:val="none" w:sz="0" w:space="0" w:color="auto"/>
        <w:bottom w:val="none" w:sz="0" w:space="0" w:color="auto"/>
        <w:right w:val="none" w:sz="0" w:space="0" w:color="auto"/>
      </w:divBdr>
    </w:div>
    <w:div w:id="1296987190">
      <w:bodyDiv w:val="1"/>
      <w:marLeft w:val="0"/>
      <w:marRight w:val="0"/>
      <w:marTop w:val="0"/>
      <w:marBottom w:val="0"/>
      <w:divBdr>
        <w:top w:val="none" w:sz="0" w:space="0" w:color="auto"/>
        <w:left w:val="none" w:sz="0" w:space="0" w:color="auto"/>
        <w:bottom w:val="none" w:sz="0" w:space="0" w:color="auto"/>
        <w:right w:val="none" w:sz="0" w:space="0" w:color="auto"/>
      </w:divBdr>
    </w:div>
    <w:div w:id="1297643161">
      <w:bodyDiv w:val="1"/>
      <w:marLeft w:val="0"/>
      <w:marRight w:val="0"/>
      <w:marTop w:val="0"/>
      <w:marBottom w:val="0"/>
      <w:divBdr>
        <w:top w:val="none" w:sz="0" w:space="0" w:color="auto"/>
        <w:left w:val="none" w:sz="0" w:space="0" w:color="auto"/>
        <w:bottom w:val="none" w:sz="0" w:space="0" w:color="auto"/>
        <w:right w:val="none" w:sz="0" w:space="0" w:color="auto"/>
      </w:divBdr>
    </w:div>
    <w:div w:id="1300652506">
      <w:bodyDiv w:val="1"/>
      <w:marLeft w:val="0"/>
      <w:marRight w:val="0"/>
      <w:marTop w:val="0"/>
      <w:marBottom w:val="0"/>
      <w:divBdr>
        <w:top w:val="none" w:sz="0" w:space="0" w:color="auto"/>
        <w:left w:val="none" w:sz="0" w:space="0" w:color="auto"/>
        <w:bottom w:val="none" w:sz="0" w:space="0" w:color="auto"/>
        <w:right w:val="none" w:sz="0" w:space="0" w:color="auto"/>
      </w:divBdr>
    </w:div>
    <w:div w:id="1303079857">
      <w:bodyDiv w:val="1"/>
      <w:marLeft w:val="0"/>
      <w:marRight w:val="0"/>
      <w:marTop w:val="0"/>
      <w:marBottom w:val="0"/>
      <w:divBdr>
        <w:top w:val="none" w:sz="0" w:space="0" w:color="auto"/>
        <w:left w:val="none" w:sz="0" w:space="0" w:color="auto"/>
        <w:bottom w:val="none" w:sz="0" w:space="0" w:color="auto"/>
        <w:right w:val="none" w:sz="0" w:space="0" w:color="auto"/>
      </w:divBdr>
      <w:divsChild>
        <w:div w:id="886180103">
          <w:marLeft w:val="0"/>
          <w:marRight w:val="0"/>
          <w:marTop w:val="0"/>
          <w:marBottom w:val="0"/>
          <w:divBdr>
            <w:top w:val="none" w:sz="0" w:space="0" w:color="auto"/>
            <w:left w:val="none" w:sz="0" w:space="0" w:color="auto"/>
            <w:bottom w:val="none" w:sz="0" w:space="0" w:color="auto"/>
            <w:right w:val="none" w:sz="0" w:space="0" w:color="auto"/>
          </w:divBdr>
        </w:div>
      </w:divsChild>
    </w:div>
    <w:div w:id="1306395420">
      <w:bodyDiv w:val="1"/>
      <w:marLeft w:val="0"/>
      <w:marRight w:val="0"/>
      <w:marTop w:val="0"/>
      <w:marBottom w:val="0"/>
      <w:divBdr>
        <w:top w:val="none" w:sz="0" w:space="0" w:color="auto"/>
        <w:left w:val="none" w:sz="0" w:space="0" w:color="auto"/>
        <w:bottom w:val="none" w:sz="0" w:space="0" w:color="auto"/>
        <w:right w:val="none" w:sz="0" w:space="0" w:color="auto"/>
      </w:divBdr>
    </w:div>
    <w:div w:id="1310746928">
      <w:bodyDiv w:val="1"/>
      <w:marLeft w:val="0"/>
      <w:marRight w:val="0"/>
      <w:marTop w:val="0"/>
      <w:marBottom w:val="0"/>
      <w:divBdr>
        <w:top w:val="none" w:sz="0" w:space="0" w:color="auto"/>
        <w:left w:val="none" w:sz="0" w:space="0" w:color="auto"/>
        <w:bottom w:val="none" w:sz="0" w:space="0" w:color="auto"/>
        <w:right w:val="none" w:sz="0" w:space="0" w:color="auto"/>
      </w:divBdr>
      <w:divsChild>
        <w:div w:id="880828601">
          <w:marLeft w:val="0"/>
          <w:marRight w:val="0"/>
          <w:marTop w:val="0"/>
          <w:marBottom w:val="0"/>
          <w:divBdr>
            <w:top w:val="none" w:sz="0" w:space="0" w:color="auto"/>
            <w:left w:val="none" w:sz="0" w:space="0" w:color="auto"/>
            <w:bottom w:val="none" w:sz="0" w:space="0" w:color="auto"/>
            <w:right w:val="none" w:sz="0" w:space="0" w:color="auto"/>
          </w:divBdr>
        </w:div>
      </w:divsChild>
    </w:div>
    <w:div w:id="1311329339">
      <w:bodyDiv w:val="1"/>
      <w:marLeft w:val="0"/>
      <w:marRight w:val="0"/>
      <w:marTop w:val="0"/>
      <w:marBottom w:val="0"/>
      <w:divBdr>
        <w:top w:val="none" w:sz="0" w:space="0" w:color="auto"/>
        <w:left w:val="none" w:sz="0" w:space="0" w:color="auto"/>
        <w:bottom w:val="none" w:sz="0" w:space="0" w:color="auto"/>
        <w:right w:val="none" w:sz="0" w:space="0" w:color="auto"/>
      </w:divBdr>
    </w:div>
    <w:div w:id="1311668456">
      <w:bodyDiv w:val="1"/>
      <w:marLeft w:val="0"/>
      <w:marRight w:val="0"/>
      <w:marTop w:val="0"/>
      <w:marBottom w:val="0"/>
      <w:divBdr>
        <w:top w:val="none" w:sz="0" w:space="0" w:color="auto"/>
        <w:left w:val="none" w:sz="0" w:space="0" w:color="auto"/>
        <w:bottom w:val="none" w:sz="0" w:space="0" w:color="auto"/>
        <w:right w:val="none" w:sz="0" w:space="0" w:color="auto"/>
      </w:divBdr>
    </w:div>
    <w:div w:id="1320572166">
      <w:bodyDiv w:val="1"/>
      <w:marLeft w:val="0"/>
      <w:marRight w:val="0"/>
      <w:marTop w:val="0"/>
      <w:marBottom w:val="0"/>
      <w:divBdr>
        <w:top w:val="none" w:sz="0" w:space="0" w:color="auto"/>
        <w:left w:val="none" w:sz="0" w:space="0" w:color="auto"/>
        <w:bottom w:val="none" w:sz="0" w:space="0" w:color="auto"/>
        <w:right w:val="none" w:sz="0" w:space="0" w:color="auto"/>
      </w:divBdr>
    </w:div>
    <w:div w:id="1321080567">
      <w:bodyDiv w:val="1"/>
      <w:marLeft w:val="0"/>
      <w:marRight w:val="0"/>
      <w:marTop w:val="0"/>
      <w:marBottom w:val="0"/>
      <w:divBdr>
        <w:top w:val="none" w:sz="0" w:space="0" w:color="auto"/>
        <w:left w:val="none" w:sz="0" w:space="0" w:color="auto"/>
        <w:bottom w:val="none" w:sz="0" w:space="0" w:color="auto"/>
        <w:right w:val="none" w:sz="0" w:space="0" w:color="auto"/>
      </w:divBdr>
    </w:div>
    <w:div w:id="1321423034">
      <w:bodyDiv w:val="1"/>
      <w:marLeft w:val="0"/>
      <w:marRight w:val="0"/>
      <w:marTop w:val="0"/>
      <w:marBottom w:val="0"/>
      <w:divBdr>
        <w:top w:val="none" w:sz="0" w:space="0" w:color="auto"/>
        <w:left w:val="none" w:sz="0" w:space="0" w:color="auto"/>
        <w:bottom w:val="none" w:sz="0" w:space="0" w:color="auto"/>
        <w:right w:val="none" w:sz="0" w:space="0" w:color="auto"/>
      </w:divBdr>
    </w:div>
    <w:div w:id="1323773369">
      <w:bodyDiv w:val="1"/>
      <w:marLeft w:val="0"/>
      <w:marRight w:val="0"/>
      <w:marTop w:val="0"/>
      <w:marBottom w:val="0"/>
      <w:divBdr>
        <w:top w:val="none" w:sz="0" w:space="0" w:color="auto"/>
        <w:left w:val="none" w:sz="0" w:space="0" w:color="auto"/>
        <w:bottom w:val="none" w:sz="0" w:space="0" w:color="auto"/>
        <w:right w:val="none" w:sz="0" w:space="0" w:color="auto"/>
      </w:divBdr>
    </w:div>
    <w:div w:id="1325279941">
      <w:bodyDiv w:val="1"/>
      <w:marLeft w:val="0"/>
      <w:marRight w:val="0"/>
      <w:marTop w:val="0"/>
      <w:marBottom w:val="0"/>
      <w:divBdr>
        <w:top w:val="none" w:sz="0" w:space="0" w:color="auto"/>
        <w:left w:val="none" w:sz="0" w:space="0" w:color="auto"/>
        <w:bottom w:val="none" w:sz="0" w:space="0" w:color="auto"/>
        <w:right w:val="none" w:sz="0" w:space="0" w:color="auto"/>
      </w:divBdr>
    </w:div>
    <w:div w:id="1325664582">
      <w:bodyDiv w:val="1"/>
      <w:marLeft w:val="0"/>
      <w:marRight w:val="0"/>
      <w:marTop w:val="0"/>
      <w:marBottom w:val="0"/>
      <w:divBdr>
        <w:top w:val="none" w:sz="0" w:space="0" w:color="auto"/>
        <w:left w:val="none" w:sz="0" w:space="0" w:color="auto"/>
        <w:bottom w:val="none" w:sz="0" w:space="0" w:color="auto"/>
        <w:right w:val="none" w:sz="0" w:space="0" w:color="auto"/>
      </w:divBdr>
    </w:div>
    <w:div w:id="1329400974">
      <w:bodyDiv w:val="1"/>
      <w:marLeft w:val="0"/>
      <w:marRight w:val="0"/>
      <w:marTop w:val="0"/>
      <w:marBottom w:val="0"/>
      <w:divBdr>
        <w:top w:val="none" w:sz="0" w:space="0" w:color="auto"/>
        <w:left w:val="none" w:sz="0" w:space="0" w:color="auto"/>
        <w:bottom w:val="none" w:sz="0" w:space="0" w:color="auto"/>
        <w:right w:val="none" w:sz="0" w:space="0" w:color="auto"/>
      </w:divBdr>
    </w:div>
    <w:div w:id="1336686045">
      <w:bodyDiv w:val="1"/>
      <w:marLeft w:val="0"/>
      <w:marRight w:val="0"/>
      <w:marTop w:val="0"/>
      <w:marBottom w:val="0"/>
      <w:divBdr>
        <w:top w:val="none" w:sz="0" w:space="0" w:color="auto"/>
        <w:left w:val="none" w:sz="0" w:space="0" w:color="auto"/>
        <w:bottom w:val="none" w:sz="0" w:space="0" w:color="auto"/>
        <w:right w:val="none" w:sz="0" w:space="0" w:color="auto"/>
      </w:divBdr>
    </w:div>
    <w:div w:id="1337225597">
      <w:bodyDiv w:val="1"/>
      <w:marLeft w:val="0"/>
      <w:marRight w:val="0"/>
      <w:marTop w:val="0"/>
      <w:marBottom w:val="0"/>
      <w:divBdr>
        <w:top w:val="none" w:sz="0" w:space="0" w:color="auto"/>
        <w:left w:val="none" w:sz="0" w:space="0" w:color="auto"/>
        <w:bottom w:val="none" w:sz="0" w:space="0" w:color="auto"/>
        <w:right w:val="none" w:sz="0" w:space="0" w:color="auto"/>
      </w:divBdr>
      <w:divsChild>
        <w:div w:id="968171004">
          <w:marLeft w:val="0"/>
          <w:marRight w:val="0"/>
          <w:marTop w:val="0"/>
          <w:marBottom w:val="0"/>
          <w:divBdr>
            <w:top w:val="none" w:sz="0" w:space="0" w:color="auto"/>
            <w:left w:val="none" w:sz="0" w:space="0" w:color="auto"/>
            <w:bottom w:val="none" w:sz="0" w:space="0" w:color="auto"/>
            <w:right w:val="none" w:sz="0" w:space="0" w:color="auto"/>
          </w:divBdr>
        </w:div>
      </w:divsChild>
    </w:div>
    <w:div w:id="1338534897">
      <w:bodyDiv w:val="1"/>
      <w:marLeft w:val="0"/>
      <w:marRight w:val="0"/>
      <w:marTop w:val="0"/>
      <w:marBottom w:val="0"/>
      <w:divBdr>
        <w:top w:val="none" w:sz="0" w:space="0" w:color="auto"/>
        <w:left w:val="none" w:sz="0" w:space="0" w:color="auto"/>
        <w:bottom w:val="none" w:sz="0" w:space="0" w:color="auto"/>
        <w:right w:val="none" w:sz="0" w:space="0" w:color="auto"/>
      </w:divBdr>
    </w:div>
    <w:div w:id="1358193290">
      <w:bodyDiv w:val="1"/>
      <w:marLeft w:val="0"/>
      <w:marRight w:val="0"/>
      <w:marTop w:val="0"/>
      <w:marBottom w:val="0"/>
      <w:divBdr>
        <w:top w:val="none" w:sz="0" w:space="0" w:color="auto"/>
        <w:left w:val="none" w:sz="0" w:space="0" w:color="auto"/>
        <w:bottom w:val="none" w:sz="0" w:space="0" w:color="auto"/>
        <w:right w:val="none" w:sz="0" w:space="0" w:color="auto"/>
      </w:divBdr>
    </w:div>
    <w:div w:id="1360856471">
      <w:bodyDiv w:val="1"/>
      <w:marLeft w:val="0"/>
      <w:marRight w:val="0"/>
      <w:marTop w:val="0"/>
      <w:marBottom w:val="0"/>
      <w:divBdr>
        <w:top w:val="none" w:sz="0" w:space="0" w:color="auto"/>
        <w:left w:val="none" w:sz="0" w:space="0" w:color="auto"/>
        <w:bottom w:val="none" w:sz="0" w:space="0" w:color="auto"/>
        <w:right w:val="none" w:sz="0" w:space="0" w:color="auto"/>
      </w:divBdr>
    </w:div>
    <w:div w:id="1360862021">
      <w:bodyDiv w:val="1"/>
      <w:marLeft w:val="0"/>
      <w:marRight w:val="0"/>
      <w:marTop w:val="0"/>
      <w:marBottom w:val="0"/>
      <w:divBdr>
        <w:top w:val="none" w:sz="0" w:space="0" w:color="auto"/>
        <w:left w:val="none" w:sz="0" w:space="0" w:color="auto"/>
        <w:bottom w:val="none" w:sz="0" w:space="0" w:color="auto"/>
        <w:right w:val="none" w:sz="0" w:space="0" w:color="auto"/>
      </w:divBdr>
    </w:div>
    <w:div w:id="1361124986">
      <w:bodyDiv w:val="1"/>
      <w:marLeft w:val="0"/>
      <w:marRight w:val="0"/>
      <w:marTop w:val="0"/>
      <w:marBottom w:val="0"/>
      <w:divBdr>
        <w:top w:val="none" w:sz="0" w:space="0" w:color="auto"/>
        <w:left w:val="none" w:sz="0" w:space="0" w:color="auto"/>
        <w:bottom w:val="none" w:sz="0" w:space="0" w:color="auto"/>
        <w:right w:val="none" w:sz="0" w:space="0" w:color="auto"/>
      </w:divBdr>
    </w:div>
    <w:div w:id="1364406696">
      <w:bodyDiv w:val="1"/>
      <w:marLeft w:val="0"/>
      <w:marRight w:val="0"/>
      <w:marTop w:val="0"/>
      <w:marBottom w:val="0"/>
      <w:divBdr>
        <w:top w:val="none" w:sz="0" w:space="0" w:color="auto"/>
        <w:left w:val="none" w:sz="0" w:space="0" w:color="auto"/>
        <w:bottom w:val="none" w:sz="0" w:space="0" w:color="auto"/>
        <w:right w:val="none" w:sz="0" w:space="0" w:color="auto"/>
      </w:divBdr>
    </w:div>
    <w:div w:id="1367876186">
      <w:bodyDiv w:val="1"/>
      <w:marLeft w:val="0"/>
      <w:marRight w:val="0"/>
      <w:marTop w:val="0"/>
      <w:marBottom w:val="0"/>
      <w:divBdr>
        <w:top w:val="none" w:sz="0" w:space="0" w:color="auto"/>
        <w:left w:val="none" w:sz="0" w:space="0" w:color="auto"/>
        <w:bottom w:val="none" w:sz="0" w:space="0" w:color="auto"/>
        <w:right w:val="none" w:sz="0" w:space="0" w:color="auto"/>
      </w:divBdr>
    </w:div>
    <w:div w:id="1368336572">
      <w:bodyDiv w:val="1"/>
      <w:marLeft w:val="0"/>
      <w:marRight w:val="0"/>
      <w:marTop w:val="0"/>
      <w:marBottom w:val="0"/>
      <w:divBdr>
        <w:top w:val="none" w:sz="0" w:space="0" w:color="auto"/>
        <w:left w:val="none" w:sz="0" w:space="0" w:color="auto"/>
        <w:bottom w:val="none" w:sz="0" w:space="0" w:color="auto"/>
        <w:right w:val="none" w:sz="0" w:space="0" w:color="auto"/>
      </w:divBdr>
      <w:divsChild>
        <w:div w:id="1337268378">
          <w:marLeft w:val="0"/>
          <w:marRight w:val="0"/>
          <w:marTop w:val="0"/>
          <w:marBottom w:val="0"/>
          <w:divBdr>
            <w:top w:val="none" w:sz="0" w:space="0" w:color="auto"/>
            <w:left w:val="none" w:sz="0" w:space="0" w:color="auto"/>
            <w:bottom w:val="none" w:sz="0" w:space="0" w:color="auto"/>
            <w:right w:val="none" w:sz="0" w:space="0" w:color="auto"/>
          </w:divBdr>
        </w:div>
      </w:divsChild>
    </w:div>
    <w:div w:id="1370184205">
      <w:bodyDiv w:val="1"/>
      <w:marLeft w:val="0"/>
      <w:marRight w:val="0"/>
      <w:marTop w:val="0"/>
      <w:marBottom w:val="0"/>
      <w:divBdr>
        <w:top w:val="none" w:sz="0" w:space="0" w:color="auto"/>
        <w:left w:val="none" w:sz="0" w:space="0" w:color="auto"/>
        <w:bottom w:val="none" w:sz="0" w:space="0" w:color="auto"/>
        <w:right w:val="none" w:sz="0" w:space="0" w:color="auto"/>
      </w:divBdr>
    </w:div>
    <w:div w:id="1372219877">
      <w:bodyDiv w:val="1"/>
      <w:marLeft w:val="0"/>
      <w:marRight w:val="0"/>
      <w:marTop w:val="0"/>
      <w:marBottom w:val="0"/>
      <w:divBdr>
        <w:top w:val="none" w:sz="0" w:space="0" w:color="auto"/>
        <w:left w:val="none" w:sz="0" w:space="0" w:color="auto"/>
        <w:bottom w:val="none" w:sz="0" w:space="0" w:color="auto"/>
        <w:right w:val="none" w:sz="0" w:space="0" w:color="auto"/>
      </w:divBdr>
    </w:div>
    <w:div w:id="1372459015">
      <w:bodyDiv w:val="1"/>
      <w:marLeft w:val="0"/>
      <w:marRight w:val="0"/>
      <w:marTop w:val="0"/>
      <w:marBottom w:val="0"/>
      <w:divBdr>
        <w:top w:val="none" w:sz="0" w:space="0" w:color="auto"/>
        <w:left w:val="none" w:sz="0" w:space="0" w:color="auto"/>
        <w:bottom w:val="none" w:sz="0" w:space="0" w:color="auto"/>
        <w:right w:val="none" w:sz="0" w:space="0" w:color="auto"/>
      </w:divBdr>
    </w:div>
    <w:div w:id="1375035140">
      <w:bodyDiv w:val="1"/>
      <w:marLeft w:val="0"/>
      <w:marRight w:val="0"/>
      <w:marTop w:val="0"/>
      <w:marBottom w:val="0"/>
      <w:divBdr>
        <w:top w:val="none" w:sz="0" w:space="0" w:color="auto"/>
        <w:left w:val="none" w:sz="0" w:space="0" w:color="auto"/>
        <w:bottom w:val="none" w:sz="0" w:space="0" w:color="auto"/>
        <w:right w:val="none" w:sz="0" w:space="0" w:color="auto"/>
      </w:divBdr>
    </w:div>
    <w:div w:id="1382096362">
      <w:bodyDiv w:val="1"/>
      <w:marLeft w:val="0"/>
      <w:marRight w:val="0"/>
      <w:marTop w:val="0"/>
      <w:marBottom w:val="0"/>
      <w:divBdr>
        <w:top w:val="none" w:sz="0" w:space="0" w:color="auto"/>
        <w:left w:val="none" w:sz="0" w:space="0" w:color="auto"/>
        <w:bottom w:val="none" w:sz="0" w:space="0" w:color="auto"/>
        <w:right w:val="none" w:sz="0" w:space="0" w:color="auto"/>
      </w:divBdr>
    </w:div>
    <w:div w:id="1384210759">
      <w:bodyDiv w:val="1"/>
      <w:marLeft w:val="0"/>
      <w:marRight w:val="0"/>
      <w:marTop w:val="0"/>
      <w:marBottom w:val="0"/>
      <w:divBdr>
        <w:top w:val="none" w:sz="0" w:space="0" w:color="auto"/>
        <w:left w:val="none" w:sz="0" w:space="0" w:color="auto"/>
        <w:bottom w:val="none" w:sz="0" w:space="0" w:color="auto"/>
        <w:right w:val="none" w:sz="0" w:space="0" w:color="auto"/>
      </w:divBdr>
    </w:div>
    <w:div w:id="1385329891">
      <w:bodyDiv w:val="1"/>
      <w:marLeft w:val="0"/>
      <w:marRight w:val="0"/>
      <w:marTop w:val="0"/>
      <w:marBottom w:val="0"/>
      <w:divBdr>
        <w:top w:val="none" w:sz="0" w:space="0" w:color="auto"/>
        <w:left w:val="none" w:sz="0" w:space="0" w:color="auto"/>
        <w:bottom w:val="none" w:sz="0" w:space="0" w:color="auto"/>
        <w:right w:val="none" w:sz="0" w:space="0" w:color="auto"/>
      </w:divBdr>
      <w:divsChild>
        <w:div w:id="1464618458">
          <w:marLeft w:val="0"/>
          <w:marRight w:val="0"/>
          <w:marTop w:val="0"/>
          <w:marBottom w:val="0"/>
          <w:divBdr>
            <w:top w:val="none" w:sz="0" w:space="0" w:color="auto"/>
            <w:left w:val="none" w:sz="0" w:space="0" w:color="auto"/>
            <w:bottom w:val="none" w:sz="0" w:space="0" w:color="auto"/>
            <w:right w:val="none" w:sz="0" w:space="0" w:color="auto"/>
          </w:divBdr>
        </w:div>
      </w:divsChild>
    </w:div>
    <w:div w:id="1388334323">
      <w:bodyDiv w:val="1"/>
      <w:marLeft w:val="0"/>
      <w:marRight w:val="0"/>
      <w:marTop w:val="0"/>
      <w:marBottom w:val="0"/>
      <w:divBdr>
        <w:top w:val="none" w:sz="0" w:space="0" w:color="auto"/>
        <w:left w:val="none" w:sz="0" w:space="0" w:color="auto"/>
        <w:bottom w:val="none" w:sz="0" w:space="0" w:color="auto"/>
        <w:right w:val="none" w:sz="0" w:space="0" w:color="auto"/>
      </w:divBdr>
    </w:div>
    <w:div w:id="1391882198">
      <w:bodyDiv w:val="1"/>
      <w:marLeft w:val="0"/>
      <w:marRight w:val="0"/>
      <w:marTop w:val="0"/>
      <w:marBottom w:val="0"/>
      <w:divBdr>
        <w:top w:val="none" w:sz="0" w:space="0" w:color="auto"/>
        <w:left w:val="none" w:sz="0" w:space="0" w:color="auto"/>
        <w:bottom w:val="none" w:sz="0" w:space="0" w:color="auto"/>
        <w:right w:val="none" w:sz="0" w:space="0" w:color="auto"/>
      </w:divBdr>
    </w:div>
    <w:div w:id="1391926973">
      <w:bodyDiv w:val="1"/>
      <w:marLeft w:val="0"/>
      <w:marRight w:val="0"/>
      <w:marTop w:val="0"/>
      <w:marBottom w:val="0"/>
      <w:divBdr>
        <w:top w:val="none" w:sz="0" w:space="0" w:color="auto"/>
        <w:left w:val="none" w:sz="0" w:space="0" w:color="auto"/>
        <w:bottom w:val="none" w:sz="0" w:space="0" w:color="auto"/>
        <w:right w:val="none" w:sz="0" w:space="0" w:color="auto"/>
      </w:divBdr>
    </w:div>
    <w:div w:id="1393230879">
      <w:bodyDiv w:val="1"/>
      <w:marLeft w:val="0"/>
      <w:marRight w:val="0"/>
      <w:marTop w:val="0"/>
      <w:marBottom w:val="0"/>
      <w:divBdr>
        <w:top w:val="none" w:sz="0" w:space="0" w:color="auto"/>
        <w:left w:val="none" w:sz="0" w:space="0" w:color="auto"/>
        <w:bottom w:val="none" w:sz="0" w:space="0" w:color="auto"/>
        <w:right w:val="none" w:sz="0" w:space="0" w:color="auto"/>
      </w:divBdr>
    </w:div>
    <w:div w:id="1395663306">
      <w:bodyDiv w:val="1"/>
      <w:marLeft w:val="0"/>
      <w:marRight w:val="0"/>
      <w:marTop w:val="0"/>
      <w:marBottom w:val="0"/>
      <w:divBdr>
        <w:top w:val="none" w:sz="0" w:space="0" w:color="auto"/>
        <w:left w:val="none" w:sz="0" w:space="0" w:color="auto"/>
        <w:bottom w:val="none" w:sz="0" w:space="0" w:color="auto"/>
        <w:right w:val="none" w:sz="0" w:space="0" w:color="auto"/>
      </w:divBdr>
    </w:div>
    <w:div w:id="1398820390">
      <w:bodyDiv w:val="1"/>
      <w:marLeft w:val="0"/>
      <w:marRight w:val="0"/>
      <w:marTop w:val="0"/>
      <w:marBottom w:val="0"/>
      <w:divBdr>
        <w:top w:val="none" w:sz="0" w:space="0" w:color="auto"/>
        <w:left w:val="none" w:sz="0" w:space="0" w:color="auto"/>
        <w:bottom w:val="none" w:sz="0" w:space="0" w:color="auto"/>
        <w:right w:val="none" w:sz="0" w:space="0" w:color="auto"/>
      </w:divBdr>
      <w:divsChild>
        <w:div w:id="30038074">
          <w:marLeft w:val="0"/>
          <w:marRight w:val="0"/>
          <w:marTop w:val="0"/>
          <w:marBottom w:val="0"/>
          <w:divBdr>
            <w:top w:val="none" w:sz="0" w:space="0" w:color="auto"/>
            <w:left w:val="none" w:sz="0" w:space="0" w:color="auto"/>
            <w:bottom w:val="none" w:sz="0" w:space="0" w:color="auto"/>
            <w:right w:val="none" w:sz="0" w:space="0" w:color="auto"/>
          </w:divBdr>
        </w:div>
      </w:divsChild>
    </w:div>
    <w:div w:id="1400640364">
      <w:bodyDiv w:val="1"/>
      <w:marLeft w:val="0"/>
      <w:marRight w:val="0"/>
      <w:marTop w:val="0"/>
      <w:marBottom w:val="0"/>
      <w:divBdr>
        <w:top w:val="none" w:sz="0" w:space="0" w:color="auto"/>
        <w:left w:val="none" w:sz="0" w:space="0" w:color="auto"/>
        <w:bottom w:val="none" w:sz="0" w:space="0" w:color="auto"/>
        <w:right w:val="none" w:sz="0" w:space="0" w:color="auto"/>
      </w:divBdr>
    </w:div>
    <w:div w:id="1405026508">
      <w:bodyDiv w:val="1"/>
      <w:marLeft w:val="0"/>
      <w:marRight w:val="0"/>
      <w:marTop w:val="0"/>
      <w:marBottom w:val="0"/>
      <w:divBdr>
        <w:top w:val="none" w:sz="0" w:space="0" w:color="auto"/>
        <w:left w:val="none" w:sz="0" w:space="0" w:color="auto"/>
        <w:bottom w:val="none" w:sz="0" w:space="0" w:color="auto"/>
        <w:right w:val="none" w:sz="0" w:space="0" w:color="auto"/>
      </w:divBdr>
    </w:div>
    <w:div w:id="1415084235">
      <w:bodyDiv w:val="1"/>
      <w:marLeft w:val="0"/>
      <w:marRight w:val="0"/>
      <w:marTop w:val="0"/>
      <w:marBottom w:val="0"/>
      <w:divBdr>
        <w:top w:val="none" w:sz="0" w:space="0" w:color="auto"/>
        <w:left w:val="none" w:sz="0" w:space="0" w:color="auto"/>
        <w:bottom w:val="none" w:sz="0" w:space="0" w:color="auto"/>
        <w:right w:val="none" w:sz="0" w:space="0" w:color="auto"/>
      </w:divBdr>
    </w:div>
    <w:div w:id="1416980051">
      <w:bodyDiv w:val="1"/>
      <w:marLeft w:val="0"/>
      <w:marRight w:val="0"/>
      <w:marTop w:val="0"/>
      <w:marBottom w:val="0"/>
      <w:divBdr>
        <w:top w:val="none" w:sz="0" w:space="0" w:color="auto"/>
        <w:left w:val="none" w:sz="0" w:space="0" w:color="auto"/>
        <w:bottom w:val="none" w:sz="0" w:space="0" w:color="auto"/>
        <w:right w:val="none" w:sz="0" w:space="0" w:color="auto"/>
      </w:divBdr>
    </w:div>
    <w:div w:id="1417247288">
      <w:bodyDiv w:val="1"/>
      <w:marLeft w:val="0"/>
      <w:marRight w:val="0"/>
      <w:marTop w:val="0"/>
      <w:marBottom w:val="0"/>
      <w:divBdr>
        <w:top w:val="none" w:sz="0" w:space="0" w:color="auto"/>
        <w:left w:val="none" w:sz="0" w:space="0" w:color="auto"/>
        <w:bottom w:val="none" w:sz="0" w:space="0" w:color="auto"/>
        <w:right w:val="none" w:sz="0" w:space="0" w:color="auto"/>
      </w:divBdr>
    </w:div>
    <w:div w:id="1426151700">
      <w:bodyDiv w:val="1"/>
      <w:marLeft w:val="0"/>
      <w:marRight w:val="0"/>
      <w:marTop w:val="0"/>
      <w:marBottom w:val="0"/>
      <w:divBdr>
        <w:top w:val="none" w:sz="0" w:space="0" w:color="auto"/>
        <w:left w:val="none" w:sz="0" w:space="0" w:color="auto"/>
        <w:bottom w:val="none" w:sz="0" w:space="0" w:color="auto"/>
        <w:right w:val="none" w:sz="0" w:space="0" w:color="auto"/>
      </w:divBdr>
      <w:divsChild>
        <w:div w:id="162817493">
          <w:marLeft w:val="0"/>
          <w:marRight w:val="0"/>
          <w:marTop w:val="0"/>
          <w:marBottom w:val="0"/>
          <w:divBdr>
            <w:top w:val="none" w:sz="0" w:space="0" w:color="auto"/>
            <w:left w:val="none" w:sz="0" w:space="0" w:color="auto"/>
            <w:bottom w:val="none" w:sz="0" w:space="0" w:color="auto"/>
            <w:right w:val="none" w:sz="0" w:space="0" w:color="auto"/>
          </w:divBdr>
        </w:div>
      </w:divsChild>
    </w:div>
    <w:div w:id="1426880961">
      <w:bodyDiv w:val="1"/>
      <w:marLeft w:val="0"/>
      <w:marRight w:val="0"/>
      <w:marTop w:val="0"/>
      <w:marBottom w:val="0"/>
      <w:divBdr>
        <w:top w:val="none" w:sz="0" w:space="0" w:color="auto"/>
        <w:left w:val="none" w:sz="0" w:space="0" w:color="auto"/>
        <w:bottom w:val="none" w:sz="0" w:space="0" w:color="auto"/>
        <w:right w:val="none" w:sz="0" w:space="0" w:color="auto"/>
      </w:divBdr>
    </w:div>
    <w:div w:id="1427968396">
      <w:bodyDiv w:val="1"/>
      <w:marLeft w:val="0"/>
      <w:marRight w:val="0"/>
      <w:marTop w:val="0"/>
      <w:marBottom w:val="0"/>
      <w:divBdr>
        <w:top w:val="none" w:sz="0" w:space="0" w:color="auto"/>
        <w:left w:val="none" w:sz="0" w:space="0" w:color="auto"/>
        <w:bottom w:val="none" w:sz="0" w:space="0" w:color="auto"/>
        <w:right w:val="none" w:sz="0" w:space="0" w:color="auto"/>
      </w:divBdr>
    </w:div>
    <w:div w:id="1428039319">
      <w:bodyDiv w:val="1"/>
      <w:marLeft w:val="0"/>
      <w:marRight w:val="0"/>
      <w:marTop w:val="0"/>
      <w:marBottom w:val="0"/>
      <w:divBdr>
        <w:top w:val="none" w:sz="0" w:space="0" w:color="auto"/>
        <w:left w:val="none" w:sz="0" w:space="0" w:color="auto"/>
        <w:bottom w:val="none" w:sz="0" w:space="0" w:color="auto"/>
        <w:right w:val="none" w:sz="0" w:space="0" w:color="auto"/>
      </w:divBdr>
    </w:div>
    <w:div w:id="1432627850">
      <w:bodyDiv w:val="1"/>
      <w:marLeft w:val="0"/>
      <w:marRight w:val="0"/>
      <w:marTop w:val="0"/>
      <w:marBottom w:val="0"/>
      <w:divBdr>
        <w:top w:val="none" w:sz="0" w:space="0" w:color="auto"/>
        <w:left w:val="none" w:sz="0" w:space="0" w:color="auto"/>
        <w:bottom w:val="none" w:sz="0" w:space="0" w:color="auto"/>
        <w:right w:val="none" w:sz="0" w:space="0" w:color="auto"/>
      </w:divBdr>
    </w:div>
    <w:div w:id="1433475633">
      <w:bodyDiv w:val="1"/>
      <w:marLeft w:val="0"/>
      <w:marRight w:val="0"/>
      <w:marTop w:val="0"/>
      <w:marBottom w:val="0"/>
      <w:divBdr>
        <w:top w:val="none" w:sz="0" w:space="0" w:color="auto"/>
        <w:left w:val="none" w:sz="0" w:space="0" w:color="auto"/>
        <w:bottom w:val="none" w:sz="0" w:space="0" w:color="auto"/>
        <w:right w:val="none" w:sz="0" w:space="0" w:color="auto"/>
      </w:divBdr>
    </w:div>
    <w:div w:id="1440565449">
      <w:bodyDiv w:val="1"/>
      <w:marLeft w:val="0"/>
      <w:marRight w:val="0"/>
      <w:marTop w:val="0"/>
      <w:marBottom w:val="0"/>
      <w:divBdr>
        <w:top w:val="none" w:sz="0" w:space="0" w:color="auto"/>
        <w:left w:val="none" w:sz="0" w:space="0" w:color="auto"/>
        <w:bottom w:val="none" w:sz="0" w:space="0" w:color="auto"/>
        <w:right w:val="none" w:sz="0" w:space="0" w:color="auto"/>
      </w:divBdr>
    </w:div>
    <w:div w:id="1444492536">
      <w:bodyDiv w:val="1"/>
      <w:marLeft w:val="0"/>
      <w:marRight w:val="0"/>
      <w:marTop w:val="0"/>
      <w:marBottom w:val="0"/>
      <w:divBdr>
        <w:top w:val="none" w:sz="0" w:space="0" w:color="auto"/>
        <w:left w:val="none" w:sz="0" w:space="0" w:color="auto"/>
        <w:bottom w:val="none" w:sz="0" w:space="0" w:color="auto"/>
        <w:right w:val="none" w:sz="0" w:space="0" w:color="auto"/>
      </w:divBdr>
      <w:divsChild>
        <w:div w:id="1463158583">
          <w:marLeft w:val="0"/>
          <w:marRight w:val="0"/>
          <w:marTop w:val="0"/>
          <w:marBottom w:val="0"/>
          <w:divBdr>
            <w:top w:val="none" w:sz="0" w:space="0" w:color="auto"/>
            <w:left w:val="none" w:sz="0" w:space="0" w:color="auto"/>
            <w:bottom w:val="none" w:sz="0" w:space="0" w:color="auto"/>
            <w:right w:val="none" w:sz="0" w:space="0" w:color="auto"/>
          </w:divBdr>
        </w:div>
      </w:divsChild>
    </w:div>
    <w:div w:id="1459567277">
      <w:bodyDiv w:val="1"/>
      <w:marLeft w:val="0"/>
      <w:marRight w:val="0"/>
      <w:marTop w:val="0"/>
      <w:marBottom w:val="0"/>
      <w:divBdr>
        <w:top w:val="none" w:sz="0" w:space="0" w:color="auto"/>
        <w:left w:val="none" w:sz="0" w:space="0" w:color="auto"/>
        <w:bottom w:val="none" w:sz="0" w:space="0" w:color="auto"/>
        <w:right w:val="none" w:sz="0" w:space="0" w:color="auto"/>
      </w:divBdr>
    </w:div>
    <w:div w:id="1463814820">
      <w:bodyDiv w:val="1"/>
      <w:marLeft w:val="0"/>
      <w:marRight w:val="0"/>
      <w:marTop w:val="0"/>
      <w:marBottom w:val="0"/>
      <w:divBdr>
        <w:top w:val="none" w:sz="0" w:space="0" w:color="auto"/>
        <w:left w:val="none" w:sz="0" w:space="0" w:color="auto"/>
        <w:bottom w:val="none" w:sz="0" w:space="0" w:color="auto"/>
        <w:right w:val="none" w:sz="0" w:space="0" w:color="auto"/>
      </w:divBdr>
      <w:divsChild>
        <w:div w:id="1684016391">
          <w:marLeft w:val="0"/>
          <w:marRight w:val="0"/>
          <w:marTop w:val="0"/>
          <w:marBottom w:val="0"/>
          <w:divBdr>
            <w:top w:val="none" w:sz="0" w:space="0" w:color="auto"/>
            <w:left w:val="none" w:sz="0" w:space="0" w:color="auto"/>
            <w:bottom w:val="none" w:sz="0" w:space="0" w:color="auto"/>
            <w:right w:val="none" w:sz="0" w:space="0" w:color="auto"/>
          </w:divBdr>
        </w:div>
      </w:divsChild>
    </w:div>
    <w:div w:id="1466241138">
      <w:bodyDiv w:val="1"/>
      <w:marLeft w:val="0"/>
      <w:marRight w:val="0"/>
      <w:marTop w:val="0"/>
      <w:marBottom w:val="0"/>
      <w:divBdr>
        <w:top w:val="none" w:sz="0" w:space="0" w:color="auto"/>
        <w:left w:val="none" w:sz="0" w:space="0" w:color="auto"/>
        <w:bottom w:val="none" w:sz="0" w:space="0" w:color="auto"/>
        <w:right w:val="none" w:sz="0" w:space="0" w:color="auto"/>
      </w:divBdr>
    </w:div>
    <w:div w:id="1466309518">
      <w:bodyDiv w:val="1"/>
      <w:marLeft w:val="0"/>
      <w:marRight w:val="0"/>
      <w:marTop w:val="0"/>
      <w:marBottom w:val="0"/>
      <w:divBdr>
        <w:top w:val="none" w:sz="0" w:space="0" w:color="auto"/>
        <w:left w:val="none" w:sz="0" w:space="0" w:color="auto"/>
        <w:bottom w:val="none" w:sz="0" w:space="0" w:color="auto"/>
        <w:right w:val="none" w:sz="0" w:space="0" w:color="auto"/>
      </w:divBdr>
      <w:divsChild>
        <w:div w:id="372652238">
          <w:marLeft w:val="0"/>
          <w:marRight w:val="0"/>
          <w:marTop w:val="0"/>
          <w:marBottom w:val="0"/>
          <w:divBdr>
            <w:top w:val="none" w:sz="0" w:space="0" w:color="auto"/>
            <w:left w:val="none" w:sz="0" w:space="0" w:color="auto"/>
            <w:bottom w:val="none" w:sz="0" w:space="0" w:color="auto"/>
            <w:right w:val="none" w:sz="0" w:space="0" w:color="auto"/>
          </w:divBdr>
        </w:div>
      </w:divsChild>
    </w:div>
    <w:div w:id="1469393249">
      <w:bodyDiv w:val="1"/>
      <w:marLeft w:val="0"/>
      <w:marRight w:val="0"/>
      <w:marTop w:val="0"/>
      <w:marBottom w:val="0"/>
      <w:divBdr>
        <w:top w:val="none" w:sz="0" w:space="0" w:color="auto"/>
        <w:left w:val="none" w:sz="0" w:space="0" w:color="auto"/>
        <w:bottom w:val="none" w:sz="0" w:space="0" w:color="auto"/>
        <w:right w:val="none" w:sz="0" w:space="0" w:color="auto"/>
      </w:divBdr>
    </w:div>
    <w:div w:id="1481578011">
      <w:bodyDiv w:val="1"/>
      <w:marLeft w:val="0"/>
      <w:marRight w:val="0"/>
      <w:marTop w:val="0"/>
      <w:marBottom w:val="0"/>
      <w:divBdr>
        <w:top w:val="none" w:sz="0" w:space="0" w:color="auto"/>
        <w:left w:val="none" w:sz="0" w:space="0" w:color="auto"/>
        <w:bottom w:val="none" w:sz="0" w:space="0" w:color="auto"/>
        <w:right w:val="none" w:sz="0" w:space="0" w:color="auto"/>
      </w:divBdr>
      <w:divsChild>
        <w:div w:id="1126316595">
          <w:marLeft w:val="0"/>
          <w:marRight w:val="0"/>
          <w:marTop w:val="0"/>
          <w:marBottom w:val="0"/>
          <w:divBdr>
            <w:top w:val="none" w:sz="0" w:space="0" w:color="auto"/>
            <w:left w:val="none" w:sz="0" w:space="0" w:color="auto"/>
            <w:bottom w:val="none" w:sz="0" w:space="0" w:color="auto"/>
            <w:right w:val="none" w:sz="0" w:space="0" w:color="auto"/>
          </w:divBdr>
        </w:div>
      </w:divsChild>
    </w:div>
    <w:div w:id="1482771373">
      <w:bodyDiv w:val="1"/>
      <w:marLeft w:val="0"/>
      <w:marRight w:val="0"/>
      <w:marTop w:val="0"/>
      <w:marBottom w:val="0"/>
      <w:divBdr>
        <w:top w:val="none" w:sz="0" w:space="0" w:color="auto"/>
        <w:left w:val="none" w:sz="0" w:space="0" w:color="auto"/>
        <w:bottom w:val="none" w:sz="0" w:space="0" w:color="auto"/>
        <w:right w:val="none" w:sz="0" w:space="0" w:color="auto"/>
      </w:divBdr>
    </w:div>
    <w:div w:id="1483935153">
      <w:bodyDiv w:val="1"/>
      <w:marLeft w:val="0"/>
      <w:marRight w:val="0"/>
      <w:marTop w:val="0"/>
      <w:marBottom w:val="0"/>
      <w:divBdr>
        <w:top w:val="none" w:sz="0" w:space="0" w:color="auto"/>
        <w:left w:val="none" w:sz="0" w:space="0" w:color="auto"/>
        <w:bottom w:val="none" w:sz="0" w:space="0" w:color="auto"/>
        <w:right w:val="none" w:sz="0" w:space="0" w:color="auto"/>
      </w:divBdr>
    </w:div>
    <w:div w:id="1485202906">
      <w:bodyDiv w:val="1"/>
      <w:marLeft w:val="0"/>
      <w:marRight w:val="0"/>
      <w:marTop w:val="0"/>
      <w:marBottom w:val="0"/>
      <w:divBdr>
        <w:top w:val="none" w:sz="0" w:space="0" w:color="auto"/>
        <w:left w:val="none" w:sz="0" w:space="0" w:color="auto"/>
        <w:bottom w:val="none" w:sz="0" w:space="0" w:color="auto"/>
        <w:right w:val="none" w:sz="0" w:space="0" w:color="auto"/>
      </w:divBdr>
      <w:divsChild>
        <w:div w:id="1374189155">
          <w:marLeft w:val="0"/>
          <w:marRight w:val="0"/>
          <w:marTop w:val="0"/>
          <w:marBottom w:val="0"/>
          <w:divBdr>
            <w:top w:val="none" w:sz="0" w:space="0" w:color="auto"/>
            <w:left w:val="none" w:sz="0" w:space="0" w:color="auto"/>
            <w:bottom w:val="none" w:sz="0" w:space="0" w:color="auto"/>
            <w:right w:val="none" w:sz="0" w:space="0" w:color="auto"/>
          </w:divBdr>
        </w:div>
      </w:divsChild>
    </w:div>
    <w:div w:id="1486824610">
      <w:bodyDiv w:val="1"/>
      <w:marLeft w:val="0"/>
      <w:marRight w:val="0"/>
      <w:marTop w:val="0"/>
      <w:marBottom w:val="0"/>
      <w:divBdr>
        <w:top w:val="none" w:sz="0" w:space="0" w:color="auto"/>
        <w:left w:val="none" w:sz="0" w:space="0" w:color="auto"/>
        <w:bottom w:val="none" w:sz="0" w:space="0" w:color="auto"/>
        <w:right w:val="none" w:sz="0" w:space="0" w:color="auto"/>
      </w:divBdr>
    </w:div>
    <w:div w:id="1491171472">
      <w:bodyDiv w:val="1"/>
      <w:marLeft w:val="0"/>
      <w:marRight w:val="0"/>
      <w:marTop w:val="0"/>
      <w:marBottom w:val="0"/>
      <w:divBdr>
        <w:top w:val="none" w:sz="0" w:space="0" w:color="auto"/>
        <w:left w:val="none" w:sz="0" w:space="0" w:color="auto"/>
        <w:bottom w:val="none" w:sz="0" w:space="0" w:color="auto"/>
        <w:right w:val="none" w:sz="0" w:space="0" w:color="auto"/>
      </w:divBdr>
    </w:div>
    <w:div w:id="1492670465">
      <w:bodyDiv w:val="1"/>
      <w:marLeft w:val="0"/>
      <w:marRight w:val="0"/>
      <w:marTop w:val="0"/>
      <w:marBottom w:val="0"/>
      <w:divBdr>
        <w:top w:val="none" w:sz="0" w:space="0" w:color="auto"/>
        <w:left w:val="none" w:sz="0" w:space="0" w:color="auto"/>
        <w:bottom w:val="none" w:sz="0" w:space="0" w:color="auto"/>
        <w:right w:val="none" w:sz="0" w:space="0" w:color="auto"/>
      </w:divBdr>
    </w:div>
    <w:div w:id="1495340164">
      <w:bodyDiv w:val="1"/>
      <w:marLeft w:val="0"/>
      <w:marRight w:val="0"/>
      <w:marTop w:val="0"/>
      <w:marBottom w:val="0"/>
      <w:divBdr>
        <w:top w:val="none" w:sz="0" w:space="0" w:color="auto"/>
        <w:left w:val="none" w:sz="0" w:space="0" w:color="auto"/>
        <w:bottom w:val="none" w:sz="0" w:space="0" w:color="auto"/>
        <w:right w:val="none" w:sz="0" w:space="0" w:color="auto"/>
      </w:divBdr>
    </w:div>
    <w:div w:id="1496845042">
      <w:bodyDiv w:val="1"/>
      <w:marLeft w:val="0"/>
      <w:marRight w:val="0"/>
      <w:marTop w:val="0"/>
      <w:marBottom w:val="0"/>
      <w:divBdr>
        <w:top w:val="none" w:sz="0" w:space="0" w:color="auto"/>
        <w:left w:val="none" w:sz="0" w:space="0" w:color="auto"/>
        <w:bottom w:val="none" w:sz="0" w:space="0" w:color="auto"/>
        <w:right w:val="none" w:sz="0" w:space="0" w:color="auto"/>
      </w:divBdr>
    </w:div>
    <w:div w:id="1503273383">
      <w:bodyDiv w:val="1"/>
      <w:marLeft w:val="0"/>
      <w:marRight w:val="0"/>
      <w:marTop w:val="0"/>
      <w:marBottom w:val="0"/>
      <w:divBdr>
        <w:top w:val="none" w:sz="0" w:space="0" w:color="auto"/>
        <w:left w:val="none" w:sz="0" w:space="0" w:color="auto"/>
        <w:bottom w:val="none" w:sz="0" w:space="0" w:color="auto"/>
        <w:right w:val="none" w:sz="0" w:space="0" w:color="auto"/>
      </w:divBdr>
    </w:div>
    <w:div w:id="1513639962">
      <w:bodyDiv w:val="1"/>
      <w:marLeft w:val="0"/>
      <w:marRight w:val="0"/>
      <w:marTop w:val="0"/>
      <w:marBottom w:val="0"/>
      <w:divBdr>
        <w:top w:val="none" w:sz="0" w:space="0" w:color="auto"/>
        <w:left w:val="none" w:sz="0" w:space="0" w:color="auto"/>
        <w:bottom w:val="none" w:sz="0" w:space="0" w:color="auto"/>
        <w:right w:val="none" w:sz="0" w:space="0" w:color="auto"/>
      </w:divBdr>
    </w:div>
    <w:div w:id="1516648611">
      <w:bodyDiv w:val="1"/>
      <w:marLeft w:val="0"/>
      <w:marRight w:val="0"/>
      <w:marTop w:val="0"/>
      <w:marBottom w:val="0"/>
      <w:divBdr>
        <w:top w:val="none" w:sz="0" w:space="0" w:color="auto"/>
        <w:left w:val="none" w:sz="0" w:space="0" w:color="auto"/>
        <w:bottom w:val="none" w:sz="0" w:space="0" w:color="auto"/>
        <w:right w:val="none" w:sz="0" w:space="0" w:color="auto"/>
      </w:divBdr>
    </w:div>
    <w:div w:id="1517890147">
      <w:bodyDiv w:val="1"/>
      <w:marLeft w:val="0"/>
      <w:marRight w:val="0"/>
      <w:marTop w:val="0"/>
      <w:marBottom w:val="0"/>
      <w:divBdr>
        <w:top w:val="none" w:sz="0" w:space="0" w:color="auto"/>
        <w:left w:val="none" w:sz="0" w:space="0" w:color="auto"/>
        <w:bottom w:val="none" w:sz="0" w:space="0" w:color="auto"/>
        <w:right w:val="none" w:sz="0" w:space="0" w:color="auto"/>
      </w:divBdr>
    </w:div>
    <w:div w:id="1519198997">
      <w:bodyDiv w:val="1"/>
      <w:marLeft w:val="0"/>
      <w:marRight w:val="0"/>
      <w:marTop w:val="0"/>
      <w:marBottom w:val="0"/>
      <w:divBdr>
        <w:top w:val="none" w:sz="0" w:space="0" w:color="auto"/>
        <w:left w:val="none" w:sz="0" w:space="0" w:color="auto"/>
        <w:bottom w:val="none" w:sz="0" w:space="0" w:color="auto"/>
        <w:right w:val="none" w:sz="0" w:space="0" w:color="auto"/>
      </w:divBdr>
    </w:div>
    <w:div w:id="1520581997">
      <w:bodyDiv w:val="1"/>
      <w:marLeft w:val="0"/>
      <w:marRight w:val="0"/>
      <w:marTop w:val="0"/>
      <w:marBottom w:val="0"/>
      <w:divBdr>
        <w:top w:val="none" w:sz="0" w:space="0" w:color="auto"/>
        <w:left w:val="none" w:sz="0" w:space="0" w:color="auto"/>
        <w:bottom w:val="none" w:sz="0" w:space="0" w:color="auto"/>
        <w:right w:val="none" w:sz="0" w:space="0" w:color="auto"/>
      </w:divBdr>
      <w:divsChild>
        <w:div w:id="1872760925">
          <w:marLeft w:val="0"/>
          <w:marRight w:val="0"/>
          <w:marTop w:val="0"/>
          <w:marBottom w:val="0"/>
          <w:divBdr>
            <w:top w:val="none" w:sz="0" w:space="0" w:color="auto"/>
            <w:left w:val="none" w:sz="0" w:space="0" w:color="auto"/>
            <w:bottom w:val="none" w:sz="0" w:space="0" w:color="auto"/>
            <w:right w:val="none" w:sz="0" w:space="0" w:color="auto"/>
          </w:divBdr>
        </w:div>
      </w:divsChild>
    </w:div>
    <w:div w:id="1532453622">
      <w:bodyDiv w:val="1"/>
      <w:marLeft w:val="0"/>
      <w:marRight w:val="0"/>
      <w:marTop w:val="0"/>
      <w:marBottom w:val="0"/>
      <w:divBdr>
        <w:top w:val="none" w:sz="0" w:space="0" w:color="auto"/>
        <w:left w:val="none" w:sz="0" w:space="0" w:color="auto"/>
        <w:bottom w:val="none" w:sz="0" w:space="0" w:color="auto"/>
        <w:right w:val="none" w:sz="0" w:space="0" w:color="auto"/>
      </w:divBdr>
    </w:div>
    <w:div w:id="1534268165">
      <w:bodyDiv w:val="1"/>
      <w:marLeft w:val="0"/>
      <w:marRight w:val="0"/>
      <w:marTop w:val="0"/>
      <w:marBottom w:val="0"/>
      <w:divBdr>
        <w:top w:val="none" w:sz="0" w:space="0" w:color="auto"/>
        <w:left w:val="none" w:sz="0" w:space="0" w:color="auto"/>
        <w:bottom w:val="none" w:sz="0" w:space="0" w:color="auto"/>
        <w:right w:val="none" w:sz="0" w:space="0" w:color="auto"/>
      </w:divBdr>
      <w:divsChild>
        <w:div w:id="1823306138">
          <w:marLeft w:val="0"/>
          <w:marRight w:val="0"/>
          <w:marTop w:val="0"/>
          <w:marBottom w:val="0"/>
          <w:divBdr>
            <w:top w:val="none" w:sz="0" w:space="0" w:color="auto"/>
            <w:left w:val="none" w:sz="0" w:space="0" w:color="auto"/>
            <w:bottom w:val="none" w:sz="0" w:space="0" w:color="auto"/>
            <w:right w:val="none" w:sz="0" w:space="0" w:color="auto"/>
          </w:divBdr>
        </w:div>
      </w:divsChild>
    </w:div>
    <w:div w:id="1536235835">
      <w:bodyDiv w:val="1"/>
      <w:marLeft w:val="0"/>
      <w:marRight w:val="0"/>
      <w:marTop w:val="0"/>
      <w:marBottom w:val="0"/>
      <w:divBdr>
        <w:top w:val="none" w:sz="0" w:space="0" w:color="auto"/>
        <w:left w:val="none" w:sz="0" w:space="0" w:color="auto"/>
        <w:bottom w:val="none" w:sz="0" w:space="0" w:color="auto"/>
        <w:right w:val="none" w:sz="0" w:space="0" w:color="auto"/>
      </w:divBdr>
    </w:div>
    <w:div w:id="1536699625">
      <w:bodyDiv w:val="1"/>
      <w:marLeft w:val="0"/>
      <w:marRight w:val="0"/>
      <w:marTop w:val="0"/>
      <w:marBottom w:val="0"/>
      <w:divBdr>
        <w:top w:val="none" w:sz="0" w:space="0" w:color="auto"/>
        <w:left w:val="none" w:sz="0" w:space="0" w:color="auto"/>
        <w:bottom w:val="none" w:sz="0" w:space="0" w:color="auto"/>
        <w:right w:val="none" w:sz="0" w:space="0" w:color="auto"/>
      </w:divBdr>
    </w:div>
    <w:div w:id="1544366364">
      <w:bodyDiv w:val="1"/>
      <w:marLeft w:val="0"/>
      <w:marRight w:val="0"/>
      <w:marTop w:val="0"/>
      <w:marBottom w:val="0"/>
      <w:divBdr>
        <w:top w:val="none" w:sz="0" w:space="0" w:color="auto"/>
        <w:left w:val="none" w:sz="0" w:space="0" w:color="auto"/>
        <w:bottom w:val="none" w:sz="0" w:space="0" w:color="auto"/>
        <w:right w:val="none" w:sz="0" w:space="0" w:color="auto"/>
      </w:divBdr>
    </w:div>
    <w:div w:id="1545631866">
      <w:bodyDiv w:val="1"/>
      <w:marLeft w:val="0"/>
      <w:marRight w:val="0"/>
      <w:marTop w:val="0"/>
      <w:marBottom w:val="0"/>
      <w:divBdr>
        <w:top w:val="none" w:sz="0" w:space="0" w:color="auto"/>
        <w:left w:val="none" w:sz="0" w:space="0" w:color="auto"/>
        <w:bottom w:val="none" w:sz="0" w:space="0" w:color="auto"/>
        <w:right w:val="none" w:sz="0" w:space="0" w:color="auto"/>
      </w:divBdr>
    </w:div>
    <w:div w:id="1548567326">
      <w:bodyDiv w:val="1"/>
      <w:marLeft w:val="0"/>
      <w:marRight w:val="0"/>
      <w:marTop w:val="0"/>
      <w:marBottom w:val="0"/>
      <w:divBdr>
        <w:top w:val="none" w:sz="0" w:space="0" w:color="auto"/>
        <w:left w:val="none" w:sz="0" w:space="0" w:color="auto"/>
        <w:bottom w:val="none" w:sz="0" w:space="0" w:color="auto"/>
        <w:right w:val="none" w:sz="0" w:space="0" w:color="auto"/>
      </w:divBdr>
    </w:div>
    <w:div w:id="1548832864">
      <w:bodyDiv w:val="1"/>
      <w:marLeft w:val="0"/>
      <w:marRight w:val="0"/>
      <w:marTop w:val="0"/>
      <w:marBottom w:val="0"/>
      <w:divBdr>
        <w:top w:val="none" w:sz="0" w:space="0" w:color="auto"/>
        <w:left w:val="none" w:sz="0" w:space="0" w:color="auto"/>
        <w:bottom w:val="none" w:sz="0" w:space="0" w:color="auto"/>
        <w:right w:val="none" w:sz="0" w:space="0" w:color="auto"/>
      </w:divBdr>
    </w:div>
    <w:div w:id="1550915456">
      <w:bodyDiv w:val="1"/>
      <w:marLeft w:val="0"/>
      <w:marRight w:val="0"/>
      <w:marTop w:val="0"/>
      <w:marBottom w:val="0"/>
      <w:divBdr>
        <w:top w:val="none" w:sz="0" w:space="0" w:color="auto"/>
        <w:left w:val="none" w:sz="0" w:space="0" w:color="auto"/>
        <w:bottom w:val="none" w:sz="0" w:space="0" w:color="auto"/>
        <w:right w:val="none" w:sz="0" w:space="0" w:color="auto"/>
      </w:divBdr>
    </w:div>
    <w:div w:id="1552377926">
      <w:bodyDiv w:val="1"/>
      <w:marLeft w:val="0"/>
      <w:marRight w:val="0"/>
      <w:marTop w:val="0"/>
      <w:marBottom w:val="0"/>
      <w:divBdr>
        <w:top w:val="none" w:sz="0" w:space="0" w:color="auto"/>
        <w:left w:val="none" w:sz="0" w:space="0" w:color="auto"/>
        <w:bottom w:val="none" w:sz="0" w:space="0" w:color="auto"/>
        <w:right w:val="none" w:sz="0" w:space="0" w:color="auto"/>
      </w:divBdr>
    </w:div>
    <w:div w:id="1553418818">
      <w:bodyDiv w:val="1"/>
      <w:marLeft w:val="0"/>
      <w:marRight w:val="0"/>
      <w:marTop w:val="0"/>
      <w:marBottom w:val="0"/>
      <w:divBdr>
        <w:top w:val="none" w:sz="0" w:space="0" w:color="auto"/>
        <w:left w:val="none" w:sz="0" w:space="0" w:color="auto"/>
        <w:bottom w:val="none" w:sz="0" w:space="0" w:color="auto"/>
        <w:right w:val="none" w:sz="0" w:space="0" w:color="auto"/>
      </w:divBdr>
      <w:divsChild>
        <w:div w:id="88039813">
          <w:marLeft w:val="0"/>
          <w:marRight w:val="0"/>
          <w:marTop w:val="0"/>
          <w:marBottom w:val="0"/>
          <w:divBdr>
            <w:top w:val="none" w:sz="0" w:space="0" w:color="auto"/>
            <w:left w:val="none" w:sz="0" w:space="0" w:color="auto"/>
            <w:bottom w:val="none" w:sz="0" w:space="0" w:color="auto"/>
            <w:right w:val="none" w:sz="0" w:space="0" w:color="auto"/>
          </w:divBdr>
        </w:div>
      </w:divsChild>
    </w:div>
    <w:div w:id="1553497176">
      <w:bodyDiv w:val="1"/>
      <w:marLeft w:val="0"/>
      <w:marRight w:val="0"/>
      <w:marTop w:val="0"/>
      <w:marBottom w:val="0"/>
      <w:divBdr>
        <w:top w:val="none" w:sz="0" w:space="0" w:color="auto"/>
        <w:left w:val="none" w:sz="0" w:space="0" w:color="auto"/>
        <w:bottom w:val="none" w:sz="0" w:space="0" w:color="auto"/>
        <w:right w:val="none" w:sz="0" w:space="0" w:color="auto"/>
      </w:divBdr>
    </w:div>
    <w:div w:id="1554003894">
      <w:bodyDiv w:val="1"/>
      <w:marLeft w:val="0"/>
      <w:marRight w:val="0"/>
      <w:marTop w:val="0"/>
      <w:marBottom w:val="0"/>
      <w:divBdr>
        <w:top w:val="none" w:sz="0" w:space="0" w:color="auto"/>
        <w:left w:val="none" w:sz="0" w:space="0" w:color="auto"/>
        <w:bottom w:val="none" w:sz="0" w:space="0" w:color="auto"/>
        <w:right w:val="none" w:sz="0" w:space="0" w:color="auto"/>
      </w:divBdr>
    </w:div>
    <w:div w:id="1557281974">
      <w:bodyDiv w:val="1"/>
      <w:marLeft w:val="0"/>
      <w:marRight w:val="0"/>
      <w:marTop w:val="0"/>
      <w:marBottom w:val="0"/>
      <w:divBdr>
        <w:top w:val="none" w:sz="0" w:space="0" w:color="auto"/>
        <w:left w:val="none" w:sz="0" w:space="0" w:color="auto"/>
        <w:bottom w:val="none" w:sz="0" w:space="0" w:color="auto"/>
        <w:right w:val="none" w:sz="0" w:space="0" w:color="auto"/>
      </w:divBdr>
    </w:div>
    <w:div w:id="1562016842">
      <w:bodyDiv w:val="1"/>
      <w:marLeft w:val="0"/>
      <w:marRight w:val="0"/>
      <w:marTop w:val="0"/>
      <w:marBottom w:val="0"/>
      <w:divBdr>
        <w:top w:val="none" w:sz="0" w:space="0" w:color="auto"/>
        <w:left w:val="none" w:sz="0" w:space="0" w:color="auto"/>
        <w:bottom w:val="none" w:sz="0" w:space="0" w:color="auto"/>
        <w:right w:val="none" w:sz="0" w:space="0" w:color="auto"/>
      </w:divBdr>
    </w:div>
    <w:div w:id="1571768934">
      <w:bodyDiv w:val="1"/>
      <w:marLeft w:val="0"/>
      <w:marRight w:val="0"/>
      <w:marTop w:val="0"/>
      <w:marBottom w:val="0"/>
      <w:divBdr>
        <w:top w:val="none" w:sz="0" w:space="0" w:color="auto"/>
        <w:left w:val="none" w:sz="0" w:space="0" w:color="auto"/>
        <w:bottom w:val="none" w:sz="0" w:space="0" w:color="auto"/>
        <w:right w:val="none" w:sz="0" w:space="0" w:color="auto"/>
      </w:divBdr>
    </w:div>
    <w:div w:id="1574700319">
      <w:bodyDiv w:val="1"/>
      <w:marLeft w:val="0"/>
      <w:marRight w:val="0"/>
      <w:marTop w:val="0"/>
      <w:marBottom w:val="0"/>
      <w:divBdr>
        <w:top w:val="none" w:sz="0" w:space="0" w:color="auto"/>
        <w:left w:val="none" w:sz="0" w:space="0" w:color="auto"/>
        <w:bottom w:val="none" w:sz="0" w:space="0" w:color="auto"/>
        <w:right w:val="none" w:sz="0" w:space="0" w:color="auto"/>
      </w:divBdr>
      <w:divsChild>
        <w:div w:id="1023751524">
          <w:marLeft w:val="0"/>
          <w:marRight w:val="0"/>
          <w:marTop w:val="0"/>
          <w:marBottom w:val="0"/>
          <w:divBdr>
            <w:top w:val="none" w:sz="0" w:space="0" w:color="auto"/>
            <w:left w:val="none" w:sz="0" w:space="0" w:color="auto"/>
            <w:bottom w:val="none" w:sz="0" w:space="0" w:color="auto"/>
            <w:right w:val="none" w:sz="0" w:space="0" w:color="auto"/>
          </w:divBdr>
        </w:div>
      </w:divsChild>
    </w:div>
    <w:div w:id="1580676762">
      <w:bodyDiv w:val="1"/>
      <w:marLeft w:val="0"/>
      <w:marRight w:val="0"/>
      <w:marTop w:val="0"/>
      <w:marBottom w:val="0"/>
      <w:divBdr>
        <w:top w:val="none" w:sz="0" w:space="0" w:color="auto"/>
        <w:left w:val="none" w:sz="0" w:space="0" w:color="auto"/>
        <w:bottom w:val="none" w:sz="0" w:space="0" w:color="auto"/>
        <w:right w:val="none" w:sz="0" w:space="0" w:color="auto"/>
      </w:divBdr>
      <w:divsChild>
        <w:div w:id="1898397496">
          <w:marLeft w:val="0"/>
          <w:marRight w:val="0"/>
          <w:marTop w:val="0"/>
          <w:marBottom w:val="0"/>
          <w:divBdr>
            <w:top w:val="none" w:sz="0" w:space="0" w:color="auto"/>
            <w:left w:val="none" w:sz="0" w:space="0" w:color="auto"/>
            <w:bottom w:val="none" w:sz="0" w:space="0" w:color="auto"/>
            <w:right w:val="none" w:sz="0" w:space="0" w:color="auto"/>
          </w:divBdr>
        </w:div>
      </w:divsChild>
    </w:div>
    <w:div w:id="1595019329">
      <w:bodyDiv w:val="1"/>
      <w:marLeft w:val="0"/>
      <w:marRight w:val="0"/>
      <w:marTop w:val="0"/>
      <w:marBottom w:val="0"/>
      <w:divBdr>
        <w:top w:val="none" w:sz="0" w:space="0" w:color="auto"/>
        <w:left w:val="none" w:sz="0" w:space="0" w:color="auto"/>
        <w:bottom w:val="none" w:sz="0" w:space="0" w:color="auto"/>
        <w:right w:val="none" w:sz="0" w:space="0" w:color="auto"/>
      </w:divBdr>
    </w:div>
    <w:div w:id="1597396799">
      <w:bodyDiv w:val="1"/>
      <w:marLeft w:val="0"/>
      <w:marRight w:val="0"/>
      <w:marTop w:val="0"/>
      <w:marBottom w:val="0"/>
      <w:divBdr>
        <w:top w:val="none" w:sz="0" w:space="0" w:color="auto"/>
        <w:left w:val="none" w:sz="0" w:space="0" w:color="auto"/>
        <w:bottom w:val="none" w:sz="0" w:space="0" w:color="auto"/>
        <w:right w:val="none" w:sz="0" w:space="0" w:color="auto"/>
      </w:divBdr>
    </w:div>
    <w:div w:id="1598709955">
      <w:bodyDiv w:val="1"/>
      <w:marLeft w:val="0"/>
      <w:marRight w:val="0"/>
      <w:marTop w:val="0"/>
      <w:marBottom w:val="0"/>
      <w:divBdr>
        <w:top w:val="none" w:sz="0" w:space="0" w:color="auto"/>
        <w:left w:val="none" w:sz="0" w:space="0" w:color="auto"/>
        <w:bottom w:val="none" w:sz="0" w:space="0" w:color="auto"/>
        <w:right w:val="none" w:sz="0" w:space="0" w:color="auto"/>
      </w:divBdr>
    </w:div>
    <w:div w:id="1599488413">
      <w:bodyDiv w:val="1"/>
      <w:marLeft w:val="0"/>
      <w:marRight w:val="0"/>
      <w:marTop w:val="0"/>
      <w:marBottom w:val="0"/>
      <w:divBdr>
        <w:top w:val="none" w:sz="0" w:space="0" w:color="auto"/>
        <w:left w:val="none" w:sz="0" w:space="0" w:color="auto"/>
        <w:bottom w:val="none" w:sz="0" w:space="0" w:color="auto"/>
        <w:right w:val="none" w:sz="0" w:space="0" w:color="auto"/>
      </w:divBdr>
    </w:div>
    <w:div w:id="1603606110">
      <w:bodyDiv w:val="1"/>
      <w:marLeft w:val="0"/>
      <w:marRight w:val="0"/>
      <w:marTop w:val="0"/>
      <w:marBottom w:val="0"/>
      <w:divBdr>
        <w:top w:val="none" w:sz="0" w:space="0" w:color="auto"/>
        <w:left w:val="none" w:sz="0" w:space="0" w:color="auto"/>
        <w:bottom w:val="none" w:sz="0" w:space="0" w:color="auto"/>
        <w:right w:val="none" w:sz="0" w:space="0" w:color="auto"/>
      </w:divBdr>
    </w:div>
    <w:div w:id="1608388853">
      <w:bodyDiv w:val="1"/>
      <w:marLeft w:val="0"/>
      <w:marRight w:val="0"/>
      <w:marTop w:val="0"/>
      <w:marBottom w:val="0"/>
      <w:divBdr>
        <w:top w:val="none" w:sz="0" w:space="0" w:color="auto"/>
        <w:left w:val="none" w:sz="0" w:space="0" w:color="auto"/>
        <w:bottom w:val="none" w:sz="0" w:space="0" w:color="auto"/>
        <w:right w:val="none" w:sz="0" w:space="0" w:color="auto"/>
      </w:divBdr>
    </w:div>
    <w:div w:id="1611203135">
      <w:bodyDiv w:val="1"/>
      <w:marLeft w:val="0"/>
      <w:marRight w:val="0"/>
      <w:marTop w:val="0"/>
      <w:marBottom w:val="0"/>
      <w:divBdr>
        <w:top w:val="none" w:sz="0" w:space="0" w:color="auto"/>
        <w:left w:val="none" w:sz="0" w:space="0" w:color="auto"/>
        <w:bottom w:val="none" w:sz="0" w:space="0" w:color="auto"/>
        <w:right w:val="none" w:sz="0" w:space="0" w:color="auto"/>
      </w:divBdr>
      <w:divsChild>
        <w:div w:id="781457112">
          <w:marLeft w:val="0"/>
          <w:marRight w:val="0"/>
          <w:marTop w:val="0"/>
          <w:marBottom w:val="0"/>
          <w:divBdr>
            <w:top w:val="none" w:sz="0" w:space="0" w:color="auto"/>
            <w:left w:val="none" w:sz="0" w:space="0" w:color="auto"/>
            <w:bottom w:val="none" w:sz="0" w:space="0" w:color="auto"/>
            <w:right w:val="none" w:sz="0" w:space="0" w:color="auto"/>
          </w:divBdr>
        </w:div>
      </w:divsChild>
    </w:div>
    <w:div w:id="1615089338">
      <w:bodyDiv w:val="1"/>
      <w:marLeft w:val="0"/>
      <w:marRight w:val="0"/>
      <w:marTop w:val="0"/>
      <w:marBottom w:val="0"/>
      <w:divBdr>
        <w:top w:val="none" w:sz="0" w:space="0" w:color="auto"/>
        <w:left w:val="none" w:sz="0" w:space="0" w:color="auto"/>
        <w:bottom w:val="none" w:sz="0" w:space="0" w:color="auto"/>
        <w:right w:val="none" w:sz="0" w:space="0" w:color="auto"/>
      </w:divBdr>
    </w:div>
    <w:div w:id="1622684058">
      <w:bodyDiv w:val="1"/>
      <w:marLeft w:val="0"/>
      <w:marRight w:val="0"/>
      <w:marTop w:val="0"/>
      <w:marBottom w:val="0"/>
      <w:divBdr>
        <w:top w:val="none" w:sz="0" w:space="0" w:color="auto"/>
        <w:left w:val="none" w:sz="0" w:space="0" w:color="auto"/>
        <w:bottom w:val="none" w:sz="0" w:space="0" w:color="auto"/>
        <w:right w:val="none" w:sz="0" w:space="0" w:color="auto"/>
      </w:divBdr>
    </w:div>
    <w:div w:id="1623851965">
      <w:bodyDiv w:val="1"/>
      <w:marLeft w:val="0"/>
      <w:marRight w:val="0"/>
      <w:marTop w:val="0"/>
      <w:marBottom w:val="0"/>
      <w:divBdr>
        <w:top w:val="none" w:sz="0" w:space="0" w:color="auto"/>
        <w:left w:val="none" w:sz="0" w:space="0" w:color="auto"/>
        <w:bottom w:val="none" w:sz="0" w:space="0" w:color="auto"/>
        <w:right w:val="none" w:sz="0" w:space="0" w:color="auto"/>
      </w:divBdr>
    </w:div>
    <w:div w:id="1627857698">
      <w:bodyDiv w:val="1"/>
      <w:marLeft w:val="0"/>
      <w:marRight w:val="0"/>
      <w:marTop w:val="0"/>
      <w:marBottom w:val="0"/>
      <w:divBdr>
        <w:top w:val="none" w:sz="0" w:space="0" w:color="auto"/>
        <w:left w:val="none" w:sz="0" w:space="0" w:color="auto"/>
        <w:bottom w:val="none" w:sz="0" w:space="0" w:color="auto"/>
        <w:right w:val="none" w:sz="0" w:space="0" w:color="auto"/>
      </w:divBdr>
    </w:div>
    <w:div w:id="1628126790">
      <w:bodyDiv w:val="1"/>
      <w:marLeft w:val="0"/>
      <w:marRight w:val="0"/>
      <w:marTop w:val="0"/>
      <w:marBottom w:val="0"/>
      <w:divBdr>
        <w:top w:val="none" w:sz="0" w:space="0" w:color="auto"/>
        <w:left w:val="none" w:sz="0" w:space="0" w:color="auto"/>
        <w:bottom w:val="none" w:sz="0" w:space="0" w:color="auto"/>
        <w:right w:val="none" w:sz="0" w:space="0" w:color="auto"/>
      </w:divBdr>
      <w:divsChild>
        <w:div w:id="207453095">
          <w:marLeft w:val="0"/>
          <w:marRight w:val="0"/>
          <w:marTop w:val="0"/>
          <w:marBottom w:val="0"/>
          <w:divBdr>
            <w:top w:val="none" w:sz="0" w:space="0" w:color="auto"/>
            <w:left w:val="none" w:sz="0" w:space="0" w:color="auto"/>
            <w:bottom w:val="none" w:sz="0" w:space="0" w:color="auto"/>
            <w:right w:val="none" w:sz="0" w:space="0" w:color="auto"/>
          </w:divBdr>
        </w:div>
      </w:divsChild>
    </w:div>
    <w:div w:id="1641299918">
      <w:bodyDiv w:val="1"/>
      <w:marLeft w:val="0"/>
      <w:marRight w:val="0"/>
      <w:marTop w:val="0"/>
      <w:marBottom w:val="0"/>
      <w:divBdr>
        <w:top w:val="none" w:sz="0" w:space="0" w:color="auto"/>
        <w:left w:val="none" w:sz="0" w:space="0" w:color="auto"/>
        <w:bottom w:val="none" w:sz="0" w:space="0" w:color="auto"/>
        <w:right w:val="none" w:sz="0" w:space="0" w:color="auto"/>
      </w:divBdr>
    </w:div>
    <w:div w:id="1641380715">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5233716">
      <w:bodyDiv w:val="1"/>
      <w:marLeft w:val="0"/>
      <w:marRight w:val="0"/>
      <w:marTop w:val="0"/>
      <w:marBottom w:val="0"/>
      <w:divBdr>
        <w:top w:val="none" w:sz="0" w:space="0" w:color="auto"/>
        <w:left w:val="none" w:sz="0" w:space="0" w:color="auto"/>
        <w:bottom w:val="none" w:sz="0" w:space="0" w:color="auto"/>
        <w:right w:val="none" w:sz="0" w:space="0" w:color="auto"/>
      </w:divBdr>
    </w:div>
    <w:div w:id="1647659050">
      <w:bodyDiv w:val="1"/>
      <w:marLeft w:val="0"/>
      <w:marRight w:val="0"/>
      <w:marTop w:val="0"/>
      <w:marBottom w:val="0"/>
      <w:divBdr>
        <w:top w:val="none" w:sz="0" w:space="0" w:color="auto"/>
        <w:left w:val="none" w:sz="0" w:space="0" w:color="auto"/>
        <w:bottom w:val="none" w:sz="0" w:space="0" w:color="auto"/>
        <w:right w:val="none" w:sz="0" w:space="0" w:color="auto"/>
      </w:divBdr>
    </w:div>
    <w:div w:id="1653296134">
      <w:bodyDiv w:val="1"/>
      <w:marLeft w:val="0"/>
      <w:marRight w:val="0"/>
      <w:marTop w:val="0"/>
      <w:marBottom w:val="0"/>
      <w:divBdr>
        <w:top w:val="none" w:sz="0" w:space="0" w:color="auto"/>
        <w:left w:val="none" w:sz="0" w:space="0" w:color="auto"/>
        <w:bottom w:val="none" w:sz="0" w:space="0" w:color="auto"/>
        <w:right w:val="none" w:sz="0" w:space="0" w:color="auto"/>
      </w:divBdr>
      <w:divsChild>
        <w:div w:id="1671132494">
          <w:marLeft w:val="0"/>
          <w:marRight w:val="0"/>
          <w:marTop w:val="0"/>
          <w:marBottom w:val="0"/>
          <w:divBdr>
            <w:top w:val="none" w:sz="0" w:space="0" w:color="auto"/>
            <w:left w:val="none" w:sz="0" w:space="0" w:color="auto"/>
            <w:bottom w:val="none" w:sz="0" w:space="0" w:color="auto"/>
            <w:right w:val="none" w:sz="0" w:space="0" w:color="auto"/>
          </w:divBdr>
        </w:div>
      </w:divsChild>
    </w:div>
    <w:div w:id="1658534950">
      <w:bodyDiv w:val="1"/>
      <w:marLeft w:val="0"/>
      <w:marRight w:val="0"/>
      <w:marTop w:val="0"/>
      <w:marBottom w:val="0"/>
      <w:divBdr>
        <w:top w:val="none" w:sz="0" w:space="0" w:color="auto"/>
        <w:left w:val="none" w:sz="0" w:space="0" w:color="auto"/>
        <w:bottom w:val="none" w:sz="0" w:space="0" w:color="auto"/>
        <w:right w:val="none" w:sz="0" w:space="0" w:color="auto"/>
      </w:divBdr>
    </w:div>
    <w:div w:id="1662536893">
      <w:bodyDiv w:val="1"/>
      <w:marLeft w:val="0"/>
      <w:marRight w:val="0"/>
      <w:marTop w:val="0"/>
      <w:marBottom w:val="0"/>
      <w:divBdr>
        <w:top w:val="none" w:sz="0" w:space="0" w:color="auto"/>
        <w:left w:val="none" w:sz="0" w:space="0" w:color="auto"/>
        <w:bottom w:val="none" w:sz="0" w:space="0" w:color="auto"/>
        <w:right w:val="none" w:sz="0" w:space="0" w:color="auto"/>
      </w:divBdr>
    </w:div>
    <w:div w:id="1664241963">
      <w:bodyDiv w:val="1"/>
      <w:marLeft w:val="0"/>
      <w:marRight w:val="0"/>
      <w:marTop w:val="0"/>
      <w:marBottom w:val="0"/>
      <w:divBdr>
        <w:top w:val="none" w:sz="0" w:space="0" w:color="auto"/>
        <w:left w:val="none" w:sz="0" w:space="0" w:color="auto"/>
        <w:bottom w:val="none" w:sz="0" w:space="0" w:color="auto"/>
        <w:right w:val="none" w:sz="0" w:space="0" w:color="auto"/>
      </w:divBdr>
      <w:divsChild>
        <w:div w:id="1248423272">
          <w:marLeft w:val="0"/>
          <w:marRight w:val="0"/>
          <w:marTop w:val="0"/>
          <w:marBottom w:val="0"/>
          <w:divBdr>
            <w:top w:val="none" w:sz="0" w:space="0" w:color="auto"/>
            <w:left w:val="none" w:sz="0" w:space="0" w:color="auto"/>
            <w:bottom w:val="none" w:sz="0" w:space="0" w:color="auto"/>
            <w:right w:val="none" w:sz="0" w:space="0" w:color="auto"/>
          </w:divBdr>
        </w:div>
      </w:divsChild>
    </w:div>
    <w:div w:id="1667436794">
      <w:bodyDiv w:val="1"/>
      <w:marLeft w:val="0"/>
      <w:marRight w:val="0"/>
      <w:marTop w:val="0"/>
      <w:marBottom w:val="0"/>
      <w:divBdr>
        <w:top w:val="none" w:sz="0" w:space="0" w:color="auto"/>
        <w:left w:val="none" w:sz="0" w:space="0" w:color="auto"/>
        <w:bottom w:val="none" w:sz="0" w:space="0" w:color="auto"/>
        <w:right w:val="none" w:sz="0" w:space="0" w:color="auto"/>
      </w:divBdr>
    </w:div>
    <w:div w:id="1669752990">
      <w:bodyDiv w:val="1"/>
      <w:marLeft w:val="0"/>
      <w:marRight w:val="0"/>
      <w:marTop w:val="0"/>
      <w:marBottom w:val="0"/>
      <w:divBdr>
        <w:top w:val="none" w:sz="0" w:space="0" w:color="auto"/>
        <w:left w:val="none" w:sz="0" w:space="0" w:color="auto"/>
        <w:bottom w:val="none" w:sz="0" w:space="0" w:color="auto"/>
        <w:right w:val="none" w:sz="0" w:space="0" w:color="auto"/>
      </w:divBdr>
    </w:div>
    <w:div w:id="1673796396">
      <w:bodyDiv w:val="1"/>
      <w:marLeft w:val="0"/>
      <w:marRight w:val="0"/>
      <w:marTop w:val="0"/>
      <w:marBottom w:val="0"/>
      <w:divBdr>
        <w:top w:val="none" w:sz="0" w:space="0" w:color="auto"/>
        <w:left w:val="none" w:sz="0" w:space="0" w:color="auto"/>
        <w:bottom w:val="none" w:sz="0" w:space="0" w:color="auto"/>
        <w:right w:val="none" w:sz="0" w:space="0" w:color="auto"/>
      </w:divBdr>
    </w:div>
    <w:div w:id="1677729557">
      <w:bodyDiv w:val="1"/>
      <w:marLeft w:val="0"/>
      <w:marRight w:val="0"/>
      <w:marTop w:val="0"/>
      <w:marBottom w:val="0"/>
      <w:divBdr>
        <w:top w:val="none" w:sz="0" w:space="0" w:color="auto"/>
        <w:left w:val="none" w:sz="0" w:space="0" w:color="auto"/>
        <w:bottom w:val="none" w:sz="0" w:space="0" w:color="auto"/>
        <w:right w:val="none" w:sz="0" w:space="0" w:color="auto"/>
      </w:divBdr>
    </w:div>
    <w:div w:id="1681083098">
      <w:bodyDiv w:val="1"/>
      <w:marLeft w:val="0"/>
      <w:marRight w:val="0"/>
      <w:marTop w:val="0"/>
      <w:marBottom w:val="0"/>
      <w:divBdr>
        <w:top w:val="none" w:sz="0" w:space="0" w:color="auto"/>
        <w:left w:val="none" w:sz="0" w:space="0" w:color="auto"/>
        <w:bottom w:val="none" w:sz="0" w:space="0" w:color="auto"/>
        <w:right w:val="none" w:sz="0" w:space="0" w:color="auto"/>
      </w:divBdr>
    </w:div>
    <w:div w:id="1681277332">
      <w:bodyDiv w:val="1"/>
      <w:marLeft w:val="0"/>
      <w:marRight w:val="0"/>
      <w:marTop w:val="0"/>
      <w:marBottom w:val="0"/>
      <w:divBdr>
        <w:top w:val="none" w:sz="0" w:space="0" w:color="auto"/>
        <w:left w:val="none" w:sz="0" w:space="0" w:color="auto"/>
        <w:bottom w:val="none" w:sz="0" w:space="0" w:color="auto"/>
        <w:right w:val="none" w:sz="0" w:space="0" w:color="auto"/>
      </w:divBdr>
    </w:div>
    <w:div w:id="1682975059">
      <w:bodyDiv w:val="1"/>
      <w:marLeft w:val="0"/>
      <w:marRight w:val="0"/>
      <w:marTop w:val="0"/>
      <w:marBottom w:val="0"/>
      <w:divBdr>
        <w:top w:val="none" w:sz="0" w:space="0" w:color="auto"/>
        <w:left w:val="none" w:sz="0" w:space="0" w:color="auto"/>
        <w:bottom w:val="none" w:sz="0" w:space="0" w:color="auto"/>
        <w:right w:val="none" w:sz="0" w:space="0" w:color="auto"/>
      </w:divBdr>
    </w:div>
    <w:div w:id="1686125750">
      <w:bodyDiv w:val="1"/>
      <w:marLeft w:val="0"/>
      <w:marRight w:val="0"/>
      <w:marTop w:val="0"/>
      <w:marBottom w:val="0"/>
      <w:divBdr>
        <w:top w:val="none" w:sz="0" w:space="0" w:color="auto"/>
        <w:left w:val="none" w:sz="0" w:space="0" w:color="auto"/>
        <w:bottom w:val="none" w:sz="0" w:space="0" w:color="auto"/>
        <w:right w:val="none" w:sz="0" w:space="0" w:color="auto"/>
      </w:divBdr>
    </w:div>
    <w:div w:id="1686787469">
      <w:bodyDiv w:val="1"/>
      <w:marLeft w:val="0"/>
      <w:marRight w:val="0"/>
      <w:marTop w:val="0"/>
      <w:marBottom w:val="0"/>
      <w:divBdr>
        <w:top w:val="none" w:sz="0" w:space="0" w:color="auto"/>
        <w:left w:val="none" w:sz="0" w:space="0" w:color="auto"/>
        <w:bottom w:val="none" w:sz="0" w:space="0" w:color="auto"/>
        <w:right w:val="none" w:sz="0" w:space="0" w:color="auto"/>
      </w:divBdr>
    </w:div>
    <w:div w:id="1689915744">
      <w:bodyDiv w:val="1"/>
      <w:marLeft w:val="0"/>
      <w:marRight w:val="0"/>
      <w:marTop w:val="0"/>
      <w:marBottom w:val="0"/>
      <w:divBdr>
        <w:top w:val="none" w:sz="0" w:space="0" w:color="auto"/>
        <w:left w:val="none" w:sz="0" w:space="0" w:color="auto"/>
        <w:bottom w:val="none" w:sz="0" w:space="0" w:color="auto"/>
        <w:right w:val="none" w:sz="0" w:space="0" w:color="auto"/>
      </w:divBdr>
      <w:divsChild>
        <w:div w:id="1166480555">
          <w:marLeft w:val="0"/>
          <w:marRight w:val="0"/>
          <w:marTop w:val="0"/>
          <w:marBottom w:val="0"/>
          <w:divBdr>
            <w:top w:val="none" w:sz="0" w:space="0" w:color="auto"/>
            <w:left w:val="none" w:sz="0" w:space="0" w:color="auto"/>
            <w:bottom w:val="none" w:sz="0" w:space="0" w:color="auto"/>
            <w:right w:val="none" w:sz="0" w:space="0" w:color="auto"/>
          </w:divBdr>
        </w:div>
      </w:divsChild>
    </w:div>
    <w:div w:id="1692297739">
      <w:bodyDiv w:val="1"/>
      <w:marLeft w:val="0"/>
      <w:marRight w:val="0"/>
      <w:marTop w:val="0"/>
      <w:marBottom w:val="0"/>
      <w:divBdr>
        <w:top w:val="none" w:sz="0" w:space="0" w:color="auto"/>
        <w:left w:val="none" w:sz="0" w:space="0" w:color="auto"/>
        <w:bottom w:val="none" w:sz="0" w:space="0" w:color="auto"/>
        <w:right w:val="none" w:sz="0" w:space="0" w:color="auto"/>
      </w:divBdr>
    </w:div>
    <w:div w:id="1697272302">
      <w:bodyDiv w:val="1"/>
      <w:marLeft w:val="0"/>
      <w:marRight w:val="0"/>
      <w:marTop w:val="0"/>
      <w:marBottom w:val="0"/>
      <w:divBdr>
        <w:top w:val="none" w:sz="0" w:space="0" w:color="auto"/>
        <w:left w:val="none" w:sz="0" w:space="0" w:color="auto"/>
        <w:bottom w:val="none" w:sz="0" w:space="0" w:color="auto"/>
        <w:right w:val="none" w:sz="0" w:space="0" w:color="auto"/>
      </w:divBdr>
    </w:div>
    <w:div w:id="1699089611">
      <w:bodyDiv w:val="1"/>
      <w:marLeft w:val="0"/>
      <w:marRight w:val="0"/>
      <w:marTop w:val="0"/>
      <w:marBottom w:val="0"/>
      <w:divBdr>
        <w:top w:val="none" w:sz="0" w:space="0" w:color="auto"/>
        <w:left w:val="none" w:sz="0" w:space="0" w:color="auto"/>
        <w:bottom w:val="none" w:sz="0" w:space="0" w:color="auto"/>
        <w:right w:val="none" w:sz="0" w:space="0" w:color="auto"/>
      </w:divBdr>
    </w:div>
    <w:div w:id="1701391413">
      <w:bodyDiv w:val="1"/>
      <w:marLeft w:val="0"/>
      <w:marRight w:val="0"/>
      <w:marTop w:val="0"/>
      <w:marBottom w:val="0"/>
      <w:divBdr>
        <w:top w:val="none" w:sz="0" w:space="0" w:color="auto"/>
        <w:left w:val="none" w:sz="0" w:space="0" w:color="auto"/>
        <w:bottom w:val="none" w:sz="0" w:space="0" w:color="auto"/>
        <w:right w:val="none" w:sz="0" w:space="0" w:color="auto"/>
      </w:divBdr>
    </w:div>
    <w:div w:id="1703706514">
      <w:bodyDiv w:val="1"/>
      <w:marLeft w:val="0"/>
      <w:marRight w:val="0"/>
      <w:marTop w:val="0"/>
      <w:marBottom w:val="0"/>
      <w:divBdr>
        <w:top w:val="none" w:sz="0" w:space="0" w:color="auto"/>
        <w:left w:val="none" w:sz="0" w:space="0" w:color="auto"/>
        <w:bottom w:val="none" w:sz="0" w:space="0" w:color="auto"/>
        <w:right w:val="none" w:sz="0" w:space="0" w:color="auto"/>
      </w:divBdr>
    </w:div>
    <w:div w:id="1704280154">
      <w:bodyDiv w:val="1"/>
      <w:marLeft w:val="0"/>
      <w:marRight w:val="0"/>
      <w:marTop w:val="0"/>
      <w:marBottom w:val="0"/>
      <w:divBdr>
        <w:top w:val="none" w:sz="0" w:space="0" w:color="auto"/>
        <w:left w:val="none" w:sz="0" w:space="0" w:color="auto"/>
        <w:bottom w:val="none" w:sz="0" w:space="0" w:color="auto"/>
        <w:right w:val="none" w:sz="0" w:space="0" w:color="auto"/>
      </w:divBdr>
    </w:div>
    <w:div w:id="1704329756">
      <w:bodyDiv w:val="1"/>
      <w:marLeft w:val="0"/>
      <w:marRight w:val="0"/>
      <w:marTop w:val="0"/>
      <w:marBottom w:val="0"/>
      <w:divBdr>
        <w:top w:val="none" w:sz="0" w:space="0" w:color="auto"/>
        <w:left w:val="none" w:sz="0" w:space="0" w:color="auto"/>
        <w:bottom w:val="none" w:sz="0" w:space="0" w:color="auto"/>
        <w:right w:val="none" w:sz="0" w:space="0" w:color="auto"/>
      </w:divBdr>
    </w:div>
    <w:div w:id="1712457498">
      <w:bodyDiv w:val="1"/>
      <w:marLeft w:val="0"/>
      <w:marRight w:val="0"/>
      <w:marTop w:val="0"/>
      <w:marBottom w:val="0"/>
      <w:divBdr>
        <w:top w:val="none" w:sz="0" w:space="0" w:color="auto"/>
        <w:left w:val="none" w:sz="0" w:space="0" w:color="auto"/>
        <w:bottom w:val="none" w:sz="0" w:space="0" w:color="auto"/>
        <w:right w:val="none" w:sz="0" w:space="0" w:color="auto"/>
      </w:divBdr>
    </w:div>
    <w:div w:id="1720278157">
      <w:bodyDiv w:val="1"/>
      <w:marLeft w:val="0"/>
      <w:marRight w:val="0"/>
      <w:marTop w:val="0"/>
      <w:marBottom w:val="0"/>
      <w:divBdr>
        <w:top w:val="none" w:sz="0" w:space="0" w:color="auto"/>
        <w:left w:val="none" w:sz="0" w:space="0" w:color="auto"/>
        <w:bottom w:val="none" w:sz="0" w:space="0" w:color="auto"/>
        <w:right w:val="none" w:sz="0" w:space="0" w:color="auto"/>
      </w:divBdr>
    </w:div>
    <w:div w:id="1724406823">
      <w:bodyDiv w:val="1"/>
      <w:marLeft w:val="0"/>
      <w:marRight w:val="0"/>
      <w:marTop w:val="0"/>
      <w:marBottom w:val="0"/>
      <w:divBdr>
        <w:top w:val="none" w:sz="0" w:space="0" w:color="auto"/>
        <w:left w:val="none" w:sz="0" w:space="0" w:color="auto"/>
        <w:bottom w:val="none" w:sz="0" w:space="0" w:color="auto"/>
        <w:right w:val="none" w:sz="0" w:space="0" w:color="auto"/>
      </w:divBdr>
    </w:div>
    <w:div w:id="1736077412">
      <w:bodyDiv w:val="1"/>
      <w:marLeft w:val="0"/>
      <w:marRight w:val="0"/>
      <w:marTop w:val="0"/>
      <w:marBottom w:val="0"/>
      <w:divBdr>
        <w:top w:val="none" w:sz="0" w:space="0" w:color="auto"/>
        <w:left w:val="none" w:sz="0" w:space="0" w:color="auto"/>
        <w:bottom w:val="none" w:sz="0" w:space="0" w:color="auto"/>
        <w:right w:val="none" w:sz="0" w:space="0" w:color="auto"/>
      </w:divBdr>
    </w:div>
    <w:div w:id="1741098623">
      <w:bodyDiv w:val="1"/>
      <w:marLeft w:val="0"/>
      <w:marRight w:val="0"/>
      <w:marTop w:val="0"/>
      <w:marBottom w:val="0"/>
      <w:divBdr>
        <w:top w:val="none" w:sz="0" w:space="0" w:color="auto"/>
        <w:left w:val="none" w:sz="0" w:space="0" w:color="auto"/>
        <w:bottom w:val="none" w:sz="0" w:space="0" w:color="auto"/>
        <w:right w:val="none" w:sz="0" w:space="0" w:color="auto"/>
      </w:divBdr>
    </w:div>
    <w:div w:id="1743528934">
      <w:bodyDiv w:val="1"/>
      <w:marLeft w:val="0"/>
      <w:marRight w:val="0"/>
      <w:marTop w:val="0"/>
      <w:marBottom w:val="0"/>
      <w:divBdr>
        <w:top w:val="none" w:sz="0" w:space="0" w:color="auto"/>
        <w:left w:val="none" w:sz="0" w:space="0" w:color="auto"/>
        <w:bottom w:val="none" w:sz="0" w:space="0" w:color="auto"/>
        <w:right w:val="none" w:sz="0" w:space="0" w:color="auto"/>
      </w:divBdr>
    </w:div>
    <w:div w:id="1745178294">
      <w:bodyDiv w:val="1"/>
      <w:marLeft w:val="0"/>
      <w:marRight w:val="0"/>
      <w:marTop w:val="0"/>
      <w:marBottom w:val="0"/>
      <w:divBdr>
        <w:top w:val="none" w:sz="0" w:space="0" w:color="auto"/>
        <w:left w:val="none" w:sz="0" w:space="0" w:color="auto"/>
        <w:bottom w:val="none" w:sz="0" w:space="0" w:color="auto"/>
        <w:right w:val="none" w:sz="0" w:space="0" w:color="auto"/>
      </w:divBdr>
    </w:div>
    <w:div w:id="1747411761">
      <w:bodyDiv w:val="1"/>
      <w:marLeft w:val="0"/>
      <w:marRight w:val="0"/>
      <w:marTop w:val="0"/>
      <w:marBottom w:val="0"/>
      <w:divBdr>
        <w:top w:val="none" w:sz="0" w:space="0" w:color="auto"/>
        <w:left w:val="none" w:sz="0" w:space="0" w:color="auto"/>
        <w:bottom w:val="none" w:sz="0" w:space="0" w:color="auto"/>
        <w:right w:val="none" w:sz="0" w:space="0" w:color="auto"/>
      </w:divBdr>
    </w:div>
    <w:div w:id="1750499125">
      <w:bodyDiv w:val="1"/>
      <w:marLeft w:val="0"/>
      <w:marRight w:val="0"/>
      <w:marTop w:val="0"/>
      <w:marBottom w:val="0"/>
      <w:divBdr>
        <w:top w:val="none" w:sz="0" w:space="0" w:color="auto"/>
        <w:left w:val="none" w:sz="0" w:space="0" w:color="auto"/>
        <w:bottom w:val="none" w:sz="0" w:space="0" w:color="auto"/>
        <w:right w:val="none" w:sz="0" w:space="0" w:color="auto"/>
      </w:divBdr>
    </w:div>
    <w:div w:id="1758094755">
      <w:bodyDiv w:val="1"/>
      <w:marLeft w:val="0"/>
      <w:marRight w:val="0"/>
      <w:marTop w:val="0"/>
      <w:marBottom w:val="0"/>
      <w:divBdr>
        <w:top w:val="none" w:sz="0" w:space="0" w:color="auto"/>
        <w:left w:val="none" w:sz="0" w:space="0" w:color="auto"/>
        <w:bottom w:val="none" w:sz="0" w:space="0" w:color="auto"/>
        <w:right w:val="none" w:sz="0" w:space="0" w:color="auto"/>
      </w:divBdr>
    </w:div>
    <w:div w:id="1758817822">
      <w:bodyDiv w:val="1"/>
      <w:marLeft w:val="0"/>
      <w:marRight w:val="0"/>
      <w:marTop w:val="0"/>
      <w:marBottom w:val="0"/>
      <w:divBdr>
        <w:top w:val="none" w:sz="0" w:space="0" w:color="auto"/>
        <w:left w:val="none" w:sz="0" w:space="0" w:color="auto"/>
        <w:bottom w:val="none" w:sz="0" w:space="0" w:color="auto"/>
        <w:right w:val="none" w:sz="0" w:space="0" w:color="auto"/>
      </w:divBdr>
      <w:divsChild>
        <w:div w:id="1305818902">
          <w:marLeft w:val="0"/>
          <w:marRight w:val="0"/>
          <w:marTop w:val="0"/>
          <w:marBottom w:val="0"/>
          <w:divBdr>
            <w:top w:val="none" w:sz="0" w:space="0" w:color="auto"/>
            <w:left w:val="none" w:sz="0" w:space="0" w:color="auto"/>
            <w:bottom w:val="none" w:sz="0" w:space="0" w:color="auto"/>
            <w:right w:val="none" w:sz="0" w:space="0" w:color="auto"/>
          </w:divBdr>
        </w:div>
      </w:divsChild>
    </w:div>
    <w:div w:id="1759712190">
      <w:bodyDiv w:val="1"/>
      <w:marLeft w:val="0"/>
      <w:marRight w:val="0"/>
      <w:marTop w:val="0"/>
      <w:marBottom w:val="0"/>
      <w:divBdr>
        <w:top w:val="none" w:sz="0" w:space="0" w:color="auto"/>
        <w:left w:val="none" w:sz="0" w:space="0" w:color="auto"/>
        <w:bottom w:val="none" w:sz="0" w:space="0" w:color="auto"/>
        <w:right w:val="none" w:sz="0" w:space="0" w:color="auto"/>
      </w:divBdr>
    </w:div>
    <w:div w:id="1761831675">
      <w:bodyDiv w:val="1"/>
      <w:marLeft w:val="0"/>
      <w:marRight w:val="0"/>
      <w:marTop w:val="0"/>
      <w:marBottom w:val="0"/>
      <w:divBdr>
        <w:top w:val="none" w:sz="0" w:space="0" w:color="auto"/>
        <w:left w:val="none" w:sz="0" w:space="0" w:color="auto"/>
        <w:bottom w:val="none" w:sz="0" w:space="0" w:color="auto"/>
        <w:right w:val="none" w:sz="0" w:space="0" w:color="auto"/>
      </w:divBdr>
    </w:div>
    <w:div w:id="1762066779">
      <w:bodyDiv w:val="1"/>
      <w:marLeft w:val="0"/>
      <w:marRight w:val="0"/>
      <w:marTop w:val="0"/>
      <w:marBottom w:val="0"/>
      <w:divBdr>
        <w:top w:val="none" w:sz="0" w:space="0" w:color="auto"/>
        <w:left w:val="none" w:sz="0" w:space="0" w:color="auto"/>
        <w:bottom w:val="none" w:sz="0" w:space="0" w:color="auto"/>
        <w:right w:val="none" w:sz="0" w:space="0" w:color="auto"/>
      </w:divBdr>
    </w:div>
    <w:div w:id="1763137958">
      <w:bodyDiv w:val="1"/>
      <w:marLeft w:val="0"/>
      <w:marRight w:val="0"/>
      <w:marTop w:val="0"/>
      <w:marBottom w:val="0"/>
      <w:divBdr>
        <w:top w:val="none" w:sz="0" w:space="0" w:color="auto"/>
        <w:left w:val="none" w:sz="0" w:space="0" w:color="auto"/>
        <w:bottom w:val="none" w:sz="0" w:space="0" w:color="auto"/>
        <w:right w:val="none" w:sz="0" w:space="0" w:color="auto"/>
      </w:divBdr>
      <w:divsChild>
        <w:div w:id="1327712497">
          <w:marLeft w:val="0"/>
          <w:marRight w:val="0"/>
          <w:marTop w:val="0"/>
          <w:marBottom w:val="0"/>
          <w:divBdr>
            <w:top w:val="none" w:sz="0" w:space="0" w:color="auto"/>
            <w:left w:val="none" w:sz="0" w:space="0" w:color="auto"/>
            <w:bottom w:val="none" w:sz="0" w:space="0" w:color="auto"/>
            <w:right w:val="none" w:sz="0" w:space="0" w:color="auto"/>
          </w:divBdr>
        </w:div>
      </w:divsChild>
    </w:div>
    <w:div w:id="1764837773">
      <w:bodyDiv w:val="1"/>
      <w:marLeft w:val="0"/>
      <w:marRight w:val="0"/>
      <w:marTop w:val="0"/>
      <w:marBottom w:val="0"/>
      <w:divBdr>
        <w:top w:val="none" w:sz="0" w:space="0" w:color="auto"/>
        <w:left w:val="none" w:sz="0" w:space="0" w:color="auto"/>
        <w:bottom w:val="none" w:sz="0" w:space="0" w:color="auto"/>
        <w:right w:val="none" w:sz="0" w:space="0" w:color="auto"/>
      </w:divBdr>
      <w:divsChild>
        <w:div w:id="1553884600">
          <w:marLeft w:val="0"/>
          <w:marRight w:val="0"/>
          <w:marTop w:val="0"/>
          <w:marBottom w:val="0"/>
          <w:divBdr>
            <w:top w:val="none" w:sz="0" w:space="0" w:color="auto"/>
            <w:left w:val="none" w:sz="0" w:space="0" w:color="auto"/>
            <w:bottom w:val="none" w:sz="0" w:space="0" w:color="auto"/>
            <w:right w:val="none" w:sz="0" w:space="0" w:color="auto"/>
          </w:divBdr>
        </w:div>
      </w:divsChild>
    </w:div>
    <w:div w:id="1771272279">
      <w:bodyDiv w:val="1"/>
      <w:marLeft w:val="0"/>
      <w:marRight w:val="0"/>
      <w:marTop w:val="0"/>
      <w:marBottom w:val="0"/>
      <w:divBdr>
        <w:top w:val="none" w:sz="0" w:space="0" w:color="auto"/>
        <w:left w:val="none" w:sz="0" w:space="0" w:color="auto"/>
        <w:bottom w:val="none" w:sz="0" w:space="0" w:color="auto"/>
        <w:right w:val="none" w:sz="0" w:space="0" w:color="auto"/>
      </w:divBdr>
    </w:div>
    <w:div w:id="1771967385">
      <w:bodyDiv w:val="1"/>
      <w:marLeft w:val="0"/>
      <w:marRight w:val="0"/>
      <w:marTop w:val="0"/>
      <w:marBottom w:val="0"/>
      <w:divBdr>
        <w:top w:val="none" w:sz="0" w:space="0" w:color="auto"/>
        <w:left w:val="none" w:sz="0" w:space="0" w:color="auto"/>
        <w:bottom w:val="none" w:sz="0" w:space="0" w:color="auto"/>
        <w:right w:val="none" w:sz="0" w:space="0" w:color="auto"/>
      </w:divBdr>
    </w:div>
    <w:div w:id="1774789134">
      <w:bodyDiv w:val="1"/>
      <w:marLeft w:val="0"/>
      <w:marRight w:val="0"/>
      <w:marTop w:val="0"/>
      <w:marBottom w:val="0"/>
      <w:divBdr>
        <w:top w:val="none" w:sz="0" w:space="0" w:color="auto"/>
        <w:left w:val="none" w:sz="0" w:space="0" w:color="auto"/>
        <w:bottom w:val="none" w:sz="0" w:space="0" w:color="auto"/>
        <w:right w:val="none" w:sz="0" w:space="0" w:color="auto"/>
      </w:divBdr>
    </w:div>
    <w:div w:id="1779835800">
      <w:bodyDiv w:val="1"/>
      <w:marLeft w:val="0"/>
      <w:marRight w:val="0"/>
      <w:marTop w:val="0"/>
      <w:marBottom w:val="0"/>
      <w:divBdr>
        <w:top w:val="none" w:sz="0" w:space="0" w:color="auto"/>
        <w:left w:val="none" w:sz="0" w:space="0" w:color="auto"/>
        <w:bottom w:val="none" w:sz="0" w:space="0" w:color="auto"/>
        <w:right w:val="none" w:sz="0" w:space="0" w:color="auto"/>
      </w:divBdr>
    </w:div>
    <w:div w:id="1784416012">
      <w:bodyDiv w:val="1"/>
      <w:marLeft w:val="0"/>
      <w:marRight w:val="0"/>
      <w:marTop w:val="0"/>
      <w:marBottom w:val="0"/>
      <w:divBdr>
        <w:top w:val="none" w:sz="0" w:space="0" w:color="auto"/>
        <w:left w:val="none" w:sz="0" w:space="0" w:color="auto"/>
        <w:bottom w:val="none" w:sz="0" w:space="0" w:color="auto"/>
        <w:right w:val="none" w:sz="0" w:space="0" w:color="auto"/>
      </w:divBdr>
    </w:div>
    <w:div w:id="1785421969">
      <w:bodyDiv w:val="1"/>
      <w:marLeft w:val="0"/>
      <w:marRight w:val="0"/>
      <w:marTop w:val="0"/>
      <w:marBottom w:val="0"/>
      <w:divBdr>
        <w:top w:val="none" w:sz="0" w:space="0" w:color="auto"/>
        <w:left w:val="none" w:sz="0" w:space="0" w:color="auto"/>
        <w:bottom w:val="none" w:sz="0" w:space="0" w:color="auto"/>
        <w:right w:val="none" w:sz="0" w:space="0" w:color="auto"/>
      </w:divBdr>
    </w:div>
    <w:div w:id="1786922459">
      <w:bodyDiv w:val="1"/>
      <w:marLeft w:val="0"/>
      <w:marRight w:val="0"/>
      <w:marTop w:val="0"/>
      <w:marBottom w:val="0"/>
      <w:divBdr>
        <w:top w:val="none" w:sz="0" w:space="0" w:color="auto"/>
        <w:left w:val="none" w:sz="0" w:space="0" w:color="auto"/>
        <w:bottom w:val="none" w:sz="0" w:space="0" w:color="auto"/>
        <w:right w:val="none" w:sz="0" w:space="0" w:color="auto"/>
      </w:divBdr>
    </w:div>
    <w:div w:id="1791052773">
      <w:bodyDiv w:val="1"/>
      <w:marLeft w:val="0"/>
      <w:marRight w:val="0"/>
      <w:marTop w:val="0"/>
      <w:marBottom w:val="0"/>
      <w:divBdr>
        <w:top w:val="none" w:sz="0" w:space="0" w:color="auto"/>
        <w:left w:val="none" w:sz="0" w:space="0" w:color="auto"/>
        <w:bottom w:val="none" w:sz="0" w:space="0" w:color="auto"/>
        <w:right w:val="none" w:sz="0" w:space="0" w:color="auto"/>
      </w:divBdr>
    </w:div>
    <w:div w:id="1791968832">
      <w:bodyDiv w:val="1"/>
      <w:marLeft w:val="0"/>
      <w:marRight w:val="0"/>
      <w:marTop w:val="0"/>
      <w:marBottom w:val="0"/>
      <w:divBdr>
        <w:top w:val="none" w:sz="0" w:space="0" w:color="auto"/>
        <w:left w:val="none" w:sz="0" w:space="0" w:color="auto"/>
        <w:bottom w:val="none" w:sz="0" w:space="0" w:color="auto"/>
        <w:right w:val="none" w:sz="0" w:space="0" w:color="auto"/>
      </w:divBdr>
    </w:div>
    <w:div w:id="1792624333">
      <w:bodyDiv w:val="1"/>
      <w:marLeft w:val="0"/>
      <w:marRight w:val="0"/>
      <w:marTop w:val="0"/>
      <w:marBottom w:val="0"/>
      <w:divBdr>
        <w:top w:val="none" w:sz="0" w:space="0" w:color="auto"/>
        <w:left w:val="none" w:sz="0" w:space="0" w:color="auto"/>
        <w:bottom w:val="none" w:sz="0" w:space="0" w:color="auto"/>
        <w:right w:val="none" w:sz="0" w:space="0" w:color="auto"/>
      </w:divBdr>
      <w:divsChild>
        <w:div w:id="734357785">
          <w:marLeft w:val="0"/>
          <w:marRight w:val="0"/>
          <w:marTop w:val="0"/>
          <w:marBottom w:val="0"/>
          <w:divBdr>
            <w:top w:val="none" w:sz="0" w:space="0" w:color="auto"/>
            <w:left w:val="none" w:sz="0" w:space="0" w:color="auto"/>
            <w:bottom w:val="none" w:sz="0" w:space="0" w:color="auto"/>
            <w:right w:val="none" w:sz="0" w:space="0" w:color="auto"/>
          </w:divBdr>
          <w:divsChild>
            <w:div w:id="151140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91812">
      <w:bodyDiv w:val="1"/>
      <w:marLeft w:val="0"/>
      <w:marRight w:val="0"/>
      <w:marTop w:val="0"/>
      <w:marBottom w:val="0"/>
      <w:divBdr>
        <w:top w:val="none" w:sz="0" w:space="0" w:color="auto"/>
        <w:left w:val="none" w:sz="0" w:space="0" w:color="auto"/>
        <w:bottom w:val="none" w:sz="0" w:space="0" w:color="auto"/>
        <w:right w:val="none" w:sz="0" w:space="0" w:color="auto"/>
      </w:divBdr>
      <w:divsChild>
        <w:div w:id="1956402541">
          <w:marLeft w:val="0"/>
          <w:marRight w:val="0"/>
          <w:marTop w:val="0"/>
          <w:marBottom w:val="0"/>
          <w:divBdr>
            <w:top w:val="none" w:sz="0" w:space="0" w:color="auto"/>
            <w:left w:val="none" w:sz="0" w:space="0" w:color="auto"/>
            <w:bottom w:val="none" w:sz="0" w:space="0" w:color="auto"/>
            <w:right w:val="none" w:sz="0" w:space="0" w:color="auto"/>
          </w:divBdr>
        </w:div>
      </w:divsChild>
    </w:div>
    <w:div w:id="1795908955">
      <w:bodyDiv w:val="1"/>
      <w:marLeft w:val="0"/>
      <w:marRight w:val="0"/>
      <w:marTop w:val="0"/>
      <w:marBottom w:val="0"/>
      <w:divBdr>
        <w:top w:val="none" w:sz="0" w:space="0" w:color="auto"/>
        <w:left w:val="none" w:sz="0" w:space="0" w:color="auto"/>
        <w:bottom w:val="none" w:sz="0" w:space="0" w:color="auto"/>
        <w:right w:val="none" w:sz="0" w:space="0" w:color="auto"/>
      </w:divBdr>
      <w:divsChild>
        <w:div w:id="2016882811">
          <w:marLeft w:val="0"/>
          <w:marRight w:val="0"/>
          <w:marTop w:val="0"/>
          <w:marBottom w:val="0"/>
          <w:divBdr>
            <w:top w:val="none" w:sz="0" w:space="0" w:color="auto"/>
            <w:left w:val="none" w:sz="0" w:space="0" w:color="auto"/>
            <w:bottom w:val="none" w:sz="0" w:space="0" w:color="auto"/>
            <w:right w:val="none" w:sz="0" w:space="0" w:color="auto"/>
          </w:divBdr>
        </w:div>
      </w:divsChild>
    </w:div>
    <w:div w:id="1797067129">
      <w:bodyDiv w:val="1"/>
      <w:marLeft w:val="0"/>
      <w:marRight w:val="0"/>
      <w:marTop w:val="0"/>
      <w:marBottom w:val="0"/>
      <w:divBdr>
        <w:top w:val="none" w:sz="0" w:space="0" w:color="auto"/>
        <w:left w:val="none" w:sz="0" w:space="0" w:color="auto"/>
        <w:bottom w:val="none" w:sz="0" w:space="0" w:color="auto"/>
        <w:right w:val="none" w:sz="0" w:space="0" w:color="auto"/>
      </w:divBdr>
    </w:div>
    <w:div w:id="1798596621">
      <w:bodyDiv w:val="1"/>
      <w:marLeft w:val="0"/>
      <w:marRight w:val="0"/>
      <w:marTop w:val="0"/>
      <w:marBottom w:val="0"/>
      <w:divBdr>
        <w:top w:val="none" w:sz="0" w:space="0" w:color="auto"/>
        <w:left w:val="none" w:sz="0" w:space="0" w:color="auto"/>
        <w:bottom w:val="none" w:sz="0" w:space="0" w:color="auto"/>
        <w:right w:val="none" w:sz="0" w:space="0" w:color="auto"/>
      </w:divBdr>
    </w:div>
    <w:div w:id="1800606828">
      <w:bodyDiv w:val="1"/>
      <w:marLeft w:val="0"/>
      <w:marRight w:val="0"/>
      <w:marTop w:val="0"/>
      <w:marBottom w:val="0"/>
      <w:divBdr>
        <w:top w:val="none" w:sz="0" w:space="0" w:color="auto"/>
        <w:left w:val="none" w:sz="0" w:space="0" w:color="auto"/>
        <w:bottom w:val="none" w:sz="0" w:space="0" w:color="auto"/>
        <w:right w:val="none" w:sz="0" w:space="0" w:color="auto"/>
      </w:divBdr>
    </w:div>
    <w:div w:id="1803763426">
      <w:bodyDiv w:val="1"/>
      <w:marLeft w:val="0"/>
      <w:marRight w:val="0"/>
      <w:marTop w:val="0"/>
      <w:marBottom w:val="0"/>
      <w:divBdr>
        <w:top w:val="none" w:sz="0" w:space="0" w:color="auto"/>
        <w:left w:val="none" w:sz="0" w:space="0" w:color="auto"/>
        <w:bottom w:val="none" w:sz="0" w:space="0" w:color="auto"/>
        <w:right w:val="none" w:sz="0" w:space="0" w:color="auto"/>
      </w:divBdr>
    </w:div>
    <w:div w:id="1805148869">
      <w:bodyDiv w:val="1"/>
      <w:marLeft w:val="0"/>
      <w:marRight w:val="0"/>
      <w:marTop w:val="0"/>
      <w:marBottom w:val="0"/>
      <w:divBdr>
        <w:top w:val="none" w:sz="0" w:space="0" w:color="auto"/>
        <w:left w:val="none" w:sz="0" w:space="0" w:color="auto"/>
        <w:bottom w:val="none" w:sz="0" w:space="0" w:color="auto"/>
        <w:right w:val="none" w:sz="0" w:space="0" w:color="auto"/>
      </w:divBdr>
    </w:div>
    <w:div w:id="1809014025">
      <w:bodyDiv w:val="1"/>
      <w:marLeft w:val="0"/>
      <w:marRight w:val="0"/>
      <w:marTop w:val="0"/>
      <w:marBottom w:val="0"/>
      <w:divBdr>
        <w:top w:val="none" w:sz="0" w:space="0" w:color="auto"/>
        <w:left w:val="none" w:sz="0" w:space="0" w:color="auto"/>
        <w:bottom w:val="none" w:sz="0" w:space="0" w:color="auto"/>
        <w:right w:val="none" w:sz="0" w:space="0" w:color="auto"/>
      </w:divBdr>
    </w:div>
    <w:div w:id="1810201397">
      <w:bodyDiv w:val="1"/>
      <w:marLeft w:val="0"/>
      <w:marRight w:val="0"/>
      <w:marTop w:val="0"/>
      <w:marBottom w:val="0"/>
      <w:divBdr>
        <w:top w:val="none" w:sz="0" w:space="0" w:color="auto"/>
        <w:left w:val="none" w:sz="0" w:space="0" w:color="auto"/>
        <w:bottom w:val="none" w:sz="0" w:space="0" w:color="auto"/>
        <w:right w:val="none" w:sz="0" w:space="0" w:color="auto"/>
      </w:divBdr>
    </w:div>
    <w:div w:id="1811823341">
      <w:bodyDiv w:val="1"/>
      <w:marLeft w:val="0"/>
      <w:marRight w:val="0"/>
      <w:marTop w:val="0"/>
      <w:marBottom w:val="0"/>
      <w:divBdr>
        <w:top w:val="none" w:sz="0" w:space="0" w:color="auto"/>
        <w:left w:val="none" w:sz="0" w:space="0" w:color="auto"/>
        <w:bottom w:val="none" w:sz="0" w:space="0" w:color="auto"/>
        <w:right w:val="none" w:sz="0" w:space="0" w:color="auto"/>
      </w:divBdr>
    </w:div>
    <w:div w:id="1819880533">
      <w:bodyDiv w:val="1"/>
      <w:marLeft w:val="0"/>
      <w:marRight w:val="0"/>
      <w:marTop w:val="0"/>
      <w:marBottom w:val="0"/>
      <w:divBdr>
        <w:top w:val="none" w:sz="0" w:space="0" w:color="auto"/>
        <w:left w:val="none" w:sz="0" w:space="0" w:color="auto"/>
        <w:bottom w:val="none" w:sz="0" w:space="0" w:color="auto"/>
        <w:right w:val="none" w:sz="0" w:space="0" w:color="auto"/>
      </w:divBdr>
      <w:divsChild>
        <w:div w:id="1133134962">
          <w:marLeft w:val="0"/>
          <w:marRight w:val="0"/>
          <w:marTop w:val="0"/>
          <w:marBottom w:val="0"/>
          <w:divBdr>
            <w:top w:val="none" w:sz="0" w:space="0" w:color="auto"/>
            <w:left w:val="none" w:sz="0" w:space="0" w:color="auto"/>
            <w:bottom w:val="none" w:sz="0" w:space="0" w:color="auto"/>
            <w:right w:val="none" w:sz="0" w:space="0" w:color="auto"/>
          </w:divBdr>
        </w:div>
      </w:divsChild>
    </w:div>
    <w:div w:id="1824544384">
      <w:bodyDiv w:val="1"/>
      <w:marLeft w:val="0"/>
      <w:marRight w:val="0"/>
      <w:marTop w:val="0"/>
      <w:marBottom w:val="0"/>
      <w:divBdr>
        <w:top w:val="none" w:sz="0" w:space="0" w:color="auto"/>
        <w:left w:val="none" w:sz="0" w:space="0" w:color="auto"/>
        <w:bottom w:val="none" w:sz="0" w:space="0" w:color="auto"/>
        <w:right w:val="none" w:sz="0" w:space="0" w:color="auto"/>
      </w:divBdr>
    </w:div>
    <w:div w:id="1831482667">
      <w:bodyDiv w:val="1"/>
      <w:marLeft w:val="0"/>
      <w:marRight w:val="0"/>
      <w:marTop w:val="0"/>
      <w:marBottom w:val="0"/>
      <w:divBdr>
        <w:top w:val="none" w:sz="0" w:space="0" w:color="auto"/>
        <w:left w:val="none" w:sz="0" w:space="0" w:color="auto"/>
        <w:bottom w:val="none" w:sz="0" w:space="0" w:color="auto"/>
        <w:right w:val="none" w:sz="0" w:space="0" w:color="auto"/>
      </w:divBdr>
    </w:div>
    <w:div w:id="1831826489">
      <w:bodyDiv w:val="1"/>
      <w:marLeft w:val="0"/>
      <w:marRight w:val="0"/>
      <w:marTop w:val="0"/>
      <w:marBottom w:val="0"/>
      <w:divBdr>
        <w:top w:val="none" w:sz="0" w:space="0" w:color="auto"/>
        <w:left w:val="none" w:sz="0" w:space="0" w:color="auto"/>
        <w:bottom w:val="none" w:sz="0" w:space="0" w:color="auto"/>
        <w:right w:val="none" w:sz="0" w:space="0" w:color="auto"/>
      </w:divBdr>
    </w:div>
    <w:div w:id="1832528643">
      <w:bodyDiv w:val="1"/>
      <w:marLeft w:val="0"/>
      <w:marRight w:val="0"/>
      <w:marTop w:val="0"/>
      <w:marBottom w:val="0"/>
      <w:divBdr>
        <w:top w:val="none" w:sz="0" w:space="0" w:color="auto"/>
        <w:left w:val="none" w:sz="0" w:space="0" w:color="auto"/>
        <w:bottom w:val="none" w:sz="0" w:space="0" w:color="auto"/>
        <w:right w:val="none" w:sz="0" w:space="0" w:color="auto"/>
      </w:divBdr>
    </w:div>
    <w:div w:id="1834367797">
      <w:bodyDiv w:val="1"/>
      <w:marLeft w:val="0"/>
      <w:marRight w:val="0"/>
      <w:marTop w:val="0"/>
      <w:marBottom w:val="0"/>
      <w:divBdr>
        <w:top w:val="none" w:sz="0" w:space="0" w:color="auto"/>
        <w:left w:val="none" w:sz="0" w:space="0" w:color="auto"/>
        <w:bottom w:val="none" w:sz="0" w:space="0" w:color="auto"/>
        <w:right w:val="none" w:sz="0" w:space="0" w:color="auto"/>
      </w:divBdr>
    </w:div>
    <w:div w:id="1838494329">
      <w:bodyDiv w:val="1"/>
      <w:marLeft w:val="0"/>
      <w:marRight w:val="0"/>
      <w:marTop w:val="0"/>
      <w:marBottom w:val="0"/>
      <w:divBdr>
        <w:top w:val="none" w:sz="0" w:space="0" w:color="auto"/>
        <w:left w:val="none" w:sz="0" w:space="0" w:color="auto"/>
        <w:bottom w:val="none" w:sz="0" w:space="0" w:color="auto"/>
        <w:right w:val="none" w:sz="0" w:space="0" w:color="auto"/>
      </w:divBdr>
    </w:div>
    <w:div w:id="1839810342">
      <w:bodyDiv w:val="1"/>
      <w:marLeft w:val="0"/>
      <w:marRight w:val="0"/>
      <w:marTop w:val="0"/>
      <w:marBottom w:val="0"/>
      <w:divBdr>
        <w:top w:val="none" w:sz="0" w:space="0" w:color="auto"/>
        <w:left w:val="none" w:sz="0" w:space="0" w:color="auto"/>
        <w:bottom w:val="none" w:sz="0" w:space="0" w:color="auto"/>
        <w:right w:val="none" w:sz="0" w:space="0" w:color="auto"/>
      </w:divBdr>
    </w:div>
    <w:div w:id="1840460021">
      <w:bodyDiv w:val="1"/>
      <w:marLeft w:val="0"/>
      <w:marRight w:val="0"/>
      <w:marTop w:val="0"/>
      <w:marBottom w:val="0"/>
      <w:divBdr>
        <w:top w:val="none" w:sz="0" w:space="0" w:color="auto"/>
        <w:left w:val="none" w:sz="0" w:space="0" w:color="auto"/>
        <w:bottom w:val="none" w:sz="0" w:space="0" w:color="auto"/>
        <w:right w:val="none" w:sz="0" w:space="0" w:color="auto"/>
      </w:divBdr>
    </w:div>
    <w:div w:id="1841003357">
      <w:bodyDiv w:val="1"/>
      <w:marLeft w:val="0"/>
      <w:marRight w:val="0"/>
      <w:marTop w:val="0"/>
      <w:marBottom w:val="0"/>
      <w:divBdr>
        <w:top w:val="none" w:sz="0" w:space="0" w:color="auto"/>
        <w:left w:val="none" w:sz="0" w:space="0" w:color="auto"/>
        <w:bottom w:val="none" w:sz="0" w:space="0" w:color="auto"/>
        <w:right w:val="none" w:sz="0" w:space="0" w:color="auto"/>
      </w:divBdr>
    </w:div>
    <w:div w:id="1844473866">
      <w:bodyDiv w:val="1"/>
      <w:marLeft w:val="0"/>
      <w:marRight w:val="0"/>
      <w:marTop w:val="0"/>
      <w:marBottom w:val="0"/>
      <w:divBdr>
        <w:top w:val="none" w:sz="0" w:space="0" w:color="auto"/>
        <w:left w:val="none" w:sz="0" w:space="0" w:color="auto"/>
        <w:bottom w:val="none" w:sz="0" w:space="0" w:color="auto"/>
        <w:right w:val="none" w:sz="0" w:space="0" w:color="auto"/>
      </w:divBdr>
    </w:div>
    <w:div w:id="1845048964">
      <w:bodyDiv w:val="1"/>
      <w:marLeft w:val="0"/>
      <w:marRight w:val="0"/>
      <w:marTop w:val="0"/>
      <w:marBottom w:val="0"/>
      <w:divBdr>
        <w:top w:val="none" w:sz="0" w:space="0" w:color="auto"/>
        <w:left w:val="none" w:sz="0" w:space="0" w:color="auto"/>
        <w:bottom w:val="none" w:sz="0" w:space="0" w:color="auto"/>
        <w:right w:val="none" w:sz="0" w:space="0" w:color="auto"/>
      </w:divBdr>
    </w:div>
    <w:div w:id="1852792973">
      <w:bodyDiv w:val="1"/>
      <w:marLeft w:val="0"/>
      <w:marRight w:val="0"/>
      <w:marTop w:val="0"/>
      <w:marBottom w:val="0"/>
      <w:divBdr>
        <w:top w:val="none" w:sz="0" w:space="0" w:color="auto"/>
        <w:left w:val="none" w:sz="0" w:space="0" w:color="auto"/>
        <w:bottom w:val="none" w:sz="0" w:space="0" w:color="auto"/>
        <w:right w:val="none" w:sz="0" w:space="0" w:color="auto"/>
      </w:divBdr>
    </w:div>
    <w:div w:id="1854420866">
      <w:bodyDiv w:val="1"/>
      <w:marLeft w:val="0"/>
      <w:marRight w:val="0"/>
      <w:marTop w:val="0"/>
      <w:marBottom w:val="0"/>
      <w:divBdr>
        <w:top w:val="none" w:sz="0" w:space="0" w:color="auto"/>
        <w:left w:val="none" w:sz="0" w:space="0" w:color="auto"/>
        <w:bottom w:val="none" w:sz="0" w:space="0" w:color="auto"/>
        <w:right w:val="none" w:sz="0" w:space="0" w:color="auto"/>
      </w:divBdr>
      <w:divsChild>
        <w:div w:id="835533994">
          <w:marLeft w:val="0"/>
          <w:marRight w:val="0"/>
          <w:marTop w:val="0"/>
          <w:marBottom w:val="0"/>
          <w:divBdr>
            <w:top w:val="none" w:sz="0" w:space="0" w:color="auto"/>
            <w:left w:val="none" w:sz="0" w:space="0" w:color="auto"/>
            <w:bottom w:val="none" w:sz="0" w:space="0" w:color="auto"/>
            <w:right w:val="none" w:sz="0" w:space="0" w:color="auto"/>
          </w:divBdr>
        </w:div>
      </w:divsChild>
    </w:div>
    <w:div w:id="1855874898">
      <w:bodyDiv w:val="1"/>
      <w:marLeft w:val="0"/>
      <w:marRight w:val="0"/>
      <w:marTop w:val="0"/>
      <w:marBottom w:val="0"/>
      <w:divBdr>
        <w:top w:val="none" w:sz="0" w:space="0" w:color="auto"/>
        <w:left w:val="none" w:sz="0" w:space="0" w:color="auto"/>
        <w:bottom w:val="none" w:sz="0" w:space="0" w:color="auto"/>
        <w:right w:val="none" w:sz="0" w:space="0" w:color="auto"/>
      </w:divBdr>
    </w:div>
    <w:div w:id="1856456487">
      <w:bodyDiv w:val="1"/>
      <w:marLeft w:val="0"/>
      <w:marRight w:val="0"/>
      <w:marTop w:val="0"/>
      <w:marBottom w:val="0"/>
      <w:divBdr>
        <w:top w:val="none" w:sz="0" w:space="0" w:color="auto"/>
        <w:left w:val="none" w:sz="0" w:space="0" w:color="auto"/>
        <w:bottom w:val="none" w:sz="0" w:space="0" w:color="auto"/>
        <w:right w:val="none" w:sz="0" w:space="0" w:color="auto"/>
      </w:divBdr>
    </w:div>
    <w:div w:id="1857691170">
      <w:bodyDiv w:val="1"/>
      <w:marLeft w:val="0"/>
      <w:marRight w:val="0"/>
      <w:marTop w:val="0"/>
      <w:marBottom w:val="0"/>
      <w:divBdr>
        <w:top w:val="none" w:sz="0" w:space="0" w:color="auto"/>
        <w:left w:val="none" w:sz="0" w:space="0" w:color="auto"/>
        <w:bottom w:val="none" w:sz="0" w:space="0" w:color="auto"/>
        <w:right w:val="none" w:sz="0" w:space="0" w:color="auto"/>
      </w:divBdr>
      <w:divsChild>
        <w:div w:id="399447254">
          <w:marLeft w:val="0"/>
          <w:marRight w:val="0"/>
          <w:marTop w:val="0"/>
          <w:marBottom w:val="0"/>
          <w:divBdr>
            <w:top w:val="none" w:sz="0" w:space="0" w:color="auto"/>
            <w:left w:val="none" w:sz="0" w:space="0" w:color="auto"/>
            <w:bottom w:val="none" w:sz="0" w:space="0" w:color="auto"/>
            <w:right w:val="none" w:sz="0" w:space="0" w:color="auto"/>
          </w:divBdr>
        </w:div>
      </w:divsChild>
    </w:div>
    <w:div w:id="1857845178">
      <w:bodyDiv w:val="1"/>
      <w:marLeft w:val="0"/>
      <w:marRight w:val="0"/>
      <w:marTop w:val="0"/>
      <w:marBottom w:val="0"/>
      <w:divBdr>
        <w:top w:val="none" w:sz="0" w:space="0" w:color="auto"/>
        <w:left w:val="none" w:sz="0" w:space="0" w:color="auto"/>
        <w:bottom w:val="none" w:sz="0" w:space="0" w:color="auto"/>
        <w:right w:val="none" w:sz="0" w:space="0" w:color="auto"/>
      </w:divBdr>
    </w:div>
    <w:div w:id="1859926524">
      <w:bodyDiv w:val="1"/>
      <w:marLeft w:val="0"/>
      <w:marRight w:val="0"/>
      <w:marTop w:val="0"/>
      <w:marBottom w:val="0"/>
      <w:divBdr>
        <w:top w:val="none" w:sz="0" w:space="0" w:color="auto"/>
        <w:left w:val="none" w:sz="0" w:space="0" w:color="auto"/>
        <w:bottom w:val="none" w:sz="0" w:space="0" w:color="auto"/>
        <w:right w:val="none" w:sz="0" w:space="0" w:color="auto"/>
      </w:divBdr>
    </w:div>
    <w:div w:id="1862087486">
      <w:bodyDiv w:val="1"/>
      <w:marLeft w:val="0"/>
      <w:marRight w:val="0"/>
      <w:marTop w:val="0"/>
      <w:marBottom w:val="0"/>
      <w:divBdr>
        <w:top w:val="none" w:sz="0" w:space="0" w:color="auto"/>
        <w:left w:val="none" w:sz="0" w:space="0" w:color="auto"/>
        <w:bottom w:val="none" w:sz="0" w:space="0" w:color="auto"/>
        <w:right w:val="none" w:sz="0" w:space="0" w:color="auto"/>
      </w:divBdr>
    </w:div>
    <w:div w:id="1863519306">
      <w:bodyDiv w:val="1"/>
      <w:marLeft w:val="0"/>
      <w:marRight w:val="0"/>
      <w:marTop w:val="0"/>
      <w:marBottom w:val="0"/>
      <w:divBdr>
        <w:top w:val="none" w:sz="0" w:space="0" w:color="auto"/>
        <w:left w:val="none" w:sz="0" w:space="0" w:color="auto"/>
        <w:bottom w:val="none" w:sz="0" w:space="0" w:color="auto"/>
        <w:right w:val="none" w:sz="0" w:space="0" w:color="auto"/>
      </w:divBdr>
      <w:divsChild>
        <w:div w:id="421224801">
          <w:marLeft w:val="0"/>
          <w:marRight w:val="0"/>
          <w:marTop w:val="0"/>
          <w:marBottom w:val="0"/>
          <w:divBdr>
            <w:top w:val="none" w:sz="0" w:space="0" w:color="auto"/>
            <w:left w:val="none" w:sz="0" w:space="0" w:color="auto"/>
            <w:bottom w:val="none" w:sz="0" w:space="0" w:color="auto"/>
            <w:right w:val="none" w:sz="0" w:space="0" w:color="auto"/>
          </w:divBdr>
        </w:div>
      </w:divsChild>
    </w:div>
    <w:div w:id="1868326873">
      <w:bodyDiv w:val="1"/>
      <w:marLeft w:val="0"/>
      <w:marRight w:val="0"/>
      <w:marTop w:val="0"/>
      <w:marBottom w:val="0"/>
      <w:divBdr>
        <w:top w:val="none" w:sz="0" w:space="0" w:color="auto"/>
        <w:left w:val="none" w:sz="0" w:space="0" w:color="auto"/>
        <w:bottom w:val="none" w:sz="0" w:space="0" w:color="auto"/>
        <w:right w:val="none" w:sz="0" w:space="0" w:color="auto"/>
      </w:divBdr>
    </w:div>
    <w:div w:id="1870484308">
      <w:bodyDiv w:val="1"/>
      <w:marLeft w:val="0"/>
      <w:marRight w:val="0"/>
      <w:marTop w:val="0"/>
      <w:marBottom w:val="0"/>
      <w:divBdr>
        <w:top w:val="none" w:sz="0" w:space="0" w:color="auto"/>
        <w:left w:val="none" w:sz="0" w:space="0" w:color="auto"/>
        <w:bottom w:val="none" w:sz="0" w:space="0" w:color="auto"/>
        <w:right w:val="none" w:sz="0" w:space="0" w:color="auto"/>
      </w:divBdr>
    </w:div>
    <w:div w:id="1871912063">
      <w:bodyDiv w:val="1"/>
      <w:marLeft w:val="0"/>
      <w:marRight w:val="0"/>
      <w:marTop w:val="0"/>
      <w:marBottom w:val="0"/>
      <w:divBdr>
        <w:top w:val="none" w:sz="0" w:space="0" w:color="auto"/>
        <w:left w:val="none" w:sz="0" w:space="0" w:color="auto"/>
        <w:bottom w:val="none" w:sz="0" w:space="0" w:color="auto"/>
        <w:right w:val="none" w:sz="0" w:space="0" w:color="auto"/>
      </w:divBdr>
    </w:div>
    <w:div w:id="1872179969">
      <w:bodyDiv w:val="1"/>
      <w:marLeft w:val="0"/>
      <w:marRight w:val="0"/>
      <w:marTop w:val="0"/>
      <w:marBottom w:val="0"/>
      <w:divBdr>
        <w:top w:val="none" w:sz="0" w:space="0" w:color="auto"/>
        <w:left w:val="none" w:sz="0" w:space="0" w:color="auto"/>
        <w:bottom w:val="none" w:sz="0" w:space="0" w:color="auto"/>
        <w:right w:val="none" w:sz="0" w:space="0" w:color="auto"/>
      </w:divBdr>
    </w:div>
    <w:div w:id="1872958020">
      <w:bodyDiv w:val="1"/>
      <w:marLeft w:val="0"/>
      <w:marRight w:val="0"/>
      <w:marTop w:val="0"/>
      <w:marBottom w:val="0"/>
      <w:divBdr>
        <w:top w:val="none" w:sz="0" w:space="0" w:color="auto"/>
        <w:left w:val="none" w:sz="0" w:space="0" w:color="auto"/>
        <w:bottom w:val="none" w:sz="0" w:space="0" w:color="auto"/>
        <w:right w:val="none" w:sz="0" w:space="0" w:color="auto"/>
      </w:divBdr>
    </w:div>
    <w:div w:id="1877422827">
      <w:bodyDiv w:val="1"/>
      <w:marLeft w:val="0"/>
      <w:marRight w:val="0"/>
      <w:marTop w:val="0"/>
      <w:marBottom w:val="0"/>
      <w:divBdr>
        <w:top w:val="none" w:sz="0" w:space="0" w:color="auto"/>
        <w:left w:val="none" w:sz="0" w:space="0" w:color="auto"/>
        <w:bottom w:val="none" w:sz="0" w:space="0" w:color="auto"/>
        <w:right w:val="none" w:sz="0" w:space="0" w:color="auto"/>
      </w:divBdr>
      <w:divsChild>
        <w:div w:id="1184132967">
          <w:marLeft w:val="0"/>
          <w:marRight w:val="0"/>
          <w:marTop w:val="0"/>
          <w:marBottom w:val="0"/>
          <w:divBdr>
            <w:top w:val="none" w:sz="0" w:space="0" w:color="auto"/>
            <w:left w:val="none" w:sz="0" w:space="0" w:color="auto"/>
            <w:bottom w:val="none" w:sz="0" w:space="0" w:color="auto"/>
            <w:right w:val="none" w:sz="0" w:space="0" w:color="auto"/>
          </w:divBdr>
        </w:div>
      </w:divsChild>
    </w:div>
    <w:div w:id="1878200474">
      <w:bodyDiv w:val="1"/>
      <w:marLeft w:val="0"/>
      <w:marRight w:val="0"/>
      <w:marTop w:val="0"/>
      <w:marBottom w:val="0"/>
      <w:divBdr>
        <w:top w:val="none" w:sz="0" w:space="0" w:color="auto"/>
        <w:left w:val="none" w:sz="0" w:space="0" w:color="auto"/>
        <w:bottom w:val="none" w:sz="0" w:space="0" w:color="auto"/>
        <w:right w:val="none" w:sz="0" w:space="0" w:color="auto"/>
      </w:divBdr>
    </w:div>
    <w:div w:id="1880045080">
      <w:bodyDiv w:val="1"/>
      <w:marLeft w:val="0"/>
      <w:marRight w:val="0"/>
      <w:marTop w:val="0"/>
      <w:marBottom w:val="0"/>
      <w:divBdr>
        <w:top w:val="none" w:sz="0" w:space="0" w:color="auto"/>
        <w:left w:val="none" w:sz="0" w:space="0" w:color="auto"/>
        <w:bottom w:val="none" w:sz="0" w:space="0" w:color="auto"/>
        <w:right w:val="none" w:sz="0" w:space="0" w:color="auto"/>
      </w:divBdr>
    </w:div>
    <w:div w:id="1882937133">
      <w:bodyDiv w:val="1"/>
      <w:marLeft w:val="0"/>
      <w:marRight w:val="0"/>
      <w:marTop w:val="0"/>
      <w:marBottom w:val="0"/>
      <w:divBdr>
        <w:top w:val="none" w:sz="0" w:space="0" w:color="auto"/>
        <w:left w:val="none" w:sz="0" w:space="0" w:color="auto"/>
        <w:bottom w:val="none" w:sz="0" w:space="0" w:color="auto"/>
        <w:right w:val="none" w:sz="0" w:space="0" w:color="auto"/>
      </w:divBdr>
    </w:div>
    <w:div w:id="1885749100">
      <w:bodyDiv w:val="1"/>
      <w:marLeft w:val="0"/>
      <w:marRight w:val="0"/>
      <w:marTop w:val="0"/>
      <w:marBottom w:val="0"/>
      <w:divBdr>
        <w:top w:val="none" w:sz="0" w:space="0" w:color="auto"/>
        <w:left w:val="none" w:sz="0" w:space="0" w:color="auto"/>
        <w:bottom w:val="none" w:sz="0" w:space="0" w:color="auto"/>
        <w:right w:val="none" w:sz="0" w:space="0" w:color="auto"/>
      </w:divBdr>
    </w:div>
    <w:div w:id="1890192140">
      <w:bodyDiv w:val="1"/>
      <w:marLeft w:val="0"/>
      <w:marRight w:val="0"/>
      <w:marTop w:val="0"/>
      <w:marBottom w:val="0"/>
      <w:divBdr>
        <w:top w:val="none" w:sz="0" w:space="0" w:color="auto"/>
        <w:left w:val="none" w:sz="0" w:space="0" w:color="auto"/>
        <w:bottom w:val="none" w:sz="0" w:space="0" w:color="auto"/>
        <w:right w:val="none" w:sz="0" w:space="0" w:color="auto"/>
      </w:divBdr>
    </w:div>
    <w:div w:id="1892232291">
      <w:bodyDiv w:val="1"/>
      <w:marLeft w:val="0"/>
      <w:marRight w:val="0"/>
      <w:marTop w:val="0"/>
      <w:marBottom w:val="0"/>
      <w:divBdr>
        <w:top w:val="none" w:sz="0" w:space="0" w:color="auto"/>
        <w:left w:val="none" w:sz="0" w:space="0" w:color="auto"/>
        <w:bottom w:val="none" w:sz="0" w:space="0" w:color="auto"/>
        <w:right w:val="none" w:sz="0" w:space="0" w:color="auto"/>
      </w:divBdr>
    </w:div>
    <w:div w:id="1894343229">
      <w:bodyDiv w:val="1"/>
      <w:marLeft w:val="0"/>
      <w:marRight w:val="0"/>
      <w:marTop w:val="0"/>
      <w:marBottom w:val="0"/>
      <w:divBdr>
        <w:top w:val="none" w:sz="0" w:space="0" w:color="auto"/>
        <w:left w:val="none" w:sz="0" w:space="0" w:color="auto"/>
        <w:bottom w:val="none" w:sz="0" w:space="0" w:color="auto"/>
        <w:right w:val="none" w:sz="0" w:space="0" w:color="auto"/>
      </w:divBdr>
    </w:div>
    <w:div w:id="1895198211">
      <w:bodyDiv w:val="1"/>
      <w:marLeft w:val="0"/>
      <w:marRight w:val="0"/>
      <w:marTop w:val="0"/>
      <w:marBottom w:val="0"/>
      <w:divBdr>
        <w:top w:val="none" w:sz="0" w:space="0" w:color="auto"/>
        <w:left w:val="none" w:sz="0" w:space="0" w:color="auto"/>
        <w:bottom w:val="none" w:sz="0" w:space="0" w:color="auto"/>
        <w:right w:val="none" w:sz="0" w:space="0" w:color="auto"/>
      </w:divBdr>
    </w:div>
    <w:div w:id="1895315513">
      <w:bodyDiv w:val="1"/>
      <w:marLeft w:val="0"/>
      <w:marRight w:val="0"/>
      <w:marTop w:val="0"/>
      <w:marBottom w:val="0"/>
      <w:divBdr>
        <w:top w:val="none" w:sz="0" w:space="0" w:color="auto"/>
        <w:left w:val="none" w:sz="0" w:space="0" w:color="auto"/>
        <w:bottom w:val="none" w:sz="0" w:space="0" w:color="auto"/>
        <w:right w:val="none" w:sz="0" w:space="0" w:color="auto"/>
      </w:divBdr>
    </w:div>
    <w:div w:id="1896161363">
      <w:bodyDiv w:val="1"/>
      <w:marLeft w:val="0"/>
      <w:marRight w:val="0"/>
      <w:marTop w:val="0"/>
      <w:marBottom w:val="0"/>
      <w:divBdr>
        <w:top w:val="none" w:sz="0" w:space="0" w:color="auto"/>
        <w:left w:val="none" w:sz="0" w:space="0" w:color="auto"/>
        <w:bottom w:val="none" w:sz="0" w:space="0" w:color="auto"/>
        <w:right w:val="none" w:sz="0" w:space="0" w:color="auto"/>
      </w:divBdr>
    </w:div>
    <w:div w:id="1896504076">
      <w:bodyDiv w:val="1"/>
      <w:marLeft w:val="0"/>
      <w:marRight w:val="0"/>
      <w:marTop w:val="0"/>
      <w:marBottom w:val="0"/>
      <w:divBdr>
        <w:top w:val="none" w:sz="0" w:space="0" w:color="auto"/>
        <w:left w:val="none" w:sz="0" w:space="0" w:color="auto"/>
        <w:bottom w:val="none" w:sz="0" w:space="0" w:color="auto"/>
        <w:right w:val="none" w:sz="0" w:space="0" w:color="auto"/>
      </w:divBdr>
    </w:div>
    <w:div w:id="1898008899">
      <w:bodyDiv w:val="1"/>
      <w:marLeft w:val="0"/>
      <w:marRight w:val="0"/>
      <w:marTop w:val="0"/>
      <w:marBottom w:val="0"/>
      <w:divBdr>
        <w:top w:val="none" w:sz="0" w:space="0" w:color="auto"/>
        <w:left w:val="none" w:sz="0" w:space="0" w:color="auto"/>
        <w:bottom w:val="none" w:sz="0" w:space="0" w:color="auto"/>
        <w:right w:val="none" w:sz="0" w:space="0" w:color="auto"/>
      </w:divBdr>
    </w:div>
    <w:div w:id="1898666346">
      <w:bodyDiv w:val="1"/>
      <w:marLeft w:val="0"/>
      <w:marRight w:val="0"/>
      <w:marTop w:val="0"/>
      <w:marBottom w:val="0"/>
      <w:divBdr>
        <w:top w:val="none" w:sz="0" w:space="0" w:color="auto"/>
        <w:left w:val="none" w:sz="0" w:space="0" w:color="auto"/>
        <w:bottom w:val="none" w:sz="0" w:space="0" w:color="auto"/>
        <w:right w:val="none" w:sz="0" w:space="0" w:color="auto"/>
      </w:divBdr>
    </w:div>
    <w:div w:id="1899391705">
      <w:bodyDiv w:val="1"/>
      <w:marLeft w:val="0"/>
      <w:marRight w:val="0"/>
      <w:marTop w:val="0"/>
      <w:marBottom w:val="0"/>
      <w:divBdr>
        <w:top w:val="none" w:sz="0" w:space="0" w:color="auto"/>
        <w:left w:val="none" w:sz="0" w:space="0" w:color="auto"/>
        <w:bottom w:val="none" w:sz="0" w:space="0" w:color="auto"/>
        <w:right w:val="none" w:sz="0" w:space="0" w:color="auto"/>
      </w:divBdr>
    </w:div>
    <w:div w:id="1899586842">
      <w:bodyDiv w:val="1"/>
      <w:marLeft w:val="0"/>
      <w:marRight w:val="0"/>
      <w:marTop w:val="0"/>
      <w:marBottom w:val="0"/>
      <w:divBdr>
        <w:top w:val="none" w:sz="0" w:space="0" w:color="auto"/>
        <w:left w:val="none" w:sz="0" w:space="0" w:color="auto"/>
        <w:bottom w:val="none" w:sz="0" w:space="0" w:color="auto"/>
        <w:right w:val="none" w:sz="0" w:space="0" w:color="auto"/>
      </w:divBdr>
    </w:div>
    <w:div w:id="1914076917">
      <w:bodyDiv w:val="1"/>
      <w:marLeft w:val="0"/>
      <w:marRight w:val="0"/>
      <w:marTop w:val="0"/>
      <w:marBottom w:val="0"/>
      <w:divBdr>
        <w:top w:val="none" w:sz="0" w:space="0" w:color="auto"/>
        <w:left w:val="none" w:sz="0" w:space="0" w:color="auto"/>
        <w:bottom w:val="none" w:sz="0" w:space="0" w:color="auto"/>
        <w:right w:val="none" w:sz="0" w:space="0" w:color="auto"/>
      </w:divBdr>
    </w:div>
    <w:div w:id="1916623420">
      <w:bodyDiv w:val="1"/>
      <w:marLeft w:val="0"/>
      <w:marRight w:val="0"/>
      <w:marTop w:val="0"/>
      <w:marBottom w:val="0"/>
      <w:divBdr>
        <w:top w:val="none" w:sz="0" w:space="0" w:color="auto"/>
        <w:left w:val="none" w:sz="0" w:space="0" w:color="auto"/>
        <w:bottom w:val="none" w:sz="0" w:space="0" w:color="auto"/>
        <w:right w:val="none" w:sz="0" w:space="0" w:color="auto"/>
      </w:divBdr>
    </w:div>
    <w:div w:id="1917205071">
      <w:bodyDiv w:val="1"/>
      <w:marLeft w:val="0"/>
      <w:marRight w:val="0"/>
      <w:marTop w:val="0"/>
      <w:marBottom w:val="0"/>
      <w:divBdr>
        <w:top w:val="none" w:sz="0" w:space="0" w:color="auto"/>
        <w:left w:val="none" w:sz="0" w:space="0" w:color="auto"/>
        <w:bottom w:val="none" w:sz="0" w:space="0" w:color="auto"/>
        <w:right w:val="none" w:sz="0" w:space="0" w:color="auto"/>
      </w:divBdr>
    </w:div>
    <w:div w:id="1921403112">
      <w:bodyDiv w:val="1"/>
      <w:marLeft w:val="0"/>
      <w:marRight w:val="0"/>
      <w:marTop w:val="0"/>
      <w:marBottom w:val="0"/>
      <w:divBdr>
        <w:top w:val="none" w:sz="0" w:space="0" w:color="auto"/>
        <w:left w:val="none" w:sz="0" w:space="0" w:color="auto"/>
        <w:bottom w:val="none" w:sz="0" w:space="0" w:color="auto"/>
        <w:right w:val="none" w:sz="0" w:space="0" w:color="auto"/>
      </w:divBdr>
    </w:div>
    <w:div w:id="1922132775">
      <w:bodyDiv w:val="1"/>
      <w:marLeft w:val="0"/>
      <w:marRight w:val="0"/>
      <w:marTop w:val="0"/>
      <w:marBottom w:val="0"/>
      <w:divBdr>
        <w:top w:val="none" w:sz="0" w:space="0" w:color="auto"/>
        <w:left w:val="none" w:sz="0" w:space="0" w:color="auto"/>
        <w:bottom w:val="none" w:sz="0" w:space="0" w:color="auto"/>
        <w:right w:val="none" w:sz="0" w:space="0" w:color="auto"/>
      </w:divBdr>
    </w:div>
    <w:div w:id="1924142777">
      <w:bodyDiv w:val="1"/>
      <w:marLeft w:val="0"/>
      <w:marRight w:val="0"/>
      <w:marTop w:val="0"/>
      <w:marBottom w:val="0"/>
      <w:divBdr>
        <w:top w:val="none" w:sz="0" w:space="0" w:color="auto"/>
        <w:left w:val="none" w:sz="0" w:space="0" w:color="auto"/>
        <w:bottom w:val="none" w:sz="0" w:space="0" w:color="auto"/>
        <w:right w:val="none" w:sz="0" w:space="0" w:color="auto"/>
      </w:divBdr>
    </w:div>
    <w:div w:id="1924681378">
      <w:bodyDiv w:val="1"/>
      <w:marLeft w:val="0"/>
      <w:marRight w:val="0"/>
      <w:marTop w:val="0"/>
      <w:marBottom w:val="0"/>
      <w:divBdr>
        <w:top w:val="none" w:sz="0" w:space="0" w:color="auto"/>
        <w:left w:val="none" w:sz="0" w:space="0" w:color="auto"/>
        <w:bottom w:val="none" w:sz="0" w:space="0" w:color="auto"/>
        <w:right w:val="none" w:sz="0" w:space="0" w:color="auto"/>
      </w:divBdr>
    </w:div>
    <w:div w:id="1931044246">
      <w:bodyDiv w:val="1"/>
      <w:marLeft w:val="0"/>
      <w:marRight w:val="0"/>
      <w:marTop w:val="0"/>
      <w:marBottom w:val="0"/>
      <w:divBdr>
        <w:top w:val="none" w:sz="0" w:space="0" w:color="auto"/>
        <w:left w:val="none" w:sz="0" w:space="0" w:color="auto"/>
        <w:bottom w:val="none" w:sz="0" w:space="0" w:color="auto"/>
        <w:right w:val="none" w:sz="0" w:space="0" w:color="auto"/>
      </w:divBdr>
    </w:div>
    <w:div w:id="1935357773">
      <w:bodyDiv w:val="1"/>
      <w:marLeft w:val="0"/>
      <w:marRight w:val="0"/>
      <w:marTop w:val="0"/>
      <w:marBottom w:val="0"/>
      <w:divBdr>
        <w:top w:val="none" w:sz="0" w:space="0" w:color="auto"/>
        <w:left w:val="none" w:sz="0" w:space="0" w:color="auto"/>
        <w:bottom w:val="none" w:sz="0" w:space="0" w:color="auto"/>
        <w:right w:val="none" w:sz="0" w:space="0" w:color="auto"/>
      </w:divBdr>
    </w:div>
    <w:div w:id="1937517858">
      <w:bodyDiv w:val="1"/>
      <w:marLeft w:val="0"/>
      <w:marRight w:val="0"/>
      <w:marTop w:val="0"/>
      <w:marBottom w:val="0"/>
      <w:divBdr>
        <w:top w:val="none" w:sz="0" w:space="0" w:color="auto"/>
        <w:left w:val="none" w:sz="0" w:space="0" w:color="auto"/>
        <w:bottom w:val="none" w:sz="0" w:space="0" w:color="auto"/>
        <w:right w:val="none" w:sz="0" w:space="0" w:color="auto"/>
      </w:divBdr>
    </w:div>
    <w:div w:id="1940941175">
      <w:bodyDiv w:val="1"/>
      <w:marLeft w:val="0"/>
      <w:marRight w:val="0"/>
      <w:marTop w:val="0"/>
      <w:marBottom w:val="0"/>
      <w:divBdr>
        <w:top w:val="none" w:sz="0" w:space="0" w:color="auto"/>
        <w:left w:val="none" w:sz="0" w:space="0" w:color="auto"/>
        <w:bottom w:val="none" w:sz="0" w:space="0" w:color="auto"/>
        <w:right w:val="none" w:sz="0" w:space="0" w:color="auto"/>
      </w:divBdr>
    </w:div>
    <w:div w:id="1944612146">
      <w:bodyDiv w:val="1"/>
      <w:marLeft w:val="0"/>
      <w:marRight w:val="0"/>
      <w:marTop w:val="0"/>
      <w:marBottom w:val="0"/>
      <w:divBdr>
        <w:top w:val="none" w:sz="0" w:space="0" w:color="auto"/>
        <w:left w:val="none" w:sz="0" w:space="0" w:color="auto"/>
        <w:bottom w:val="none" w:sz="0" w:space="0" w:color="auto"/>
        <w:right w:val="none" w:sz="0" w:space="0" w:color="auto"/>
      </w:divBdr>
    </w:div>
    <w:div w:id="1945460934">
      <w:bodyDiv w:val="1"/>
      <w:marLeft w:val="0"/>
      <w:marRight w:val="0"/>
      <w:marTop w:val="0"/>
      <w:marBottom w:val="0"/>
      <w:divBdr>
        <w:top w:val="none" w:sz="0" w:space="0" w:color="auto"/>
        <w:left w:val="none" w:sz="0" w:space="0" w:color="auto"/>
        <w:bottom w:val="none" w:sz="0" w:space="0" w:color="auto"/>
        <w:right w:val="none" w:sz="0" w:space="0" w:color="auto"/>
      </w:divBdr>
      <w:divsChild>
        <w:div w:id="1642881064">
          <w:marLeft w:val="0"/>
          <w:marRight w:val="0"/>
          <w:marTop w:val="0"/>
          <w:marBottom w:val="0"/>
          <w:divBdr>
            <w:top w:val="none" w:sz="0" w:space="0" w:color="auto"/>
            <w:left w:val="none" w:sz="0" w:space="0" w:color="auto"/>
            <w:bottom w:val="none" w:sz="0" w:space="0" w:color="auto"/>
            <w:right w:val="none" w:sz="0" w:space="0" w:color="auto"/>
          </w:divBdr>
        </w:div>
      </w:divsChild>
    </w:div>
    <w:div w:id="1948921849">
      <w:bodyDiv w:val="1"/>
      <w:marLeft w:val="0"/>
      <w:marRight w:val="0"/>
      <w:marTop w:val="0"/>
      <w:marBottom w:val="0"/>
      <w:divBdr>
        <w:top w:val="none" w:sz="0" w:space="0" w:color="auto"/>
        <w:left w:val="none" w:sz="0" w:space="0" w:color="auto"/>
        <w:bottom w:val="none" w:sz="0" w:space="0" w:color="auto"/>
        <w:right w:val="none" w:sz="0" w:space="0" w:color="auto"/>
      </w:divBdr>
    </w:div>
    <w:div w:id="1951888238">
      <w:bodyDiv w:val="1"/>
      <w:marLeft w:val="0"/>
      <w:marRight w:val="0"/>
      <w:marTop w:val="0"/>
      <w:marBottom w:val="0"/>
      <w:divBdr>
        <w:top w:val="none" w:sz="0" w:space="0" w:color="auto"/>
        <w:left w:val="none" w:sz="0" w:space="0" w:color="auto"/>
        <w:bottom w:val="none" w:sz="0" w:space="0" w:color="auto"/>
        <w:right w:val="none" w:sz="0" w:space="0" w:color="auto"/>
      </w:divBdr>
    </w:div>
    <w:div w:id="1952124180">
      <w:bodyDiv w:val="1"/>
      <w:marLeft w:val="0"/>
      <w:marRight w:val="0"/>
      <w:marTop w:val="0"/>
      <w:marBottom w:val="0"/>
      <w:divBdr>
        <w:top w:val="none" w:sz="0" w:space="0" w:color="auto"/>
        <w:left w:val="none" w:sz="0" w:space="0" w:color="auto"/>
        <w:bottom w:val="none" w:sz="0" w:space="0" w:color="auto"/>
        <w:right w:val="none" w:sz="0" w:space="0" w:color="auto"/>
      </w:divBdr>
    </w:div>
    <w:div w:id="1952780875">
      <w:bodyDiv w:val="1"/>
      <w:marLeft w:val="0"/>
      <w:marRight w:val="0"/>
      <w:marTop w:val="0"/>
      <w:marBottom w:val="0"/>
      <w:divBdr>
        <w:top w:val="none" w:sz="0" w:space="0" w:color="auto"/>
        <w:left w:val="none" w:sz="0" w:space="0" w:color="auto"/>
        <w:bottom w:val="none" w:sz="0" w:space="0" w:color="auto"/>
        <w:right w:val="none" w:sz="0" w:space="0" w:color="auto"/>
      </w:divBdr>
      <w:divsChild>
        <w:div w:id="1108425218">
          <w:marLeft w:val="0"/>
          <w:marRight w:val="0"/>
          <w:marTop w:val="0"/>
          <w:marBottom w:val="0"/>
          <w:divBdr>
            <w:top w:val="none" w:sz="0" w:space="0" w:color="auto"/>
            <w:left w:val="none" w:sz="0" w:space="0" w:color="auto"/>
            <w:bottom w:val="none" w:sz="0" w:space="0" w:color="auto"/>
            <w:right w:val="none" w:sz="0" w:space="0" w:color="auto"/>
          </w:divBdr>
        </w:div>
      </w:divsChild>
    </w:div>
    <w:div w:id="1954164892">
      <w:bodyDiv w:val="1"/>
      <w:marLeft w:val="0"/>
      <w:marRight w:val="0"/>
      <w:marTop w:val="0"/>
      <w:marBottom w:val="0"/>
      <w:divBdr>
        <w:top w:val="none" w:sz="0" w:space="0" w:color="auto"/>
        <w:left w:val="none" w:sz="0" w:space="0" w:color="auto"/>
        <w:bottom w:val="none" w:sz="0" w:space="0" w:color="auto"/>
        <w:right w:val="none" w:sz="0" w:space="0" w:color="auto"/>
      </w:divBdr>
    </w:div>
    <w:div w:id="1955595723">
      <w:bodyDiv w:val="1"/>
      <w:marLeft w:val="0"/>
      <w:marRight w:val="0"/>
      <w:marTop w:val="0"/>
      <w:marBottom w:val="0"/>
      <w:divBdr>
        <w:top w:val="none" w:sz="0" w:space="0" w:color="auto"/>
        <w:left w:val="none" w:sz="0" w:space="0" w:color="auto"/>
        <w:bottom w:val="none" w:sz="0" w:space="0" w:color="auto"/>
        <w:right w:val="none" w:sz="0" w:space="0" w:color="auto"/>
      </w:divBdr>
    </w:div>
    <w:div w:id="1956402441">
      <w:bodyDiv w:val="1"/>
      <w:marLeft w:val="0"/>
      <w:marRight w:val="0"/>
      <w:marTop w:val="0"/>
      <w:marBottom w:val="0"/>
      <w:divBdr>
        <w:top w:val="none" w:sz="0" w:space="0" w:color="auto"/>
        <w:left w:val="none" w:sz="0" w:space="0" w:color="auto"/>
        <w:bottom w:val="none" w:sz="0" w:space="0" w:color="auto"/>
        <w:right w:val="none" w:sz="0" w:space="0" w:color="auto"/>
      </w:divBdr>
    </w:div>
    <w:div w:id="1956985223">
      <w:bodyDiv w:val="1"/>
      <w:marLeft w:val="0"/>
      <w:marRight w:val="0"/>
      <w:marTop w:val="0"/>
      <w:marBottom w:val="0"/>
      <w:divBdr>
        <w:top w:val="none" w:sz="0" w:space="0" w:color="auto"/>
        <w:left w:val="none" w:sz="0" w:space="0" w:color="auto"/>
        <w:bottom w:val="none" w:sz="0" w:space="0" w:color="auto"/>
        <w:right w:val="none" w:sz="0" w:space="0" w:color="auto"/>
      </w:divBdr>
    </w:div>
    <w:div w:id="1958951566">
      <w:bodyDiv w:val="1"/>
      <w:marLeft w:val="0"/>
      <w:marRight w:val="0"/>
      <w:marTop w:val="0"/>
      <w:marBottom w:val="0"/>
      <w:divBdr>
        <w:top w:val="none" w:sz="0" w:space="0" w:color="auto"/>
        <w:left w:val="none" w:sz="0" w:space="0" w:color="auto"/>
        <w:bottom w:val="none" w:sz="0" w:space="0" w:color="auto"/>
        <w:right w:val="none" w:sz="0" w:space="0" w:color="auto"/>
      </w:divBdr>
      <w:divsChild>
        <w:div w:id="1130196">
          <w:marLeft w:val="0"/>
          <w:marRight w:val="0"/>
          <w:marTop w:val="0"/>
          <w:marBottom w:val="0"/>
          <w:divBdr>
            <w:top w:val="none" w:sz="0" w:space="0" w:color="auto"/>
            <w:left w:val="none" w:sz="0" w:space="0" w:color="auto"/>
            <w:bottom w:val="none" w:sz="0" w:space="0" w:color="auto"/>
            <w:right w:val="none" w:sz="0" w:space="0" w:color="auto"/>
          </w:divBdr>
        </w:div>
      </w:divsChild>
    </w:div>
    <w:div w:id="1962955092">
      <w:bodyDiv w:val="1"/>
      <w:marLeft w:val="0"/>
      <w:marRight w:val="0"/>
      <w:marTop w:val="0"/>
      <w:marBottom w:val="0"/>
      <w:divBdr>
        <w:top w:val="none" w:sz="0" w:space="0" w:color="auto"/>
        <w:left w:val="none" w:sz="0" w:space="0" w:color="auto"/>
        <w:bottom w:val="none" w:sz="0" w:space="0" w:color="auto"/>
        <w:right w:val="none" w:sz="0" w:space="0" w:color="auto"/>
      </w:divBdr>
    </w:div>
    <w:div w:id="1979415651">
      <w:bodyDiv w:val="1"/>
      <w:marLeft w:val="0"/>
      <w:marRight w:val="0"/>
      <w:marTop w:val="0"/>
      <w:marBottom w:val="0"/>
      <w:divBdr>
        <w:top w:val="none" w:sz="0" w:space="0" w:color="auto"/>
        <w:left w:val="none" w:sz="0" w:space="0" w:color="auto"/>
        <w:bottom w:val="none" w:sz="0" w:space="0" w:color="auto"/>
        <w:right w:val="none" w:sz="0" w:space="0" w:color="auto"/>
      </w:divBdr>
    </w:div>
    <w:div w:id="1983464979">
      <w:bodyDiv w:val="1"/>
      <w:marLeft w:val="0"/>
      <w:marRight w:val="0"/>
      <w:marTop w:val="0"/>
      <w:marBottom w:val="0"/>
      <w:divBdr>
        <w:top w:val="none" w:sz="0" w:space="0" w:color="auto"/>
        <w:left w:val="none" w:sz="0" w:space="0" w:color="auto"/>
        <w:bottom w:val="none" w:sz="0" w:space="0" w:color="auto"/>
        <w:right w:val="none" w:sz="0" w:space="0" w:color="auto"/>
      </w:divBdr>
    </w:div>
    <w:div w:id="1983846978">
      <w:bodyDiv w:val="1"/>
      <w:marLeft w:val="0"/>
      <w:marRight w:val="0"/>
      <w:marTop w:val="0"/>
      <w:marBottom w:val="0"/>
      <w:divBdr>
        <w:top w:val="none" w:sz="0" w:space="0" w:color="auto"/>
        <w:left w:val="none" w:sz="0" w:space="0" w:color="auto"/>
        <w:bottom w:val="none" w:sz="0" w:space="0" w:color="auto"/>
        <w:right w:val="none" w:sz="0" w:space="0" w:color="auto"/>
      </w:divBdr>
      <w:divsChild>
        <w:div w:id="517622462">
          <w:marLeft w:val="0"/>
          <w:marRight w:val="0"/>
          <w:marTop w:val="0"/>
          <w:marBottom w:val="0"/>
          <w:divBdr>
            <w:top w:val="none" w:sz="0" w:space="0" w:color="auto"/>
            <w:left w:val="none" w:sz="0" w:space="0" w:color="auto"/>
            <w:bottom w:val="none" w:sz="0" w:space="0" w:color="auto"/>
            <w:right w:val="none" w:sz="0" w:space="0" w:color="auto"/>
          </w:divBdr>
        </w:div>
      </w:divsChild>
    </w:div>
    <w:div w:id="1987007429">
      <w:bodyDiv w:val="1"/>
      <w:marLeft w:val="0"/>
      <w:marRight w:val="0"/>
      <w:marTop w:val="0"/>
      <w:marBottom w:val="0"/>
      <w:divBdr>
        <w:top w:val="none" w:sz="0" w:space="0" w:color="auto"/>
        <w:left w:val="none" w:sz="0" w:space="0" w:color="auto"/>
        <w:bottom w:val="none" w:sz="0" w:space="0" w:color="auto"/>
        <w:right w:val="none" w:sz="0" w:space="0" w:color="auto"/>
      </w:divBdr>
    </w:div>
    <w:div w:id="1995841261">
      <w:bodyDiv w:val="1"/>
      <w:marLeft w:val="0"/>
      <w:marRight w:val="0"/>
      <w:marTop w:val="0"/>
      <w:marBottom w:val="0"/>
      <w:divBdr>
        <w:top w:val="none" w:sz="0" w:space="0" w:color="auto"/>
        <w:left w:val="none" w:sz="0" w:space="0" w:color="auto"/>
        <w:bottom w:val="none" w:sz="0" w:space="0" w:color="auto"/>
        <w:right w:val="none" w:sz="0" w:space="0" w:color="auto"/>
      </w:divBdr>
    </w:div>
    <w:div w:id="1997221071">
      <w:bodyDiv w:val="1"/>
      <w:marLeft w:val="0"/>
      <w:marRight w:val="0"/>
      <w:marTop w:val="0"/>
      <w:marBottom w:val="0"/>
      <w:divBdr>
        <w:top w:val="none" w:sz="0" w:space="0" w:color="auto"/>
        <w:left w:val="none" w:sz="0" w:space="0" w:color="auto"/>
        <w:bottom w:val="none" w:sz="0" w:space="0" w:color="auto"/>
        <w:right w:val="none" w:sz="0" w:space="0" w:color="auto"/>
      </w:divBdr>
    </w:div>
    <w:div w:id="1999335117">
      <w:bodyDiv w:val="1"/>
      <w:marLeft w:val="0"/>
      <w:marRight w:val="0"/>
      <w:marTop w:val="0"/>
      <w:marBottom w:val="0"/>
      <w:divBdr>
        <w:top w:val="none" w:sz="0" w:space="0" w:color="auto"/>
        <w:left w:val="none" w:sz="0" w:space="0" w:color="auto"/>
        <w:bottom w:val="none" w:sz="0" w:space="0" w:color="auto"/>
        <w:right w:val="none" w:sz="0" w:space="0" w:color="auto"/>
      </w:divBdr>
    </w:div>
    <w:div w:id="2000621468">
      <w:bodyDiv w:val="1"/>
      <w:marLeft w:val="0"/>
      <w:marRight w:val="0"/>
      <w:marTop w:val="0"/>
      <w:marBottom w:val="0"/>
      <w:divBdr>
        <w:top w:val="none" w:sz="0" w:space="0" w:color="auto"/>
        <w:left w:val="none" w:sz="0" w:space="0" w:color="auto"/>
        <w:bottom w:val="none" w:sz="0" w:space="0" w:color="auto"/>
        <w:right w:val="none" w:sz="0" w:space="0" w:color="auto"/>
      </w:divBdr>
    </w:div>
    <w:div w:id="2004427137">
      <w:bodyDiv w:val="1"/>
      <w:marLeft w:val="0"/>
      <w:marRight w:val="0"/>
      <w:marTop w:val="0"/>
      <w:marBottom w:val="0"/>
      <w:divBdr>
        <w:top w:val="none" w:sz="0" w:space="0" w:color="auto"/>
        <w:left w:val="none" w:sz="0" w:space="0" w:color="auto"/>
        <w:bottom w:val="none" w:sz="0" w:space="0" w:color="auto"/>
        <w:right w:val="none" w:sz="0" w:space="0" w:color="auto"/>
      </w:divBdr>
    </w:div>
    <w:div w:id="2007518533">
      <w:bodyDiv w:val="1"/>
      <w:marLeft w:val="0"/>
      <w:marRight w:val="0"/>
      <w:marTop w:val="0"/>
      <w:marBottom w:val="0"/>
      <w:divBdr>
        <w:top w:val="none" w:sz="0" w:space="0" w:color="auto"/>
        <w:left w:val="none" w:sz="0" w:space="0" w:color="auto"/>
        <w:bottom w:val="none" w:sz="0" w:space="0" w:color="auto"/>
        <w:right w:val="none" w:sz="0" w:space="0" w:color="auto"/>
      </w:divBdr>
    </w:div>
    <w:div w:id="2007897906">
      <w:bodyDiv w:val="1"/>
      <w:marLeft w:val="0"/>
      <w:marRight w:val="0"/>
      <w:marTop w:val="0"/>
      <w:marBottom w:val="0"/>
      <w:divBdr>
        <w:top w:val="none" w:sz="0" w:space="0" w:color="auto"/>
        <w:left w:val="none" w:sz="0" w:space="0" w:color="auto"/>
        <w:bottom w:val="none" w:sz="0" w:space="0" w:color="auto"/>
        <w:right w:val="none" w:sz="0" w:space="0" w:color="auto"/>
      </w:divBdr>
    </w:div>
    <w:div w:id="2013675918">
      <w:bodyDiv w:val="1"/>
      <w:marLeft w:val="0"/>
      <w:marRight w:val="0"/>
      <w:marTop w:val="0"/>
      <w:marBottom w:val="0"/>
      <w:divBdr>
        <w:top w:val="none" w:sz="0" w:space="0" w:color="auto"/>
        <w:left w:val="none" w:sz="0" w:space="0" w:color="auto"/>
        <w:bottom w:val="none" w:sz="0" w:space="0" w:color="auto"/>
        <w:right w:val="none" w:sz="0" w:space="0" w:color="auto"/>
      </w:divBdr>
    </w:div>
    <w:div w:id="2021352508">
      <w:bodyDiv w:val="1"/>
      <w:marLeft w:val="0"/>
      <w:marRight w:val="0"/>
      <w:marTop w:val="0"/>
      <w:marBottom w:val="0"/>
      <w:divBdr>
        <w:top w:val="none" w:sz="0" w:space="0" w:color="auto"/>
        <w:left w:val="none" w:sz="0" w:space="0" w:color="auto"/>
        <w:bottom w:val="none" w:sz="0" w:space="0" w:color="auto"/>
        <w:right w:val="none" w:sz="0" w:space="0" w:color="auto"/>
      </w:divBdr>
    </w:div>
    <w:div w:id="2023044727">
      <w:bodyDiv w:val="1"/>
      <w:marLeft w:val="0"/>
      <w:marRight w:val="0"/>
      <w:marTop w:val="0"/>
      <w:marBottom w:val="0"/>
      <w:divBdr>
        <w:top w:val="none" w:sz="0" w:space="0" w:color="auto"/>
        <w:left w:val="none" w:sz="0" w:space="0" w:color="auto"/>
        <w:bottom w:val="none" w:sz="0" w:space="0" w:color="auto"/>
        <w:right w:val="none" w:sz="0" w:space="0" w:color="auto"/>
      </w:divBdr>
    </w:div>
    <w:div w:id="2023892491">
      <w:bodyDiv w:val="1"/>
      <w:marLeft w:val="0"/>
      <w:marRight w:val="0"/>
      <w:marTop w:val="0"/>
      <w:marBottom w:val="0"/>
      <w:divBdr>
        <w:top w:val="none" w:sz="0" w:space="0" w:color="auto"/>
        <w:left w:val="none" w:sz="0" w:space="0" w:color="auto"/>
        <w:bottom w:val="none" w:sz="0" w:space="0" w:color="auto"/>
        <w:right w:val="none" w:sz="0" w:space="0" w:color="auto"/>
      </w:divBdr>
    </w:div>
    <w:div w:id="2024547754">
      <w:bodyDiv w:val="1"/>
      <w:marLeft w:val="0"/>
      <w:marRight w:val="0"/>
      <w:marTop w:val="0"/>
      <w:marBottom w:val="0"/>
      <w:divBdr>
        <w:top w:val="none" w:sz="0" w:space="0" w:color="auto"/>
        <w:left w:val="none" w:sz="0" w:space="0" w:color="auto"/>
        <w:bottom w:val="none" w:sz="0" w:space="0" w:color="auto"/>
        <w:right w:val="none" w:sz="0" w:space="0" w:color="auto"/>
      </w:divBdr>
    </w:div>
    <w:div w:id="2026011953">
      <w:bodyDiv w:val="1"/>
      <w:marLeft w:val="0"/>
      <w:marRight w:val="0"/>
      <w:marTop w:val="0"/>
      <w:marBottom w:val="0"/>
      <w:divBdr>
        <w:top w:val="none" w:sz="0" w:space="0" w:color="auto"/>
        <w:left w:val="none" w:sz="0" w:space="0" w:color="auto"/>
        <w:bottom w:val="none" w:sz="0" w:space="0" w:color="auto"/>
        <w:right w:val="none" w:sz="0" w:space="0" w:color="auto"/>
      </w:divBdr>
    </w:div>
    <w:div w:id="2026710380">
      <w:bodyDiv w:val="1"/>
      <w:marLeft w:val="0"/>
      <w:marRight w:val="0"/>
      <w:marTop w:val="0"/>
      <w:marBottom w:val="0"/>
      <w:divBdr>
        <w:top w:val="none" w:sz="0" w:space="0" w:color="auto"/>
        <w:left w:val="none" w:sz="0" w:space="0" w:color="auto"/>
        <w:bottom w:val="none" w:sz="0" w:space="0" w:color="auto"/>
        <w:right w:val="none" w:sz="0" w:space="0" w:color="auto"/>
      </w:divBdr>
    </w:div>
    <w:div w:id="2037995866">
      <w:bodyDiv w:val="1"/>
      <w:marLeft w:val="0"/>
      <w:marRight w:val="0"/>
      <w:marTop w:val="0"/>
      <w:marBottom w:val="0"/>
      <w:divBdr>
        <w:top w:val="none" w:sz="0" w:space="0" w:color="auto"/>
        <w:left w:val="none" w:sz="0" w:space="0" w:color="auto"/>
        <w:bottom w:val="none" w:sz="0" w:space="0" w:color="auto"/>
        <w:right w:val="none" w:sz="0" w:space="0" w:color="auto"/>
      </w:divBdr>
    </w:div>
    <w:div w:id="2044941219">
      <w:bodyDiv w:val="1"/>
      <w:marLeft w:val="0"/>
      <w:marRight w:val="0"/>
      <w:marTop w:val="0"/>
      <w:marBottom w:val="0"/>
      <w:divBdr>
        <w:top w:val="none" w:sz="0" w:space="0" w:color="auto"/>
        <w:left w:val="none" w:sz="0" w:space="0" w:color="auto"/>
        <w:bottom w:val="none" w:sz="0" w:space="0" w:color="auto"/>
        <w:right w:val="none" w:sz="0" w:space="0" w:color="auto"/>
      </w:divBdr>
    </w:div>
    <w:div w:id="2047410647">
      <w:bodyDiv w:val="1"/>
      <w:marLeft w:val="0"/>
      <w:marRight w:val="0"/>
      <w:marTop w:val="0"/>
      <w:marBottom w:val="0"/>
      <w:divBdr>
        <w:top w:val="none" w:sz="0" w:space="0" w:color="auto"/>
        <w:left w:val="none" w:sz="0" w:space="0" w:color="auto"/>
        <w:bottom w:val="none" w:sz="0" w:space="0" w:color="auto"/>
        <w:right w:val="none" w:sz="0" w:space="0" w:color="auto"/>
      </w:divBdr>
    </w:div>
    <w:div w:id="2048292748">
      <w:bodyDiv w:val="1"/>
      <w:marLeft w:val="0"/>
      <w:marRight w:val="0"/>
      <w:marTop w:val="0"/>
      <w:marBottom w:val="0"/>
      <w:divBdr>
        <w:top w:val="none" w:sz="0" w:space="0" w:color="auto"/>
        <w:left w:val="none" w:sz="0" w:space="0" w:color="auto"/>
        <w:bottom w:val="none" w:sz="0" w:space="0" w:color="auto"/>
        <w:right w:val="none" w:sz="0" w:space="0" w:color="auto"/>
      </w:divBdr>
    </w:div>
    <w:div w:id="2051030652">
      <w:bodyDiv w:val="1"/>
      <w:marLeft w:val="0"/>
      <w:marRight w:val="0"/>
      <w:marTop w:val="0"/>
      <w:marBottom w:val="0"/>
      <w:divBdr>
        <w:top w:val="none" w:sz="0" w:space="0" w:color="auto"/>
        <w:left w:val="none" w:sz="0" w:space="0" w:color="auto"/>
        <w:bottom w:val="none" w:sz="0" w:space="0" w:color="auto"/>
        <w:right w:val="none" w:sz="0" w:space="0" w:color="auto"/>
      </w:divBdr>
    </w:div>
    <w:div w:id="2054117733">
      <w:bodyDiv w:val="1"/>
      <w:marLeft w:val="0"/>
      <w:marRight w:val="0"/>
      <w:marTop w:val="0"/>
      <w:marBottom w:val="0"/>
      <w:divBdr>
        <w:top w:val="none" w:sz="0" w:space="0" w:color="auto"/>
        <w:left w:val="none" w:sz="0" w:space="0" w:color="auto"/>
        <w:bottom w:val="none" w:sz="0" w:space="0" w:color="auto"/>
        <w:right w:val="none" w:sz="0" w:space="0" w:color="auto"/>
      </w:divBdr>
    </w:div>
    <w:div w:id="2065375164">
      <w:bodyDiv w:val="1"/>
      <w:marLeft w:val="0"/>
      <w:marRight w:val="0"/>
      <w:marTop w:val="0"/>
      <w:marBottom w:val="0"/>
      <w:divBdr>
        <w:top w:val="none" w:sz="0" w:space="0" w:color="auto"/>
        <w:left w:val="none" w:sz="0" w:space="0" w:color="auto"/>
        <w:bottom w:val="none" w:sz="0" w:space="0" w:color="auto"/>
        <w:right w:val="none" w:sz="0" w:space="0" w:color="auto"/>
      </w:divBdr>
    </w:div>
    <w:div w:id="2065789329">
      <w:bodyDiv w:val="1"/>
      <w:marLeft w:val="0"/>
      <w:marRight w:val="0"/>
      <w:marTop w:val="0"/>
      <w:marBottom w:val="0"/>
      <w:divBdr>
        <w:top w:val="none" w:sz="0" w:space="0" w:color="auto"/>
        <w:left w:val="none" w:sz="0" w:space="0" w:color="auto"/>
        <w:bottom w:val="none" w:sz="0" w:space="0" w:color="auto"/>
        <w:right w:val="none" w:sz="0" w:space="0" w:color="auto"/>
      </w:divBdr>
    </w:div>
    <w:div w:id="2071347675">
      <w:bodyDiv w:val="1"/>
      <w:marLeft w:val="0"/>
      <w:marRight w:val="0"/>
      <w:marTop w:val="0"/>
      <w:marBottom w:val="0"/>
      <w:divBdr>
        <w:top w:val="none" w:sz="0" w:space="0" w:color="auto"/>
        <w:left w:val="none" w:sz="0" w:space="0" w:color="auto"/>
        <w:bottom w:val="none" w:sz="0" w:space="0" w:color="auto"/>
        <w:right w:val="none" w:sz="0" w:space="0" w:color="auto"/>
      </w:divBdr>
    </w:div>
    <w:div w:id="2071616047">
      <w:bodyDiv w:val="1"/>
      <w:marLeft w:val="0"/>
      <w:marRight w:val="0"/>
      <w:marTop w:val="0"/>
      <w:marBottom w:val="0"/>
      <w:divBdr>
        <w:top w:val="none" w:sz="0" w:space="0" w:color="auto"/>
        <w:left w:val="none" w:sz="0" w:space="0" w:color="auto"/>
        <w:bottom w:val="none" w:sz="0" w:space="0" w:color="auto"/>
        <w:right w:val="none" w:sz="0" w:space="0" w:color="auto"/>
      </w:divBdr>
    </w:div>
    <w:div w:id="2073698953">
      <w:bodyDiv w:val="1"/>
      <w:marLeft w:val="0"/>
      <w:marRight w:val="0"/>
      <w:marTop w:val="0"/>
      <w:marBottom w:val="0"/>
      <w:divBdr>
        <w:top w:val="none" w:sz="0" w:space="0" w:color="auto"/>
        <w:left w:val="none" w:sz="0" w:space="0" w:color="auto"/>
        <w:bottom w:val="none" w:sz="0" w:space="0" w:color="auto"/>
        <w:right w:val="none" w:sz="0" w:space="0" w:color="auto"/>
      </w:divBdr>
    </w:div>
    <w:div w:id="2075809975">
      <w:bodyDiv w:val="1"/>
      <w:marLeft w:val="0"/>
      <w:marRight w:val="0"/>
      <w:marTop w:val="0"/>
      <w:marBottom w:val="0"/>
      <w:divBdr>
        <w:top w:val="none" w:sz="0" w:space="0" w:color="auto"/>
        <w:left w:val="none" w:sz="0" w:space="0" w:color="auto"/>
        <w:bottom w:val="none" w:sz="0" w:space="0" w:color="auto"/>
        <w:right w:val="none" w:sz="0" w:space="0" w:color="auto"/>
      </w:divBdr>
    </w:div>
    <w:div w:id="2076775890">
      <w:bodyDiv w:val="1"/>
      <w:marLeft w:val="0"/>
      <w:marRight w:val="0"/>
      <w:marTop w:val="0"/>
      <w:marBottom w:val="0"/>
      <w:divBdr>
        <w:top w:val="none" w:sz="0" w:space="0" w:color="auto"/>
        <w:left w:val="none" w:sz="0" w:space="0" w:color="auto"/>
        <w:bottom w:val="none" w:sz="0" w:space="0" w:color="auto"/>
        <w:right w:val="none" w:sz="0" w:space="0" w:color="auto"/>
      </w:divBdr>
    </w:div>
    <w:div w:id="2080783819">
      <w:bodyDiv w:val="1"/>
      <w:marLeft w:val="0"/>
      <w:marRight w:val="0"/>
      <w:marTop w:val="0"/>
      <w:marBottom w:val="0"/>
      <w:divBdr>
        <w:top w:val="none" w:sz="0" w:space="0" w:color="auto"/>
        <w:left w:val="none" w:sz="0" w:space="0" w:color="auto"/>
        <w:bottom w:val="none" w:sz="0" w:space="0" w:color="auto"/>
        <w:right w:val="none" w:sz="0" w:space="0" w:color="auto"/>
      </w:divBdr>
    </w:div>
    <w:div w:id="2080904870">
      <w:bodyDiv w:val="1"/>
      <w:marLeft w:val="0"/>
      <w:marRight w:val="0"/>
      <w:marTop w:val="0"/>
      <w:marBottom w:val="0"/>
      <w:divBdr>
        <w:top w:val="none" w:sz="0" w:space="0" w:color="auto"/>
        <w:left w:val="none" w:sz="0" w:space="0" w:color="auto"/>
        <w:bottom w:val="none" w:sz="0" w:space="0" w:color="auto"/>
        <w:right w:val="none" w:sz="0" w:space="0" w:color="auto"/>
      </w:divBdr>
    </w:div>
    <w:div w:id="2081366099">
      <w:bodyDiv w:val="1"/>
      <w:marLeft w:val="0"/>
      <w:marRight w:val="0"/>
      <w:marTop w:val="0"/>
      <w:marBottom w:val="0"/>
      <w:divBdr>
        <w:top w:val="none" w:sz="0" w:space="0" w:color="auto"/>
        <w:left w:val="none" w:sz="0" w:space="0" w:color="auto"/>
        <w:bottom w:val="none" w:sz="0" w:space="0" w:color="auto"/>
        <w:right w:val="none" w:sz="0" w:space="0" w:color="auto"/>
      </w:divBdr>
      <w:divsChild>
        <w:div w:id="1736080643">
          <w:marLeft w:val="0"/>
          <w:marRight w:val="0"/>
          <w:marTop w:val="0"/>
          <w:marBottom w:val="0"/>
          <w:divBdr>
            <w:top w:val="none" w:sz="0" w:space="0" w:color="auto"/>
            <w:left w:val="none" w:sz="0" w:space="0" w:color="auto"/>
            <w:bottom w:val="none" w:sz="0" w:space="0" w:color="auto"/>
            <w:right w:val="none" w:sz="0" w:space="0" w:color="auto"/>
          </w:divBdr>
        </w:div>
      </w:divsChild>
    </w:div>
    <w:div w:id="2083286857">
      <w:bodyDiv w:val="1"/>
      <w:marLeft w:val="0"/>
      <w:marRight w:val="0"/>
      <w:marTop w:val="0"/>
      <w:marBottom w:val="0"/>
      <w:divBdr>
        <w:top w:val="none" w:sz="0" w:space="0" w:color="auto"/>
        <w:left w:val="none" w:sz="0" w:space="0" w:color="auto"/>
        <w:bottom w:val="none" w:sz="0" w:space="0" w:color="auto"/>
        <w:right w:val="none" w:sz="0" w:space="0" w:color="auto"/>
      </w:divBdr>
    </w:div>
    <w:div w:id="2084600120">
      <w:bodyDiv w:val="1"/>
      <w:marLeft w:val="0"/>
      <w:marRight w:val="0"/>
      <w:marTop w:val="0"/>
      <w:marBottom w:val="0"/>
      <w:divBdr>
        <w:top w:val="none" w:sz="0" w:space="0" w:color="auto"/>
        <w:left w:val="none" w:sz="0" w:space="0" w:color="auto"/>
        <w:bottom w:val="none" w:sz="0" w:space="0" w:color="auto"/>
        <w:right w:val="none" w:sz="0" w:space="0" w:color="auto"/>
      </w:divBdr>
    </w:div>
    <w:div w:id="2088651712">
      <w:bodyDiv w:val="1"/>
      <w:marLeft w:val="0"/>
      <w:marRight w:val="0"/>
      <w:marTop w:val="0"/>
      <w:marBottom w:val="0"/>
      <w:divBdr>
        <w:top w:val="none" w:sz="0" w:space="0" w:color="auto"/>
        <w:left w:val="none" w:sz="0" w:space="0" w:color="auto"/>
        <w:bottom w:val="none" w:sz="0" w:space="0" w:color="auto"/>
        <w:right w:val="none" w:sz="0" w:space="0" w:color="auto"/>
      </w:divBdr>
    </w:div>
    <w:div w:id="2091081094">
      <w:bodyDiv w:val="1"/>
      <w:marLeft w:val="0"/>
      <w:marRight w:val="0"/>
      <w:marTop w:val="0"/>
      <w:marBottom w:val="0"/>
      <w:divBdr>
        <w:top w:val="none" w:sz="0" w:space="0" w:color="auto"/>
        <w:left w:val="none" w:sz="0" w:space="0" w:color="auto"/>
        <w:bottom w:val="none" w:sz="0" w:space="0" w:color="auto"/>
        <w:right w:val="none" w:sz="0" w:space="0" w:color="auto"/>
      </w:divBdr>
    </w:div>
    <w:div w:id="2100321726">
      <w:bodyDiv w:val="1"/>
      <w:marLeft w:val="0"/>
      <w:marRight w:val="0"/>
      <w:marTop w:val="0"/>
      <w:marBottom w:val="0"/>
      <w:divBdr>
        <w:top w:val="none" w:sz="0" w:space="0" w:color="auto"/>
        <w:left w:val="none" w:sz="0" w:space="0" w:color="auto"/>
        <w:bottom w:val="none" w:sz="0" w:space="0" w:color="auto"/>
        <w:right w:val="none" w:sz="0" w:space="0" w:color="auto"/>
      </w:divBdr>
    </w:div>
    <w:div w:id="2102331947">
      <w:bodyDiv w:val="1"/>
      <w:marLeft w:val="0"/>
      <w:marRight w:val="0"/>
      <w:marTop w:val="0"/>
      <w:marBottom w:val="0"/>
      <w:divBdr>
        <w:top w:val="none" w:sz="0" w:space="0" w:color="auto"/>
        <w:left w:val="none" w:sz="0" w:space="0" w:color="auto"/>
        <w:bottom w:val="none" w:sz="0" w:space="0" w:color="auto"/>
        <w:right w:val="none" w:sz="0" w:space="0" w:color="auto"/>
      </w:divBdr>
    </w:div>
    <w:div w:id="2104183287">
      <w:bodyDiv w:val="1"/>
      <w:marLeft w:val="0"/>
      <w:marRight w:val="0"/>
      <w:marTop w:val="0"/>
      <w:marBottom w:val="0"/>
      <w:divBdr>
        <w:top w:val="none" w:sz="0" w:space="0" w:color="auto"/>
        <w:left w:val="none" w:sz="0" w:space="0" w:color="auto"/>
        <w:bottom w:val="none" w:sz="0" w:space="0" w:color="auto"/>
        <w:right w:val="none" w:sz="0" w:space="0" w:color="auto"/>
      </w:divBdr>
    </w:div>
    <w:div w:id="2107340581">
      <w:bodyDiv w:val="1"/>
      <w:marLeft w:val="0"/>
      <w:marRight w:val="0"/>
      <w:marTop w:val="0"/>
      <w:marBottom w:val="0"/>
      <w:divBdr>
        <w:top w:val="none" w:sz="0" w:space="0" w:color="auto"/>
        <w:left w:val="none" w:sz="0" w:space="0" w:color="auto"/>
        <w:bottom w:val="none" w:sz="0" w:space="0" w:color="auto"/>
        <w:right w:val="none" w:sz="0" w:space="0" w:color="auto"/>
      </w:divBdr>
    </w:div>
    <w:div w:id="2107533043">
      <w:bodyDiv w:val="1"/>
      <w:marLeft w:val="0"/>
      <w:marRight w:val="0"/>
      <w:marTop w:val="0"/>
      <w:marBottom w:val="0"/>
      <w:divBdr>
        <w:top w:val="none" w:sz="0" w:space="0" w:color="auto"/>
        <w:left w:val="none" w:sz="0" w:space="0" w:color="auto"/>
        <w:bottom w:val="none" w:sz="0" w:space="0" w:color="auto"/>
        <w:right w:val="none" w:sz="0" w:space="0" w:color="auto"/>
      </w:divBdr>
    </w:div>
    <w:div w:id="2107995826">
      <w:bodyDiv w:val="1"/>
      <w:marLeft w:val="0"/>
      <w:marRight w:val="0"/>
      <w:marTop w:val="0"/>
      <w:marBottom w:val="0"/>
      <w:divBdr>
        <w:top w:val="none" w:sz="0" w:space="0" w:color="auto"/>
        <w:left w:val="none" w:sz="0" w:space="0" w:color="auto"/>
        <w:bottom w:val="none" w:sz="0" w:space="0" w:color="auto"/>
        <w:right w:val="none" w:sz="0" w:space="0" w:color="auto"/>
      </w:divBdr>
      <w:divsChild>
        <w:div w:id="356583368">
          <w:marLeft w:val="0"/>
          <w:marRight w:val="0"/>
          <w:marTop w:val="0"/>
          <w:marBottom w:val="0"/>
          <w:divBdr>
            <w:top w:val="none" w:sz="0" w:space="0" w:color="auto"/>
            <w:left w:val="none" w:sz="0" w:space="0" w:color="auto"/>
            <w:bottom w:val="none" w:sz="0" w:space="0" w:color="auto"/>
            <w:right w:val="none" w:sz="0" w:space="0" w:color="auto"/>
          </w:divBdr>
        </w:div>
      </w:divsChild>
    </w:div>
    <w:div w:id="2108232911">
      <w:bodyDiv w:val="1"/>
      <w:marLeft w:val="0"/>
      <w:marRight w:val="0"/>
      <w:marTop w:val="0"/>
      <w:marBottom w:val="0"/>
      <w:divBdr>
        <w:top w:val="none" w:sz="0" w:space="0" w:color="auto"/>
        <w:left w:val="none" w:sz="0" w:space="0" w:color="auto"/>
        <w:bottom w:val="none" w:sz="0" w:space="0" w:color="auto"/>
        <w:right w:val="none" w:sz="0" w:space="0" w:color="auto"/>
      </w:divBdr>
    </w:div>
    <w:div w:id="2109765695">
      <w:bodyDiv w:val="1"/>
      <w:marLeft w:val="0"/>
      <w:marRight w:val="0"/>
      <w:marTop w:val="0"/>
      <w:marBottom w:val="0"/>
      <w:divBdr>
        <w:top w:val="none" w:sz="0" w:space="0" w:color="auto"/>
        <w:left w:val="none" w:sz="0" w:space="0" w:color="auto"/>
        <w:bottom w:val="none" w:sz="0" w:space="0" w:color="auto"/>
        <w:right w:val="none" w:sz="0" w:space="0" w:color="auto"/>
      </w:divBdr>
    </w:div>
    <w:div w:id="2118594154">
      <w:bodyDiv w:val="1"/>
      <w:marLeft w:val="0"/>
      <w:marRight w:val="0"/>
      <w:marTop w:val="0"/>
      <w:marBottom w:val="0"/>
      <w:divBdr>
        <w:top w:val="none" w:sz="0" w:space="0" w:color="auto"/>
        <w:left w:val="none" w:sz="0" w:space="0" w:color="auto"/>
        <w:bottom w:val="none" w:sz="0" w:space="0" w:color="auto"/>
        <w:right w:val="none" w:sz="0" w:space="0" w:color="auto"/>
      </w:divBdr>
    </w:div>
    <w:div w:id="2123529067">
      <w:bodyDiv w:val="1"/>
      <w:marLeft w:val="0"/>
      <w:marRight w:val="0"/>
      <w:marTop w:val="0"/>
      <w:marBottom w:val="0"/>
      <w:divBdr>
        <w:top w:val="none" w:sz="0" w:space="0" w:color="auto"/>
        <w:left w:val="none" w:sz="0" w:space="0" w:color="auto"/>
        <w:bottom w:val="none" w:sz="0" w:space="0" w:color="auto"/>
        <w:right w:val="none" w:sz="0" w:space="0" w:color="auto"/>
      </w:divBdr>
    </w:div>
    <w:div w:id="2124614665">
      <w:bodyDiv w:val="1"/>
      <w:marLeft w:val="0"/>
      <w:marRight w:val="0"/>
      <w:marTop w:val="0"/>
      <w:marBottom w:val="0"/>
      <w:divBdr>
        <w:top w:val="none" w:sz="0" w:space="0" w:color="auto"/>
        <w:left w:val="none" w:sz="0" w:space="0" w:color="auto"/>
        <w:bottom w:val="none" w:sz="0" w:space="0" w:color="auto"/>
        <w:right w:val="none" w:sz="0" w:space="0" w:color="auto"/>
      </w:divBdr>
    </w:div>
    <w:div w:id="2126458176">
      <w:bodyDiv w:val="1"/>
      <w:marLeft w:val="0"/>
      <w:marRight w:val="0"/>
      <w:marTop w:val="0"/>
      <w:marBottom w:val="0"/>
      <w:divBdr>
        <w:top w:val="none" w:sz="0" w:space="0" w:color="auto"/>
        <w:left w:val="none" w:sz="0" w:space="0" w:color="auto"/>
        <w:bottom w:val="none" w:sz="0" w:space="0" w:color="auto"/>
        <w:right w:val="none" w:sz="0" w:space="0" w:color="auto"/>
      </w:divBdr>
    </w:div>
    <w:div w:id="2127776501">
      <w:bodyDiv w:val="1"/>
      <w:marLeft w:val="0"/>
      <w:marRight w:val="0"/>
      <w:marTop w:val="0"/>
      <w:marBottom w:val="0"/>
      <w:divBdr>
        <w:top w:val="none" w:sz="0" w:space="0" w:color="auto"/>
        <w:left w:val="none" w:sz="0" w:space="0" w:color="auto"/>
        <w:bottom w:val="none" w:sz="0" w:space="0" w:color="auto"/>
        <w:right w:val="none" w:sz="0" w:space="0" w:color="auto"/>
      </w:divBdr>
    </w:div>
    <w:div w:id="2134866226">
      <w:bodyDiv w:val="1"/>
      <w:marLeft w:val="0"/>
      <w:marRight w:val="0"/>
      <w:marTop w:val="0"/>
      <w:marBottom w:val="0"/>
      <w:divBdr>
        <w:top w:val="none" w:sz="0" w:space="0" w:color="auto"/>
        <w:left w:val="none" w:sz="0" w:space="0" w:color="auto"/>
        <w:bottom w:val="none" w:sz="0" w:space="0" w:color="auto"/>
        <w:right w:val="none" w:sz="0" w:space="0" w:color="auto"/>
      </w:divBdr>
    </w:div>
    <w:div w:id="2137678895">
      <w:bodyDiv w:val="1"/>
      <w:marLeft w:val="0"/>
      <w:marRight w:val="0"/>
      <w:marTop w:val="0"/>
      <w:marBottom w:val="0"/>
      <w:divBdr>
        <w:top w:val="none" w:sz="0" w:space="0" w:color="auto"/>
        <w:left w:val="none" w:sz="0" w:space="0" w:color="auto"/>
        <w:bottom w:val="none" w:sz="0" w:space="0" w:color="auto"/>
        <w:right w:val="none" w:sz="0" w:space="0" w:color="auto"/>
      </w:divBdr>
    </w:div>
    <w:div w:id="2138334206">
      <w:bodyDiv w:val="1"/>
      <w:marLeft w:val="0"/>
      <w:marRight w:val="0"/>
      <w:marTop w:val="0"/>
      <w:marBottom w:val="0"/>
      <w:divBdr>
        <w:top w:val="none" w:sz="0" w:space="0" w:color="auto"/>
        <w:left w:val="none" w:sz="0" w:space="0" w:color="auto"/>
        <w:bottom w:val="none" w:sz="0" w:space="0" w:color="auto"/>
        <w:right w:val="none" w:sz="0" w:space="0" w:color="auto"/>
      </w:divBdr>
      <w:divsChild>
        <w:div w:id="1119034276">
          <w:marLeft w:val="0"/>
          <w:marRight w:val="0"/>
          <w:marTop w:val="0"/>
          <w:marBottom w:val="0"/>
          <w:divBdr>
            <w:top w:val="none" w:sz="0" w:space="0" w:color="auto"/>
            <w:left w:val="none" w:sz="0" w:space="0" w:color="auto"/>
            <w:bottom w:val="none" w:sz="0" w:space="0" w:color="auto"/>
            <w:right w:val="none" w:sz="0" w:space="0" w:color="auto"/>
          </w:divBdr>
        </w:div>
      </w:divsChild>
    </w:div>
    <w:div w:id="2140297511">
      <w:bodyDiv w:val="1"/>
      <w:marLeft w:val="0"/>
      <w:marRight w:val="0"/>
      <w:marTop w:val="0"/>
      <w:marBottom w:val="0"/>
      <w:divBdr>
        <w:top w:val="none" w:sz="0" w:space="0" w:color="auto"/>
        <w:left w:val="none" w:sz="0" w:space="0" w:color="auto"/>
        <w:bottom w:val="none" w:sz="0" w:space="0" w:color="auto"/>
        <w:right w:val="none" w:sz="0" w:space="0" w:color="auto"/>
      </w:divBdr>
    </w:div>
    <w:div w:id="2142575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s://www.un.org/securitycouncil/content/un-sc-consolidated-list" TargetMode="External"/><Relationship Id="rId39" Type="http://schemas.openxmlformats.org/officeDocument/2006/relationships/footer" Target="footer4.xml"/><Relationship Id="rId21" Type="http://schemas.openxmlformats.org/officeDocument/2006/relationships/hyperlink" Target="https://popp.undp.org/_layouts/15/WopiFrame.aspx?sourcedoc=/UNDP_POPP_DOCUMENT_LIBRARY/Public/PPM_Implement_Provide%20Oversight.docx&amp;action=default" TargetMode="External"/><Relationship Id="rId34" Type="http://schemas.openxmlformats.org/officeDocument/2006/relationships/hyperlink" Target="https://ozone.unep.org/treaties/montreal-protocol?q=treaties&amp;q=treaties/montreal-protocol" TargetMode="External"/><Relationship Id="rId42" Type="http://schemas.openxmlformats.org/officeDocument/2006/relationships/footer" Target="footer6.xml"/><Relationship Id="rId47" Type="http://schemas.openxmlformats.org/officeDocument/2006/relationships/image" Target="media/image9.png"/><Relationship Id="rId50" Type="http://schemas.openxmlformats.org/officeDocument/2006/relationships/hyperlink" Target="https://popp.undp.org/node/11531"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emf"/><Relationship Id="rId29" Type="http://schemas.openxmlformats.org/officeDocument/2006/relationships/hyperlink" Target="http://www.undp.org" TargetMode="External"/><Relationship Id="rId11" Type="http://schemas.openxmlformats.org/officeDocument/2006/relationships/image" Target="media/image1.png"/><Relationship Id="rId24" Type="http://schemas.openxmlformats.org/officeDocument/2006/relationships/hyperlink" Target="https://undp-my.sharepoint.com/node/1796" TargetMode="External"/><Relationship Id="rId32" Type="http://schemas.openxmlformats.org/officeDocument/2006/relationships/image" Target="media/image7.png"/><Relationship Id="rId37" Type="http://schemas.openxmlformats.org/officeDocument/2006/relationships/hyperlink" Target="http://www.pic.int/" TargetMode="External"/><Relationship Id="rId40" Type="http://schemas.openxmlformats.org/officeDocument/2006/relationships/header" Target="header2.xml"/><Relationship Id="rId45" Type="http://schemas.openxmlformats.org/officeDocument/2006/relationships/hyperlink" Target="https://popp.undp.org/node/1856" TargetMode="External"/><Relationship Id="rId53" Type="http://schemas.openxmlformats.org/officeDocument/2006/relationships/header" Target="header4.xml"/><Relationship Id="rId5" Type="http://schemas.openxmlformats.org/officeDocument/2006/relationships/numbering" Target="numbering.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popp.undp.org/_layouts/15/WopiFrame.aspx?sourcedoc=/UNDP_POPP_DOCUMENT_LIBRARY/Public/PPM_Implement_Manage%20Change.docx&amp;action=default" TargetMode="External"/><Relationship Id="rId27" Type="http://schemas.openxmlformats.org/officeDocument/2006/relationships/hyperlink" Target="http://www.undp.org/ses" TargetMode="External"/><Relationship Id="rId30" Type="http://schemas.openxmlformats.org/officeDocument/2006/relationships/hyperlink" Target="file:///C:\Users\mariagabriela.pinto\AppData\Local\Microsoft\Windows\INetCache\Content.MSO\159ADB91.xlsx" TargetMode="External"/><Relationship Id="rId35" Type="http://schemas.openxmlformats.org/officeDocument/2006/relationships/hyperlink" Target="http://www.mercuryconvention.org/" TargetMode="External"/><Relationship Id="rId43" Type="http://schemas.openxmlformats.org/officeDocument/2006/relationships/header" Target="header3.xml"/><Relationship Id="rId48" Type="http://schemas.openxmlformats.org/officeDocument/2006/relationships/hyperlink" Target="https://popp.undp.org/node/11386"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0.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https://undp-my.sharepoint.com/node/1681" TargetMode="External"/><Relationship Id="rId33" Type="http://schemas.openxmlformats.org/officeDocument/2006/relationships/image" Target="media/image8.png"/><Relationship Id="rId38" Type="http://schemas.openxmlformats.org/officeDocument/2006/relationships/hyperlink" Target="http://chm.pops.int/" TargetMode="External"/><Relationship Id="rId46" Type="http://schemas.openxmlformats.org/officeDocument/2006/relationships/hyperlink" Target="https://popp.undp.org/node/1931" TargetMode="External"/><Relationship Id="rId20" Type="http://schemas.openxmlformats.org/officeDocument/2006/relationships/hyperlink" Target="http://www.thegef.org/sites/default/files/documents/gef_minimum_fiduciary_standards_partner_agencies_2019.pdf" TargetMode="External"/><Relationship Id="rId41" Type="http://schemas.openxmlformats.org/officeDocument/2006/relationships/footer" Target="footer5.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thegef.org/sites/default/files/documents/GEF_Guidelines_Project_Program_Cycle_Policy_20200731.pdf" TargetMode="External"/><Relationship Id="rId28" Type="http://schemas.openxmlformats.org/officeDocument/2006/relationships/hyperlink" Target="http://www.undp.org/secu-srm" TargetMode="External"/><Relationship Id="rId36" Type="http://schemas.openxmlformats.org/officeDocument/2006/relationships/hyperlink" Target="http://www.basel.int/" TargetMode="External"/><Relationship Id="rId49" Type="http://schemas.openxmlformats.org/officeDocument/2006/relationships/hyperlink" Target="https://popp.undp.org/node/11026" TargetMode="External"/><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image" Target="media/image6.png"/><Relationship Id="rId44" Type="http://schemas.openxmlformats.org/officeDocument/2006/relationships/footer" Target="footer7.xml"/><Relationship Id="rId52"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abs" TargetMode="External"/><Relationship Id="rId2" Type="http://schemas.openxmlformats.org/officeDocument/2006/relationships/hyperlink" Target="https://popp.undp.org/_layouts/15/WopiFrame.aspx?sourcedoc=/UNDP_POPP_DOCUMENT_LIBRARY/Public/PPM_Project%20Management_Closing.docx&amp;action=default" TargetMode="External"/><Relationship Id="rId1" Type="http://schemas.openxmlformats.org/officeDocument/2006/relationships/hyperlink" Target="https://panorama.solution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B0500 - Ecuador - Quito</OfficeCountry>
    <DocumentStatus xmlns="d9cf0e28-81d2-4dc7-8b10-820d80ed680d">Final</DocumentStatus>
    <DocCoverageEndDate xmlns="d9cf0e28-81d2-4dc7-8b10-820d80ed680d">2026-06-15T04:00:00+00:00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FileNameDescription>
    <ProjectNumber xmlns="d9cf0e28-81d2-4dc7-8b10-820d80ed680d">01002464</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UNDP-ECU</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2026-06-01T04:00:00+00:00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8A4687D-A5E4-4455-9959-97B6AC84C7A9}">
  <ds:schemaRefs>
    <ds:schemaRef ds:uri="http://schemas.microsoft.com/sharepoint/v3/contenttype/forms"/>
  </ds:schemaRefs>
</ds:datastoreItem>
</file>

<file path=customXml/itemProps2.xml><?xml version="1.0" encoding="utf-8"?>
<ds:datastoreItem xmlns:ds="http://schemas.openxmlformats.org/officeDocument/2006/customXml" ds:itemID="{4BE81290-E998-43A7-A359-E0C279F91F16}"/>
</file>

<file path=customXml/itemProps3.xml><?xml version="1.0" encoding="utf-8"?>
<ds:datastoreItem xmlns:ds="http://schemas.openxmlformats.org/officeDocument/2006/customXml" ds:itemID="{9E33A0FE-9433-974A-A089-36F6812E82A6}">
  <ds:schemaRefs>
    <ds:schemaRef ds:uri="http://schemas.openxmlformats.org/officeDocument/2006/bibliography"/>
  </ds:schemaRefs>
</ds:datastoreItem>
</file>

<file path=customXml/itemProps4.xml><?xml version="1.0" encoding="utf-8"?>
<ds:datastoreItem xmlns:ds="http://schemas.openxmlformats.org/officeDocument/2006/customXml" ds:itemID="{C6221F51-46FC-47A2-A585-0079EA44A196}">
  <ds:schemaRefs>
    <ds:schemaRef ds:uri="http://schemas.microsoft.com/office/2006/metadata/properties"/>
    <ds:schemaRef ds:uri="http://schemas.microsoft.com/office/infopath/2007/PartnerControls"/>
    <ds:schemaRef ds:uri="7f0e85c0-1d60-47c2-980c-c577a1acbfa2"/>
  </ds:schemaRefs>
</ds:datastoreItem>
</file>

<file path=docProps/app.xml><?xml version="1.0" encoding="utf-8"?>
<Properties xmlns="http://schemas.openxmlformats.org/officeDocument/2006/extended-properties" xmlns:vt="http://schemas.openxmlformats.org/officeDocument/2006/docPropsVTypes">
  <Template>Normal</Template>
  <TotalTime>1684</TotalTime>
  <Pages>187</Pages>
  <Words>87050</Words>
  <Characters>478778</Characters>
  <Application>Microsoft Office Word</Application>
  <DocSecurity>0</DocSecurity>
  <Lines>3989</Lines>
  <Paragraphs>1129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subject/>
  <dc:creator>Santiago Carrizosa</dc:creator>
  <cp:keywords/>
  <cp:lastModifiedBy>Lisett Herrera</cp:lastModifiedBy>
  <cp:revision>186</cp:revision>
  <cp:lastPrinted>2025-05-07T00:33:00Z</cp:lastPrinted>
  <dcterms:created xsi:type="dcterms:W3CDTF">2026-02-10T16:47:00Z</dcterms:created>
  <dcterms:modified xsi:type="dcterms:W3CDTF">2026-05-05T19:49:00Z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